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60325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74930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1" w:lineRule="exact"/>
        <w:rPr>
          <w:sz w:val="24"/>
          <w:szCs w:val="24"/>
          <w:color w:val="auto"/>
        </w:rPr>
      </w:pPr>
    </w:p>
    <w:p>
      <w:pPr>
        <w:ind w:left="420" w:hanging="400"/>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0" w:lineRule="exact"/>
        <w:rPr>
          <w:sz w:val="24"/>
          <w:szCs w:val="24"/>
          <w:color w:val="auto"/>
        </w:rPr>
      </w:pPr>
    </w:p>
    <w:p>
      <w:pPr>
        <w:ind w:left="420" w:hanging="400"/>
        <w:spacing w:after="0"/>
        <w:tabs>
          <w:tab w:leader="none" w:pos="4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w:t>
      </w:r>
    </w:p>
    <w:p>
      <w:pPr>
        <w:spacing w:after="0" w:line="39" w:lineRule="exact"/>
        <w:rPr>
          <w:sz w:val="24"/>
          <w:szCs w:val="24"/>
          <w:color w:val="auto"/>
        </w:rPr>
      </w:pPr>
    </w:p>
    <w:p>
      <w:pPr>
        <w:ind w:left="420"/>
        <w:spacing w:after="0"/>
        <w:tabs>
          <w:tab w:leader="none" w:pos="3240" w:val="left"/>
        </w:tabs>
        <w:rPr>
          <w:sz w:val="20"/>
          <w:szCs w:val="20"/>
          <w:color w:val="auto"/>
        </w:rPr>
      </w:pPr>
      <w:r>
        <w:rPr>
          <w:rFonts w:ascii="Times New Roman" w:cs="Times New Roman" w:eastAsia="Times New Roman" w:hAnsi="Times New Roman"/>
          <w:sz w:val="16"/>
          <w:szCs w:val="16"/>
          <w:b w:val="1"/>
          <w:bCs w:val="1"/>
          <w:color w:val="auto"/>
        </w:rPr>
        <w:t>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001-40598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81915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ZURA BIO LIMITED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60325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62" w:lineRule="exact"/>
        <w:rPr>
          <w:sz w:val="24"/>
          <w:szCs w:val="24"/>
          <w:color w:val="auto"/>
        </w:rPr>
      </w:pPr>
    </w:p>
    <w:tbl>
      <w:tblPr>
        <w:tblLayout w:type="fixed"/>
        <w:tblInd w:w="1140" w:type="dxa"/>
        <w:tblCellMar>
          <w:top w:w="0" w:type="dxa"/>
          <w:left w:w="0" w:type="dxa"/>
          <w:bottom w:w="0" w:type="dxa"/>
          <w:right w:w="0" w:type="dxa"/>
        </w:tblCellMar>
      </w:tblPr>
      <w:tr>
        <w:trPr>
          <w:trHeight w:val="203"/>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27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98-1725736</w:t>
            </w:r>
          </w:p>
        </w:tc>
      </w:tr>
      <w:tr>
        <w:trPr>
          <w:trHeight w:val="203"/>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760" w:type="dxa"/>
            <w:vAlign w:val="bottom"/>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6"/>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760" w:type="dxa"/>
            <w:vAlign w:val="bottom"/>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12"/>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w w:val="99"/>
              </w:rPr>
              <w:t>1489 W. Warm Springs Rd. #110</w:t>
            </w:r>
          </w:p>
        </w:tc>
        <w:tc>
          <w:tcPr>
            <w:tcW w:w="2760" w:type="dxa"/>
            <w:vAlign w:val="bottom"/>
          </w:tcPr>
          <w:p>
            <w:pPr>
              <w:spacing w:after="0"/>
              <w:rPr>
                <w:sz w:val="18"/>
                <w:szCs w:val="18"/>
                <w:color w:val="auto"/>
              </w:rPr>
            </w:pPr>
          </w:p>
        </w:tc>
      </w:tr>
      <w:tr>
        <w:trPr>
          <w:trHeight w:val="220"/>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Henderson, NV</w:t>
            </w:r>
          </w:p>
        </w:tc>
        <w:tc>
          <w:tcPr>
            <w:tcW w:w="27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89014</w:t>
            </w:r>
          </w:p>
        </w:tc>
      </w:tr>
      <w:tr>
        <w:trPr>
          <w:trHeight w:val="212"/>
        </w:trPr>
        <w:tc>
          <w:tcPr>
            <w:tcW w:w="416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760" w:type="dxa"/>
            <w:vAlign w:val="bottom"/>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(702) 825-9872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140" w:type="dxa"/>
            <w:vAlign w:val="bottom"/>
          </w:tcPr>
          <w:p>
            <w:pPr>
              <w:spacing w:after="0"/>
              <w:rPr>
                <w:sz w:val="16"/>
                <w:szCs w:val="16"/>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ZURA</w:t>
            </w:r>
          </w:p>
        </w:tc>
        <w:tc>
          <w:tcPr>
            <w:tcW w:w="160" w:type="dxa"/>
            <w:vAlign w:val="bottom"/>
          </w:tcPr>
          <w:p>
            <w:pPr>
              <w:spacing w:after="0"/>
              <w:rPr>
                <w:sz w:val="16"/>
                <w:szCs w:val="16"/>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c>
          <w:tcPr>
            <w:tcW w:w="0" w:type="dxa"/>
            <w:vAlign w:val="bottom"/>
          </w:tcPr>
          <w:p>
            <w:pPr>
              <w:spacing w:after="0"/>
              <w:rPr>
                <w:sz w:val="1"/>
                <w:szCs w:val="1"/>
                <w:color w:val="auto"/>
              </w:rPr>
            </w:pPr>
          </w:p>
        </w:tc>
      </w:tr>
    </w:tbl>
    <w:p>
      <w:pPr>
        <w:spacing w:after="0" w:line="55"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40" w:val="left"/>
          <w:tab w:leader="none" w:pos="1000" w:val="left"/>
        </w:tabs>
        <w:rPr>
          <w:sz w:val="20"/>
          <w:szCs w:val="20"/>
          <w:color w:val="auto"/>
        </w:rPr>
      </w:pPr>
      <w:r>
        <w:rPr>
          <w:rFonts w:ascii="Times New Roman" w:cs="Times New Roman" w:eastAsia="Times New Roman" w:hAnsi="Times New Roman"/>
          <w:sz w:val="14"/>
          <w:szCs w:val="14"/>
          <w:color w:val="auto"/>
        </w:rPr>
        <w:t>days.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0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46"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right="228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5, 2025, the registrant had 61,874,998 Class A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75565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118745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3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360" w:type="dxa"/>
            <w:vAlign w:val="bottom"/>
            <w:gridSpan w:val="4"/>
            <w:vMerge w:val="restart"/>
          </w:tcPr>
          <w:p>
            <w:pPr>
              <w:spacing w:after="0"/>
              <w:rPr>
                <w:sz w:val="15"/>
                <w:szCs w:val="15"/>
                <w:color w:val="auto"/>
              </w:rPr>
            </w:pPr>
          </w:p>
        </w:tc>
        <w:tc>
          <w:tcPr>
            <w:tcW w:w="8320" w:type="dxa"/>
            <w:vAlign w:val="bottom"/>
            <w:gridSpan w:val="18"/>
            <w:vMerge w:val="continue"/>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00" w:type="dxa"/>
            <w:vAlign w:val="bottom"/>
            <w:gridSpan w:val="2"/>
            <w:vMerge w:val="continue"/>
          </w:tcPr>
          <w:p>
            <w:pPr>
              <w:spacing w:after="0"/>
              <w:rPr>
                <w:sz w:val="18"/>
                <w:szCs w:val="18"/>
                <w:color w:val="auto"/>
              </w:rPr>
            </w:pPr>
          </w:p>
        </w:tc>
        <w:tc>
          <w:tcPr>
            <w:tcW w:w="360" w:type="dxa"/>
            <w:vAlign w:val="bottom"/>
            <w:gridSpan w:val="4"/>
            <w:vMerge w:val="continue"/>
          </w:tcPr>
          <w:p>
            <w:pPr>
              <w:spacing w:after="0"/>
              <w:rPr>
                <w:sz w:val="18"/>
                <w:szCs w:val="18"/>
                <w:color w:val="auto"/>
              </w:rPr>
            </w:pPr>
          </w:p>
        </w:tc>
        <w:tc>
          <w:tcPr>
            <w:tcW w:w="41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4180" w:type="dxa"/>
            <w:vAlign w:val="bottom"/>
            <w:gridSpan w:val="5"/>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4660" w:type="dxa"/>
            <w:vAlign w:val="bottom"/>
            <w:gridSpan w:val="7"/>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Redeemable Noncontrolling Interest and Shareholders’</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Equity</w:t>
            </w:r>
          </w:p>
        </w:tc>
        <w:tc>
          <w:tcPr>
            <w:tcW w:w="7840" w:type="dxa"/>
            <w:vAlign w:val="bottom"/>
            <w:gridSpan w:val="1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2.</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980" w:type="dxa"/>
            <w:vAlign w:val="bottom"/>
            <w:tcBorders>
              <w:left w:val="single" w:sz="8" w:color="0000EE"/>
            </w:tcBorders>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39"/>
        </w:trPr>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00" w:type="dxa"/>
            <w:vAlign w:val="bottom"/>
            <w:gridSpan w:val="3"/>
          </w:tcPr>
          <w:p>
            <w:pPr>
              <w:spacing w:after="0"/>
              <w:rPr>
                <w:sz w:val="24"/>
                <w:szCs w:val="24"/>
                <w:color w:val="auto"/>
              </w:rPr>
            </w:pPr>
          </w:p>
        </w:tc>
        <w:tc>
          <w:tcPr>
            <w:tcW w:w="18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44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gridSpan w:val="2"/>
          </w:tcPr>
          <w:p>
            <w:pPr>
              <w:spacing w:after="0"/>
              <w:rPr>
                <w:sz w:val="18"/>
                <w:szCs w:val="18"/>
                <w:color w:val="auto"/>
              </w:rPr>
            </w:pPr>
          </w:p>
        </w:tc>
        <w:tc>
          <w:tcPr>
            <w:tcW w:w="9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7420" w:type="dxa"/>
            <w:vAlign w:val="bottom"/>
            <w:gridSpan w:val="15"/>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2.</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560" w:type="dxa"/>
            <w:vAlign w:val="bottom"/>
            <w:gridSpan w:val="1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2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6.</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the safe harbor provisions of the Private Securities Litigation Reform Act of 1995.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the current expectations of Zura Bio Limited (the “Company” or “Zura”) and its management thereof and are inherently subject to uncertainties and changes in circumstances and their potential effects and speak only as of the date of such statement. Forward-looking statements are not guarantees of performance. You should not put undue reliance on our forward-looking statements.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p>
      <w:pPr>
        <w:spacing w:after="0" w:line="187" w:lineRule="exact"/>
        <w:rPr>
          <w:sz w:val="20"/>
          <w:szCs w:val="20"/>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 candidates and their related benefits, and our beliefs regarding competing product candidates and products both in development and approved, may not be achieved;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vision and strategy may not be successful;</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key events and initiation of our studies and release of clinical data may take longer than anticipated or may not be achieved at all;</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potential general acceptability and maintenance of our product candidates by regulatory authorities, payors, physicians, and patients may not be achieved;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key personnel;</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our future operating expenses, capital requirements and needs for additional financing may not be achieved;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completed any clinical trials, and have no products approved for commercial sale;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incur significant losses for the foreseeable future and may not be able to achieve or sustain profitability in the future;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substantial additional capital to finance our operations, and if we are unable to raise such capital when needed or on acceptable terms, we may be forced to delay, reduce, and/or eliminate one or more of its development programs or future commercialization efforts;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renew existing contracts or enter into new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development manufacturing organizations for the manufacture of clinical materials;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 research organizations, clinical trial sites, and other third parties to conduct our preclinical studies and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for our product candidates, and there may be related restrictions or limitations of any approved products;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respond to general economic and geopolitical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manage growth;</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competitive pressures from other companies worldwide;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protect our intellectual property rights;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set forth in documents filed, or to be filed, with the Securities and Exchange Commission (the “SEC”).</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material to our business, can be found under “Risk Factors” in Part I, Item 1A of our Annual Report on Form 10-K for the year ended December 31, 2024 (the “2024 Annual Report), as supplemented by the risks and uncertainties described in “Risk Factors” Item 1A. Risk Factors in Part II of this Quarterly Report. We may not actually achieve the plans, intentions or expectations disclosed in our forward-looking statements.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Our forward-looking statements do not reflect the potential impact of any future acquisitions, mergers, dispositions, joint ventures, investments or other transactions we may execute.</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this Quarterly Report and the documents referenced within this Quarterly Report and the other cautionary statements that are included elsewhere in this Quarterly Report and in our public filings, including under “Management’s Discussion and Analysis of Financial Condition and Results of Operations.” Forward-looking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5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172,496</w:t>
            </w:r>
          </w:p>
        </w:tc>
        <w:tc>
          <w:tcPr>
            <w:tcW w:w="2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179,533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 authorized as of March 31, 2025 and December 31,</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 no shares issued and outstanding as of March 31 2025 and December 31, 2024</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300,000,000 shares authorized as of March 31, 2025</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December 31, 2024; 68,374,998 and 65,297,530 shares issued and outstanding as of March</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 2025 and December 31, 2024, respectively</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(173,339)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Zura Bio Limited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148,356</w:t>
            </w:r>
          </w:p>
        </w:tc>
        <w:tc>
          <w:tcPr>
            <w:tcW w:w="0" w:type="dxa"/>
            <w:vAlign w:val="bottom"/>
          </w:tcPr>
          <w:p>
            <w:pPr>
              <w:spacing w:after="0"/>
              <w:rPr>
                <w:sz w:val="1"/>
                <w:szCs w:val="1"/>
                <w:color w:val="auto"/>
              </w:rPr>
            </w:pPr>
          </w:p>
        </w:tc>
      </w:tr>
      <w:tr>
        <w:trPr>
          <w:trHeight w:val="21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shareholders’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172,496</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Adjustment of redeemable noncontrolling interest from redemption value to carrying value</w:t>
            </w: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Class A Ordinary Shareholders of Zura</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Class A Ordinary Shareholders of Zura, basic and diluted</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2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69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Weighted-average Class A Ordinary Shares used in computing net loss per share attributable</w:t>
            </w: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92,964,048</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46,914,542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Class A Ordinary Shareholders of Zura, basic and diluted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3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66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3"/>
                <w:szCs w:val="3"/>
                <w:color w:val="auto"/>
              </w:rPr>
            </w:pPr>
          </w:p>
        </w:tc>
        <w:tc>
          <w:tcPr>
            <w:tcW w:w="7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660" w:type="dxa"/>
            <w:vAlign w:val="bottom"/>
            <w:gridSpan w:val="5"/>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Pr>
          <w:p>
            <w:pPr>
              <w:spacing w:after="0"/>
              <w:rPr>
                <w:sz w:val="15"/>
                <w:szCs w:val="15"/>
                <w:color w:val="auto"/>
              </w:rPr>
            </w:pPr>
          </w:p>
        </w:tc>
        <w:tc>
          <w:tcPr>
            <w:tcW w:w="6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4"/>
            <w:vMerge w:val="continue"/>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2"/>
                <w:szCs w:val="12"/>
                <w:color w:val="auto"/>
              </w:rPr>
            </w:pPr>
          </w:p>
        </w:tc>
        <w:tc>
          <w:tcPr>
            <w:tcW w:w="72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11,663</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65,297,530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302,705</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(155,897)</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148,356</w:t>
            </w:r>
          </w:p>
        </w:tc>
        <w:tc>
          <w:tcPr>
            <w:tcW w:w="0" w:type="dxa"/>
            <w:vAlign w:val="bottom"/>
          </w:tcPr>
          <w:p>
            <w:pPr>
              <w:spacing w:after="0"/>
              <w:rPr>
                <w:sz w:val="1"/>
                <w:szCs w:val="1"/>
                <w:color w:val="auto"/>
              </w:rPr>
            </w:pPr>
          </w:p>
        </w:tc>
      </w:tr>
      <w:tr>
        <w:trPr>
          <w:trHeight w:val="126"/>
        </w:trPr>
        <w:tc>
          <w:tcPr>
            <w:tcW w:w="3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Ordinary Shares in connection with a</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0" w:type="dxa"/>
            <w:vAlign w:val="bottom"/>
          </w:tcPr>
          <w:p>
            <w:pPr>
              <w:spacing w:after="0"/>
              <w:rPr>
                <w:sz w:val="1"/>
                <w:szCs w:val="1"/>
                <w:color w:val="auto"/>
              </w:rPr>
            </w:pPr>
          </w:p>
        </w:tc>
      </w:tr>
      <w:tr>
        <w:trPr>
          <w:trHeight w:val="171"/>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 under the ATM, net of $0.2 million of commissions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exercises and restricted stock unit releases</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77,468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3,644</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(17,442)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(17,442)</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11,663</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68,374,998</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311,532</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(173,339)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139,741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60" w:type="dxa"/>
            <w:vAlign w:val="bottom"/>
          </w:tcPr>
          <w:p>
            <w:pPr>
              <w:spacing w:after="0"/>
              <w:rPr>
                <w:sz w:val="24"/>
                <w:szCs w:val="24"/>
                <w:color w:val="auto"/>
              </w:rPr>
            </w:pPr>
          </w:p>
        </w:tc>
        <w:tc>
          <w:tcPr>
            <w:tcW w:w="3740" w:type="dxa"/>
            <w:vAlign w:val="bottom"/>
            <w:gridSpan w:val="13"/>
          </w:tcPr>
          <w:p>
            <w:pPr>
              <w:jc w:val="center"/>
              <w:ind w:right="188"/>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66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4"/>
                <w:szCs w:val="14"/>
                <w:color w:val="auto"/>
              </w:rPr>
            </w:pPr>
          </w:p>
        </w:tc>
        <w:tc>
          <w:tcPr>
            <w:tcW w:w="7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4"/>
        </w:trPr>
        <w:tc>
          <w:tcPr>
            <w:tcW w:w="3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660" w:type="dxa"/>
            <w:vAlign w:val="bottom"/>
            <w:gridSpan w:val="5"/>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Pr>
          <w:p>
            <w:pPr>
              <w:spacing w:after="0"/>
              <w:rPr>
                <w:sz w:val="15"/>
                <w:szCs w:val="15"/>
                <w:color w:val="auto"/>
              </w:rPr>
            </w:pPr>
          </w:p>
        </w:tc>
        <w:tc>
          <w:tcPr>
            <w:tcW w:w="6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4"/>
            <w:vMerge w:val="continue"/>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2"/>
                <w:szCs w:val="12"/>
                <w:color w:val="auto"/>
              </w:rPr>
            </w:pPr>
          </w:p>
        </w:tc>
        <w:tc>
          <w:tcPr>
            <w:tcW w:w="72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18,680</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43,593,678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162,820</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(103,494)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60,871</w:t>
            </w: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2,409</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(7,747)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(7,747)</w:t>
            </w:r>
          </w:p>
        </w:tc>
        <w:tc>
          <w:tcPr>
            <w:tcW w:w="0" w:type="dxa"/>
            <w:vAlign w:val="bottom"/>
          </w:tcPr>
          <w:p>
            <w:pPr>
              <w:spacing w:after="0"/>
              <w:rPr>
                <w:sz w:val="1"/>
                <w:szCs w:val="1"/>
                <w:color w:val="auto"/>
              </w:rPr>
            </w:pPr>
          </w:p>
        </w:tc>
      </w:tr>
      <w:tr>
        <w:trPr>
          <w:trHeight w:val="126"/>
        </w:trPr>
        <w:tc>
          <w:tcPr>
            <w:tcW w:w="3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 of redeemable noncontrolling interest from</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(7,017)</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0" w:type="dxa"/>
            <w:vAlign w:val="bottom"/>
          </w:tcPr>
          <w:p>
            <w:pPr>
              <w:spacing w:after="0"/>
              <w:rPr>
                <w:sz w:val="1"/>
                <w:szCs w:val="1"/>
                <w:color w:val="auto"/>
              </w:rPr>
            </w:pPr>
          </w:p>
        </w:tc>
      </w:tr>
      <w:tr>
        <w:trPr>
          <w:trHeight w:val="171"/>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 value to carrying value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11,663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43,593,678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172,246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(111,241)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62,550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18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20" w:type="dxa"/>
            <w:vAlign w:val="bottom"/>
            <w:gridSpan w:val="6"/>
          </w:tcPr>
          <w:p>
            <w:pPr>
              <w:ind w:left="22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240" w:type="dxa"/>
            <w:vAlign w:val="bottom"/>
            <w:gridSpan w:val="2"/>
          </w:tcPr>
          <w:p>
            <w:pPr>
              <w:jc w:val="right"/>
              <w:ind w:right="63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(17,442)</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 in fair value of private placement warrants</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exchange transaction loss (gain)</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4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(11,063)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(4,982)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 of research and development license</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4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(49)</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7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Proceeds from issuance of Class A Ordinary Shares in connection with a sale under the ATM, net of $0.2 million of</w:t>
            </w: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commissions</w:t>
            </w: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5,093</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4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4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5,183</w:t>
            </w: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Net decrease in cash and cash equivalents</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(5,929)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(9,989)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4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176,498</w:t>
            </w: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7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Cash and cash equivalents, ending of period</w:t>
            </w:r>
          </w:p>
        </w:tc>
        <w:tc>
          <w:tcPr>
            <w:tcW w:w="480" w:type="dxa"/>
            <w:vAlign w:val="bottom"/>
          </w:tcPr>
          <w:p>
            <w:pPr>
              <w:spacing w:after="0"/>
              <w:rPr>
                <w:sz w:val="15"/>
                <w:szCs w:val="15"/>
                <w:color w:val="auto"/>
              </w:rPr>
            </w:pPr>
          </w:p>
        </w:tc>
        <w:tc>
          <w:tcPr>
            <w:tcW w:w="7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170,569</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89,817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7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taxes</w:t>
            </w:r>
          </w:p>
        </w:tc>
        <w:tc>
          <w:tcPr>
            <w:tcW w:w="1240" w:type="dxa"/>
            <w:vAlign w:val="bottom"/>
            <w:gridSpan w:val="2"/>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w:t>
            </w:r>
          </w:p>
        </w:tc>
        <w:tc>
          <w:tcPr>
            <w:tcW w:w="1240" w:type="dxa"/>
            <w:vAlign w:val="bottom"/>
            <w:gridSpan w:val="2"/>
          </w:tcPr>
          <w:p>
            <w:pPr>
              <w:jc w:val="right"/>
              <w:ind w:right="63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redeemable noncontrolling interest from redemption value to carrying value</w:t>
            </w:r>
          </w:p>
        </w:tc>
        <w:tc>
          <w:tcPr>
            <w:tcW w:w="1240" w:type="dxa"/>
            <w:vAlign w:val="bottom"/>
            <w:gridSpan w:val="2"/>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Purchase of property and equipment included in accounts payable and accrued expenses</w:t>
            </w:r>
          </w:p>
        </w:tc>
        <w:tc>
          <w:tcPr>
            <w:tcW w:w="1240" w:type="dxa"/>
            <w:vAlign w:val="bottom"/>
            <w:gridSpan w:val="2"/>
          </w:tcPr>
          <w:p>
            <w:pPr>
              <w:jc w:val="right"/>
              <w:ind w:right="63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Zura Bio Limited, a Cayman Islands exempted company, formerly known as JATT Acquisition Corp (“JATT”), together with its subsidiaries (collectively, the “Company”, “Zura” or “Zura Bio”), is a clinical-stage, multi-asset immunology company dedicated to developing novel dual-pathway antibodies for a range of autoimmune and inflammatory diseases with unmet needs. The Company’s strategic focus is to harness dual-pathway biology to provide broader and deeper clinical benefits to patients with these conditions. The Company is currently developing one clinical-stage product candidate in ongoing Phase 2 trials while actively evaluating development opportunities for its pipeline of clinical-stage assets, focusing on indications with unmet needs and commercial potential.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currently developing tibulizumab (ZB - 106), an immunoglobulin G (IgG)-single-chain variable fragment (scFv) bispecific dual-antagonist antibody engineered by the fusion of TALTZ® (ixekizumab) and tabalumab to neutralize interleukin-17A (IL - 17A) and B-cell activating factor (BAFF). In December 2024, the Company initiated TibuSURE, a global Phase 2 study evaluating tibulizumab in adults with systemic sclerosis (SSc). TibuSURE is a randomized, double-blind, placebo-controlled study designed to assess the safety, tolerability, and efficacy of tibulizumab in approximately 80 participants with early diffuse cutaneous systemic sclerosis (dcSSc).</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is actively assessing the competitive landscape and evaluating potential therapeutic indications for crebankitug and torudokimab.</w:t>
      </w:r>
    </w:p>
    <w:p>
      <w:pPr>
        <w:spacing w:after="0" w:line="162" w:lineRule="exact"/>
        <w:rPr>
          <w:sz w:val="20"/>
          <w:szCs w:val="20"/>
          <w:color w:val="auto"/>
        </w:rPr>
      </w:pPr>
    </w:p>
    <w:p>
      <w:pPr>
        <w:jc w:val="both"/>
        <w:ind w:left="680" w:hanging="321"/>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Crebankitug (ZB-168) is a fully human, high affinity monoclonal antibody that binds and neutralizes the interleukin-7 receptor (IL - 7R) alpha chain. IL - 7Rα sits at the nexus of two key immune pathways, IL - 7 and thymic stromal lymphopoietin (TSLP), thus IL - 7Rα has the potential to block activation through either of these pathways. As a result, the Company believes crebankitug could be therapeutically relevant in a broad set of indications where the IL - 7 or TSLP pathways may be involved.</w:t>
      </w:r>
    </w:p>
    <w:p>
      <w:pPr>
        <w:spacing w:after="0" w:line="179"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Torudokimab (ZB - 880) is a fully human, high affinity monoclonal antibody that neutralizes interleukin-33 (IL - 33), preventing ST2 - dependent and ST2 - independent (e.g., RAGE) inflammation. The IL - 33/ST2 axis stands as a validated therapeutic target for conditions such as chronic obstructive pulmonary disease (“COPD”) and asthma.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20, 2023 (the “Closing Date”), the Company consummated the previously announced business combination (the “Business Combination”), pursuant to the terms of a business combination agreement (the “Business Combination Agreement”), dated as of June 16, 2022 (as amended on September 20, 2022, November 14, 2022, and January 13, 2023), by and among JATT, JATT Merger Sub, JATT Merger Sub 2, Zura Bio Holdings Ltd. (“Holdco”), and Legacy Zura. Pursuant to the Business Combination Agreement, (a) before the closing of the Business Combination, Holdco was established as a new holding company of Legacy Zura and became a party to the Business Combination Agreement; and (b) on the Closing Date, in sequential order: (i) Merger Sub merged with and into Holdco, with Holdco continuing as the surviving company and a wholly owned subsidiary of JATT; (ii) immediately following the Merger, Holdco merged with and into Merger Sub 2, with Merger Sub 2 continuing as the surviving company and a wholly owned subsidiary of JATT; and (iii) JATT changed its name to “Zura Bio Limited”.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JATT’s public shares, public warrants, and public units were listed on the New York Stock Exchange (“NYSE”) under the symbols “JATT,” “JATT.WS,” and “JATT.U,” respectively. On March 20, 2023, the Company’s Class A ordinary shares (“Class A Ordinary Shares”) and public warrants began trading on the Nasdaq Stock Market (“Nasdaq”) under the symbols “ZURA” and “ZURAW,” respectively. As of August 27, 2024, the Public Warrants (as defined herein) were no longer listed on the Nasdaq in connection with the completion of the Warrant Exchange (as defined herein). See Note 7.</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condensed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 The Company expects to no longer be an emerging growth company effective December 31,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The Company has an accumulated deficit of $173.3 million and $155.9 million as of March 31, 2025 and December 31, 2024, respectively, and a net loss of $17.4 million and $7.7 million for the three months ended March 31, 2025 and 2024, respectively. The Company’s existing sources of liquidity as of March 31, 2025 include $170.6 million in cash and cash equivalents.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Business Combination, the Company historically funded operations primarily with issuances of convertible preferred shares and a promissory note. Upon the closing of the Business Combination, the Company received $56.7 million in net cash proceeds. Additionally, the Company raised (a) $10.6 million of cash proceeds after placement agent commissions in connection with sales under the ATM (as defined herein), (b) an aggregate of $105.3 million of net cash proceeds from the sale of Class A Ordinary Shares and pre-funded warrants in April 2024 (the “April 2024 Private Placement”), and (c) $75.8 million in net cash proceeds from the sale of Class A Ordinary Shares and pre-funded warrants in May and June 2023 (the “April 2023 Private Placement”). The Company’s cash requirements include, but are not limited to, clinical development, product manufacturing costs and working capital requirements. The Company expects that such operating losses and negative cash flows from operations will continue, but that it should have sufficient liquidity to fund its operations over the next twelve months.</w:t>
      </w:r>
    </w:p>
    <w:p>
      <w:pPr>
        <w:spacing w:after="0" w:line="184"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(the “condensed consolidated financial statements”) have been prepared in conformity with accounting principles generally accepted in the United States of America (“U.S. GAAP”) and include the accounts of its consolidated subsidiaries. Other shareholders’ interests in the Company’s subsidiaries, Z33 Bio, Inc. (“Z33”) and ZB17 LLC (“ZB17”), are shown in the condensed consolidated financial statements as redeemable noncontrolling interest and noncontrolling interest, respectively. All intercompany balances and transactions have been eliminated in consolidation.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U.S. GAAP applicable to interim financial statements. These condensed consolidated financial statements are presented in accordance with the rules and regulations of the U.S. Securities and Exchange Commission (“SEC”) and do not include all disclosures normally required in annual consolidated financial statements prepared in accordance with U.S. GAAP. As such, the information included herein should be read in conjunction with the Company’s consolidated financial statements and accompanying notes as of and for the year ended December 31, 2024 (the “audited consolidated financial statements”) that were included in the Company’s Form 10-K filed with the SEC on March 25, 2025 (the “Annual Report”). In Management’s opinion, these unaudited condensed consolidated financial statements have been prepared on the same basis as the annual consolidated financial statements and reflect all adjustments, which include normal recurring adjustments, necessary for the fair statement of the Company’s financial position as of March 31, 2025 and the results of operations for the three months ended March 31, 2025 and 2024. The results of operations for the three months ended March 31, 2025 are not necessarily indicative of the results to be expected for the full year ending December 31, 2025 or any other future interim or annual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the Company’s significant accounting policies from those that were disclosed in Note 2, Summary of Significant Accounting Policies, included in the Company’s consolidated financial statements in the Company’s Annual Report.</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the Company’s management to make estimates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Significant estimates and assumptions reflected in the condensed consolidated financial statements relate to and include, but are not limited to, the fair value of share-based compensation, the fair value of redeemable noncontrolling interest, the valuation allowance of deferred tax assets resulting from net operating losses and the fair value of the private placement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 candidates will require approvals from the United States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 adverse impact on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The Company’s CODM is the Chief Executive Officer. The Company and the CODM views its operations and manages its business in one operating segment, developing novel medicines for immune and inflammatory disorders. The Company has business activities in different regions that are managed on a consolidated basis.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policies of the Company’s segment are the same as those described within this footnote. The CODM uses net loss, that is reported in the condensed consolidated statements of operations to assess performance for the Company’s segment and decide how to allocate resources. The significant expenses within net loss are separately presented in the Company’s condensed consolidated statement of operations. The CODM monitors budget versus actual results using operating loss which is a component of net loss. The measure of segment assets is reported on the condensed consolidated balance sheet as total consolidated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Class A Ordinary Shareholders by the weighted-average number of Class A Ordinary Shares outstanding during the period. Basic and diluted net loss per share were the same for each period presented as the inclusion of all potentially dilutive securities outstanding would have been anti-dilutive due to the Company’s net loss.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provides potentially dilutive securities not included in the calculation of the diluted net loss per share as of the periods presented because to do so would be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86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options to purchase Class A Ordinary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13,593,638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7,108,188</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Z33 Series Seed Preferred Shares Put Right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vesting of restricted share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859,923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1,421,473</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374,995</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warrants to purchase Class A Ordinary Shares</w:t>
            </w:r>
          </w:p>
        </w:tc>
        <w:tc>
          <w:tcPr>
            <w:tcW w:w="18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12,809,996</w:t>
            </w:r>
          </w:p>
        </w:tc>
      </w:tr>
      <w:tr>
        <w:trPr>
          <w:trHeight w:val="20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16,703,558</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23,714,652</w:t>
            </w:r>
          </w:p>
        </w:tc>
      </w:tr>
      <w:tr>
        <w:trPr>
          <w:trHeight w:val="20"/>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results of operations, or cash flows upon adoption.</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is intended to enhance the transparency and decision usefulness of income tax disclosures. The amendments in the ASU address investor requests for enhanced income tax information primarily through changes to the rate reconciliation and income taxes paid information. ASU 2023-09 is effective for the Company beginning with the Company’s Annual Report on Form-10-K for the year ended December 31, 2025. Early adoption is permitted. The Company is currently evaluating the presentational effect that ASU 2023-09 will have on the Company’s consolidated financial statements and disclosures, but the Company expects considerable changes to the Company’s income tax disclosures.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(“ASU 2024-03”). This ASU requires disclosure,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financial statements, of the nature of certain expenses included in the income statement. ASU 2024-03 will be effective for annual reporting periods beginning after December 15, 2026, and interim reporting periods beginning after December 15, 2027. Early adoption is permitted. The Company is currently evaluating the impact of ASU 2024-03 and expects to adopt it for the year ending December 31, 2027.</w:t>
      </w:r>
    </w:p>
    <w:p>
      <w:pPr>
        <w:spacing w:after="0" w:line="180"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Inputs are observable, unadjusted quoted prices in active markets for similar assets or liabilities, unadjusted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significant to the measurement of the fair value of the assets or liabilities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supported by little or no market data.</w:t>
      </w:r>
    </w:p>
    <w:p>
      <w:pPr>
        <w:sectPr>
          <w:pgSz w:w="11900" w:h="16838" w:orient="portrait"/>
          <w:cols w:equalWidth="0" w:num="1">
            <w:col w:w="9920"/>
          </w:cols>
          <w:pgMar w:left="980" w:top="513" w:right="99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and cash equivalents, prepaid and other current assets, accounts payable and accrued expenses, and private placement warrants. The carrying values of the Company’s cash, prepaid and other current assets, and accounts payable and accrued expenses approximate their fair value due to the short-term maturity of these instruments.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 of March 31, 2025 and December 31, 2024, and the fair value hierarchy of the valuation techniques utilized.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167,563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167,563</w:t>
            </w:r>
          </w:p>
        </w:tc>
      </w:tr>
      <w:tr>
        <w:trPr>
          <w:trHeight w:val="20"/>
        </w:trPr>
        <w:tc>
          <w:tcPr>
            <w:tcW w:w="3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3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170,743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170,743</w:t>
            </w:r>
          </w:p>
        </w:tc>
      </w:tr>
      <w:tr>
        <w:trPr>
          <w:trHeight w:val="20"/>
        </w:trPr>
        <w:tc>
          <w:tcPr>
            <w:tcW w:w="3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into or out of Level 1, Level 2, or Level 3 during the three months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2024, pursuant to the Warrant Exchange, the Company exchanged all of the outstanding Private Placement Warrants (as defined herein) for Class A Ordinary Shares. See Note 7. The Private Placement Warrants were measured at fair value on a recurring basis. Because the transfer of Private Placement Warrants to non-permitted transferees would result in the Private Placement Warrants having substantially the same terms as the Public Warrants (as defined herein), the Company determined that the fair value of each Private Placement Warrant is consistent with that of a Public Warrant. Accordingly, the Private Placement Warrants were classified as Level 2 financial instruments. Upon completion of the Warrant Exchange, the Private Placement Warrants were remeasured to settlement value which was determined based on the fair value of the Class A Ordinary Shares issued in exchange for the Private Placement Warrants. There were no Private Placement Warrants outstanding as of March 31, 2025 and December 31, 2024. The change in fair value of the Private Placement Warrants for the three months ended March 31, 2024 was $0.6 million.</w:t>
      </w:r>
    </w:p>
    <w:p>
      <w:pPr>
        <w:spacing w:after="0" w:line="17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is comprised of the following as of March 31, 2025 and December 31, 2024:</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3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   December 31, 2024</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Accrued 2023 Lilly License costs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0"/>
        </w:trPr>
        <w:tc>
          <w:tcPr>
            <w:tcW w:w="5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w:t>
            </w:r>
          </w:p>
        </w:tc>
      </w:tr>
      <w:tr>
        <w:trPr>
          <w:trHeight w:val="20"/>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Lilly License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26, 2023, the Company’s consolidated subsidiary ZB17 LLC (“ZB17”) entered into a license agreement (the “2023 Lilly License” and, together with the 2022 Lilly License (as defined below), the “Lilly Licenses”) with Lilly, for an exclusive license to develop, manufacture and commercialize a certain bispecific antibody relating to IL-17 and BAFF (“tibulizumab”).</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as a finder’s fee for arranging the acquisition of the 2023 Lilly License, ZB17 granted Stone Peach the right, but not the obligation, to purchase 4.99% of the fully diluted equity of ZB17 for $1.0 million (the “Stone Peach Call Right”). The Stone Peach Call Right is not exercisable until after the last patient is dosed in any single next clinical trial with tibulizumab and expires one year from the date of first indication approval for tibulizumab by the FDA or the European Medicines Agency (“EMA”). The Stone Peach Call Right represents noncontrolling interest in the Company’s consolidated subsidiary, ZB17. As of March 31, 2025 and December 31, 2024, the noncontrolling interest balance was $1.5 million in the condensed consolidated balance sheets.</w:t>
      </w:r>
    </w:p>
    <w:p>
      <w:pPr>
        <w:spacing w:after="0" w:line="1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additional consideration, beginning on May 1, 2023, Stone Peach receives an annual payment of $0.6 million initially, and increasing by 10% annually, so long as the Company maintains its license for tibulizumab, to be paid on May 1st of each year. The Company records expenses for these annual payments when they become due.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one-time payment of $4.5 million for additional consideration due to Stone Peach upon acceptance from the FDA for its Investigational New Drug (“IND”) and commencement of the clinical trial for tibulizumab was recorded in research and development in the consolidated statement of operations for the year ended December 31, 2024 and is included in accounts payable and accrued expenses in the condensed consolidated balance sheets as of March 31, 2025 and December 31, 2024.</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measured on April 24th of each year. As the Company’s fully diluted shares outstanding exceeded 52,500,000 shares prior to December 31, 2023, the $5.0 million fee was recorded in research and development in the consolidated statement of operations for the year ended December 31, 2023, and is included in accounts payable and accrued expenses in the condensed consolidated balance sheets as of March 31, 2025 and December 31, 2024.</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consideration paid and/or earned during the years ended December 31, 2024 and 2023, the Company is also obligated to make payments (a) to Lilly for four (4) development milestone payments up to an aggregate of $155.0 million, and sales milestone payments up to an aggregate of $440.0 million based on respective thresholds of net sales of products developed from tibulizumab; (b) to Lilly over a multi-year period (twelve years, or upon the later expiration of regulatory exclusivity of tibulizumab in a country) for an annual earned royalty at a marginal royalty rate in the mid-single digits to low-double digits, with increasing rates depending on net sales in the respective calendar year, based on a percentage of sales within varying thresholds for a certain period of years; (c) to BAFFX17 for a fee equal to 3% of any milestone or royalty payments due to Lilly pursuant to the terms of either the 2022 Lilly License or the 2023 Lilly License; (d) to Stone Peach for a one-time milestone payment of $25 million upon either (i) certain equity-related transactions, or</w:t>
      </w:r>
    </w:p>
    <w:p>
      <w:pPr>
        <w:spacing w:after="0" w:line="1"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regulatory approval from the applicable regulatory authority for any new indication in the applicable jurisdiction; and</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Stone Peach for a royalty of 2% of the aggregate net sales of any products developed from the Compound (collectively, the “2023 Lilly Contingent Payments”). As of March 31, 2025, none of the 2023 Lilly Contingent Payments are due and accordingly will not be recorded in the Company’s financial statements until they are due.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Lilly License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8, 2022, the Company’s consolidated subsidiary,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2022, as a finder’s fee for the 2022 Lilly License, the Company’s consolidated subsidiary Z33 issued 4,900,222 shares of Z33 Series Seed Preferred Shares to Stone Peach. Zura and Stone Peach have the following rights, as amended, (a) Zura has the right, but not the obligation to purchase up to 50% of the Series Seed Preferred Shares issued to Stone Peach at a price per share of $2.448869 for a period of two years from the date of the agreement (the “Call Option”); (b) Stone Peach has the right, but not the obligation to sell up to 50% of the Series Seed Preferred Shares issued to Stone Peach to Zura for a price per share of $2.040724 (the “Put Option”), and (c) Stone</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Peach has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See Note 10. The Z33 Series Seed Preferred Shares are remeasured to the greater of the redemption value or the initial fair value, less noncontrolling shareholder’s interest in net loss of Z33, at each reporting period. The Z33 Series Seed Preferred Shares represent redeemable noncontrolling interest in the Company’s consolidated subsidiary, Z33.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consideration paid and transferred in 2022 and 2023, the Company is also obligated to make payments to Lilly for (a) $3.0 million upon the completion of a financing by Z33 with gross proceeds exceeding $100.0 million; (b) 10 commercial, development and regulatory milestone payments up to an aggregate of $155.0 million and sales milestone payments up to an aggregate of $440.0 million based on respective thresholds of net sales of products developed from the licensed compound, if any; and (c) an annual earned royalty at a marginal royalty rate between in the mid-single to low-double digits (less than 20%), with increasing rates based on net sales in the respective calendar year, based on a percentage of sales within varying thresholds for a certain period of the year, if any year (collectively, the “2022 Lilly Contingent Payments”). The Company will account for these contingent milestone payments when they become due. As of March 31, 2025, none of the 2022 Lilly Contingent Payments are due and accordingly will not be recorded in the Company’s financial statements until they are due.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Agreement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22, 2022, the Company entered into a license agreement and a Series A-1 Subscription and Shareholder’s Agreement (collectively, the “Pfizer Agreement”) with Pfizer. Under the Pfizer Agreement, the Company acquired a license for a compound previously developed by Pfizer.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consideration paid and transferred during 2022 and 2023 and the first $1.0 million development milestone paid during 2024, the Company is obligated to make payments to Pfizer for (a) eleven (11) remaining future development and regulatory milestone payments aggregating up to $69.0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the Company’s Products, if any (collectively, the “Pfizer Contingent Payments”). Royalties are payable on a country-by-country basis for a certain period of years or upon the later expiration of regulatory exclusivity of the Company’s Products in a country.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no additional Pfizer Contingent Payments are due and accordingly no additional Pfizer Contingent Payments will be recorded in the Company’s financial statements until they are due.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Lonza License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may terminate the Lonza License at any time upon 60 days’ notice, with or without cause. Lonza may terminate the Lonza License for cause upon a breach by the Company or for other commercially standard reasons.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Lonza License, the Company has a license fee of $0.4 million due to Lonza annually in the fourth quarter as a result of manufacturing drug substance with a third party other than Lonza since 2023. For the year ended December 31, 2024 the Company recorded $0.4 million for the Lonza License, which is included in accounts payable and accrued expenses in the condensed consolidated balance sheet as of March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WuXi Biologics License</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2023, the Company entered into a cell line license agreement (the “Cell Line License Agreement”) with WuXi Biologics and its Affiliates (“WuXi Biologics”) for certain of WuXi Biologics’ know – 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If the Company manufactures all of its commercial supplies of bulk drug product for WuXi Biologics Licensed Products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(i) by the Company upon three months’ prior written notice and its payment of all undisputed amounts due to WuXi Biologics through the effective date of termination, (ii) by WuXi Biologics for a material breach by the Company that remains uncured for 30 days after written notice, or (iii) by WuXi Biologics if the Company fails to make a payment and such failure continues for 30 days after receiving notice of such failure. As of March 31, 2025, there are no payments currently due under the Cell Line License Agreement.</w:t>
      </w:r>
    </w:p>
    <w:p>
      <w:pPr>
        <w:spacing w:after="0" w:line="180"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16, 2023, in connection with the closing of the Business Combination and effective upon the Closing Date, the Company authorized 300,000,000 Class A Ordinary Shares, par value of $0.0001 and 1,000,000 preferred shares, par value of $0.0001.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ATM Program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filed a shelf registration statement on Form S-3 (the “Shelf Registration Statement”), which was declared effective on September 17, 2024. Pursuant to the Shelf Registration Statement, the Company may offer and sell ordinary shares, preference shares, debt securities, warrants and or units having an aggregate public offering price of up to $300.0 million. In connection with the filing of the Shelf Registration Statement, the Company also entered into a sales agreement (the “Sales Agreement”) with Leerink Partners LLC (“Leerink Partners”), relating to the sale of the Company’s Class A Ordinary Shares having an aggregate gross sales price of up to $125.0 million, from time to time through Leerink Partners, acting as sales agent (the “ATM”). During 2024, the Company incurred $0.6 million of offering expenses in connection with establishing the ATM.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2025, the Company sold 3,000,000 Class A Ordinary Shares at a price of $1.75 per share under the ATM, for net proceeds of $5.1 million, after placement agent commissions. As of March 31, 2025, $114.0 million of Class A Ordinary Shares remained available for sale under the Sales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Reserved for Issuance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shares reserved for issuance as of March 31, 2025 is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67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Shares issuable upon exercise of pre-funded warrants to purchase Class A Ordinary</w:t>
            </w:r>
          </w:p>
        </w:tc>
        <w:tc>
          <w:tcPr>
            <w:tcW w:w="1200" w:type="dxa"/>
            <w:vAlign w:val="bottom"/>
            <w:tcBorders>
              <w:top w:val="single" w:sz="8" w:color="auto"/>
            </w:tcBorders>
            <w:shd w:val="clear" w:color="auto" w:fill="CCEEFF"/>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23,884,348</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options to purchase Class A Ordinary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15,687,069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grant under 2023 Equity Incentive Plan and ESPP</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4,772,779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Z33 Put Right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release of restricted share units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874,923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 shares reserved for issuance</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47,219,119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774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15, 2024, the Company entered into a share surrender and warrant agreement with certain affiliated shareholders (the “Shareholders”), pursuant to which (i) the Shareholders surrendered an aggregate of 4,000,000 Class A Ordinary Shares owned by the Shareholders, for no consideration, which were immediately cancelled and retired, upon surrender; and (ii) the Company issued pre-funded warrants to purchase an aggregate of 4,000,000 Ordinary Shares, with an exercise price of $0.001 per share (the “Share Exchange Warrants”). See Note 12, Subsequent Events, for additional agreements entered into after March 31,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April 2024 Private Placement, the Company sold to accredited investors the pre-funded warrants to purchase up to 16,102,348 Class A Ordinary Shares at a price of $3.107 per pre-funded warrant for an aggregate purchase price of $108.3 million (the “2024 Pre-Funded Warrants”).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April 2023 Private Placement, the Company sold to accredited investors pre-funded warrants to purchase up to 3,782,000 Class A Ordinary Shares at a price of $4.249 per pre-funded warrant for an aggregate purchase price of approximately $16.1 million (the “2023 Pre-Funded Warrants”).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number of 2023 Pre-Funded Warrants, 2024 Pre-Funded Warrants and Share Exchange Warrants (collectively, the “Pre-Funded Warrants”) outstanding and their exercise price as of March 31, 2025:</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Issued</w:t>
            </w:r>
          </w:p>
        </w:tc>
        <w:tc>
          <w:tcPr>
            <w:tcW w:w="2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09"/>
        </w:trPr>
        <w:tc>
          <w:tcPr>
            <w:tcW w:w="4240" w:type="dxa"/>
            <w:vAlign w:val="bottom"/>
            <w:shd w:val="clear" w:color="auto" w:fill="CCEEFF"/>
          </w:tcPr>
          <w:p>
            <w:pPr>
              <w:jc w:val="right"/>
              <w:ind w:right="1639"/>
              <w:spacing w:after="0"/>
              <w:rPr>
                <w:sz w:val="20"/>
                <w:szCs w:val="20"/>
                <w:color w:val="auto"/>
              </w:rPr>
            </w:pPr>
            <w:r>
              <w:rPr>
                <w:rFonts w:ascii="Times New Roman" w:cs="Times New Roman" w:eastAsia="Times New Roman" w:hAnsi="Times New Roman"/>
                <w:sz w:val="18"/>
                <w:szCs w:val="18"/>
                <w:color w:val="auto"/>
              </w:rPr>
              <w:t>23,884,348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Pre-Funded Warrant is exercisable for one Class A Ordinary Share at any time or times until the Pre-Funded Warrants are exercised in full. A holder of the Pre-Funded Warrants (together with its affiliates and other attribution parties) may not exercise any portion of a Pre-Funded Warrant to the extent that immediately prior to or after giving effect to such exercise the holder would beneficially own more than 4.99% or 9.99%, depending on the holder of the Company’s outstanding Class A Ordinary Shares immediately after exercise, which percentage may be increased or decreased to any other percentage specified not in excess of 19.99% at the holder’s election upon 61 days’ notice to the Company subject to the terms of the Pre-Funded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12, 2024, the Company completed an exchange offer (the “Exchange Offer”) relating to its outstanding warrants that it assumed in connection with the Business Combination, including (i) public warrants to purchase 5,910,000 Class A Ordinary Shares (the “Public Warrants”) that were held by JATT, and (ii) private placement warrants to purchase 6,899,996 Class A Ordinary Shares (the “Private Placement Warrants”) that were held by JATT shareholders, and issued 2,064,082 Class A Ordinary Shares in exchange for the Public Warrants and 1,718,108 Class A Ordinary Shares in exchange for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16, 2023, JATT’s board of directors approved the Zura Bio Limited 2023 Equity Incentive Plan (the “Equity Incentive Plan”) which became effective on the day immediately preceding the Closing Date of the Business Combination. The Equity Incentive Plan allows for the grant of share options, both incentive and nonqualified share options; stock appreciation rights (“SARs”), alone or in conjunction with other awards; restricted shares awards (“RSAs”) and restricted share units (“RSUs”); incentive bonuses, which may be paid in cash, shares, or a combination thereof; and other share-based awards to employees, officers, non-employee directors and other service providers. The Company has granted share options, RSUs and RSAs that generally vest over four years and expire after 10 years.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Ordinary Shares issuable under the Equity Incentive Plan are subject to an annual increase on January 1st of each calendar year beginning on January 1, 2024, and ending on and including January 1, 2029, equal to the lesser of (i) 5.0% of the aggregate number of Class A Ordinary Shares outstanding on the final day of the immediately preceding calendar year, (ii) 8,059,796 Class A Ordinary Shares or (iii) such smaller number of shares as is determined by the board.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16, 2023, JATT’s board of directors approved the Zura Bio Limited 2023 Employee Stock Purchase Plan (the “ESPP”) which became effective on the day immediately preceding the Closing Date of the Business Combination. The maximum number of Class A Ordinary Shares that may be issued under the ESPP is 4,029,898, plus an aggregate number of Class A Ordinary shares that are automatically added under the Equity Incentive Plan on January 1st of each calendar year, beginning on January 1, 2024, and ending on and including January 1, 2029, as discussed above. The ESPP enables eligible employees of the Company and designated affiliates to purchase Class A Ordinary Shares at a discount of 15%. As of March 31, 2025, the Company has not activated its ESPP.</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2025, the Class A Ordinary Shares reserved for future issuances under the Equity Incentive Plan and ESPP were each increased by the annual automatic increase of 5% of outstanding Class A Ordinary Shares as of December 31, 2024, or 3,264,877 Class A Ordinary Shares. As of March 31, 2025, a maximum of 20,153,865 Class A Ordinary Shares were authorized for issuance under the Equity Incentive Plan and ESPP, collectively.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Equity Incentive Plan share options are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averaging the vesting period and the contractual life of the share options granted.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the Equity Incentive Plan share options issued during the three months ended March 31, 2025 and 2024:</w:t>
      </w:r>
    </w:p>
    <w:p>
      <w:pPr>
        <w:spacing w:after="0" w:line="169"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3320" w:type="dxa"/>
            <w:vAlign w:val="bottom"/>
            <w:tcBorders>
              <w:bottom w:val="single" w:sz="8" w:color="CCEEFF"/>
            </w:tcBorders>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4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99.7 %</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107.0 %</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4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864"/>
        </w:trPr>
        <w:tc>
          <w:tcPr>
            <w:tcW w:w="3320" w:type="dxa"/>
            <w:vAlign w:val="bottom"/>
          </w:tcPr>
          <w:p>
            <w:pPr>
              <w:spacing w:after="0"/>
              <w:rPr>
                <w:sz w:val="24"/>
                <w:szCs w:val="24"/>
                <w:color w:val="auto"/>
              </w:rPr>
            </w:pPr>
          </w:p>
        </w:tc>
        <w:tc>
          <w:tcPr>
            <w:tcW w:w="414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7"/>
        </w:trPr>
        <w:tc>
          <w:tcPr>
            <w:tcW w:w="33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share option activity for the three months ended March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12,217,747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3,572,790</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(75,468)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March 31,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15,687,069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March 31, 2025</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4,445,826</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options outstanding as of March 31, 2025 and December 31, 2024 in the table above are 2,089,901 and 2,165,369, respectively, options to purchase Class A Ordinary Shares issued to certain directors, executives, and employees outside of the Equity Incentive Plan.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the Company granted 1,053,000 share options to purchase Class A Ordinary shares with non-market performance conditions (“PSOs”), included in the table above, that will vest upon the earlier of achieving a one-year service condition or upon the Company’s Annual General Meeting (“AGM”). In February 2025, the date of the AGM was set to May 21, 2025, accordingly management determined that the performance condition was met and began recording the remaining unrecognized compensation expense of $1.5 million ratably through the date of the AGM.</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three months ended March 31, 2025 and 2024 was $0.97 and $2.91,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Market-Based Share Options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2025, there are 306,373 options outstanding to purchase Class A Ordinary Shares, with market-based performance conditions, (“Market-Based Share Options”) that were granted to a certain director of the board during 2023. These awards will vest only to the extent that the 20-day volume weighted average trading price (“VWAP”) of the Class A Ordinary Shares is over $30 per Class A Ordinary Share at any time prior to the fifth anniversary of the grant date. These awards have an exercise price of $8.16 and become exercisable when vested and the market condition is satisfied. These awards expire 10 years from the date of grant. The fair value of these Market-Based Share Options was estimated using a Monte Carlo valuation method on the grant date. No Market-Based Share Options were granted during the three months ended March 31, 2025 and the year ended December 31,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each of the three months ended March 31, 2025 and 2024, the Company recorded expense related to Market-Based Share Options, at the grant date fair value, of $0.2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three months ended March 31, 2025:</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9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FV</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outstanding as of December 31, 2024</w:t>
            </w:r>
          </w:p>
        </w:tc>
        <w:tc>
          <w:tcPr>
            <w:tcW w:w="9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874,923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outstanding as of March 31, 2025</w:t>
            </w: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874,923</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recorded expense related to RSUs of $0.4 million and $0.6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RSA activity for the three months ended March 31,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RSAs</w:t>
            </w:r>
          </w:p>
        </w:tc>
        <w:tc>
          <w:tcPr>
            <w:tcW w:w="120" w:type="dxa"/>
            <w:vAlign w:val="bottom"/>
          </w:tcPr>
          <w:p>
            <w:pPr>
              <w:spacing w:after="0"/>
              <w:rPr>
                <w:sz w:val="15"/>
                <w:szCs w:val="15"/>
                <w:color w:val="auto"/>
              </w:rPr>
            </w:pPr>
          </w:p>
        </w:tc>
        <w:tc>
          <w:tcPr>
            <w:tcW w:w="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RSAs outstanding as of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374,995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(124,998)</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RSAs outstanding as of March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the three months ended March 31, 2025 and 2024, the Company recorded expense related to RSAs of $0.3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for all equity arrangements for the three months ended March 31, 2025 and 2024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69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0"/>
        </w:trPr>
        <w:tc>
          <w:tcPr>
            <w:tcW w:w="6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2025, there was approximately $21.7 million of total unrecognized share-based compensation expense related to options granted to employees, executives, and directors that is expected to be recognized over a weighted average period of 3.1 years. As of March 31, 2025, there was approximately $3.7 million of total unrecognized share-based compensation expense related to RSUs granted to certain employees, executives, and directors under the Company’s Equity Incentive Plan that is expected to be recognized over a weighted average period of 2.2 years. As of March 31, 2025, there was approximately $2.0 million of total unrecognized share-based compensation expense related to RSAs granted to a certain director under the Company’s Equity Incentive Plan that is expected to be recognized over a weighted average period of 2.0 years.</w:t>
      </w:r>
    </w:p>
    <w:p>
      <w:pPr>
        <w:spacing w:after="0" w:line="117"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Noncontrolling Interest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finder’s fee for the 2022 Lilly License, the Company’s consolidated subsidiary Z33 issued 4,900,222 shares of Z33 Series Seed Preferred Shares to Stone Peach. Zura and Stone Peach have the following rights, as amended, (a) Zura has the right, but not the obligation to purchase up to 50% of the Series Seed Preferred Shares issued to Stone Peach at a price per share of $2.448869 for a period of two years from the date of the agreement (the “Call Option”); (b) Stone Peach has the right, but not the obligation to sell up to 50% of the Series Seed Preferred Shares issued to Stone Peach to Zura for a price per share of $2.040724 (the “Put Option”), and (c) Stone Peach has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it is not possible to specifically identify the shares that may be redeemed by exercising the Put Option, and the applicable unit of account is each share, the Company assessed that each share must be considered redeemable until the exercise or the expiration of the Put Option. Accordingly, the Z33 Series Seed Preferred Shares issued to Stone Peach represents redeemable noncontrolling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each of March 31, 2025 and December 31, 2024, the redeemable noncontrolling interest balance was recorded at its initial carrying amount, decreased for the noncontrolling interest’s share of Z33’s net loss, of $11.7 million.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the $7.1 million difference from remeasuring the redeemable noncontrolling interest from its redemption price to its initial carrying amount, decreased for the noncontrolling interest’s share of Z33’s net loss, as an adjustment to net loss to arrive at net loss attributable to Class A ordinary shareholders for the three months ended March 31, 2024 in the condensed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Defined Contribution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401(k) defined contribution retirement plan (the “401(k) Plan”) for all of its U.S. employees. For the 401(k) Plan, the Company makes a matching contribution up to a maximum of 6% of an employee’s annual salary. For U.K. employees, the Company contributes up to 6% of an employee’s annual salary to defined contribution retirement pension plans (the “U.K. Defined Contribution Plan” and, together with the 401(k) Plan, the “Defined Contribution Plans”). Contributions made by the Company vest 100% upon contribution. For each of the three months ended March 31, 2025 and 2024, the Company recorded expense of $0.1 million for the Defined Contribution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2025, the Company entered into share surrender and warrant agreements with certain affiliated shareholders (the “2025 Shareholders”), pursuant to which (i) the 2025 Shareholders surrendered an aggregate of 6,500,000 Class A Ordinary Shares owned by the 2025 Shareholders, for no consideration, which were immediately cancelled and retired, upon surrender; and (ii) the Company issued pre-funded warrants to purchase an aggregate of 6,500,000 Class A Ordinary Shares with an exercise price of $0.001 per share and no expiration date (the “2025 Pre-Funded Warrants). The 2025 Pre-Funded Warrants are exercisable immediately and have substantially identical terms to the form of 2024 Pre-Funded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consolidated results of operations and financial condition. You should read the following discussion and analysis of our financial condition and results of operations in conjunction with our audited consolidated financial statements as of December 31, 2024, included in the 2024 Annual Report filed with the SEC on March 25, 2025, and in conjunction with the unaudited condensed consolidated financial statements and notes thereto included elsewhere in this Quarterly Report.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discussion and analysis contains forward-looking statements. These forward-looking statements are subject to risks and uncertainties, including those discussed in the section titled “Risk Factors” in our Form 10-K filed with the SEC on March 25, 2025, as supplemented by the risks and uncertainties described in “Risk Factors” Item I.A. Risk Factors in Part II of this Quarterly Report, that could cause actual results to differ materially from historical results or anticipated results. You should carefully read the information under “Cautionary Note Regarding Forward-Looking Statements” in this Quarterly Report. Unless the context otherwise requires, references in this “Management’s Discussion and Analysis of Financial Condition and Results of Operations” to “Zura,” “we,” “us,” and “our” refer to Zura Bio Limited, a Cayman Islands exempted company formerly known as JATT Acquisition Corp, and its consolidated subsidiaries. References to JATT Acquisition Corp or “JATT” refer to the Company prior to the consummation of the Business Combination.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clinical-stage, multi-asset immunology company dedicated to developing novel dual-pathway antibodies for a range of autoimmune and inflammatory diseases with unmet needs. Leveraging the extensive experience of our team, we identify relevant diseases and develop our differentiated assets in those diseases. Our strategic focus is to harness dual-pathway biology to provide broader and deeper clinical benefits to patients with autoimmune and inflammatory diseases.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currently developing one clinical-stage product candidate in ongoing Phase 2 trials while actively evaluating development opportunities for our pipeline of clinical-stage assets, focusing on indications with unmet needs and commercial potential.</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currently developing tibulizumab (ZB-106), an immunoglobulin G (IgG)-single-chain variable fragment (scFv) bispecific dual-antagonist antibody engineered by the fusion of TALTZ® (ixekizumab) and tabalumab to neutralize interleukin-17A (IL-17A) and B-cell activating factor (BAFF). These cytokines play pivotal roles in various inflammatory and autoimmune disorders. By targeting IL-17A and BAFF, tibulizumab demonstrates potential in mitigating chronic inflammation while preserving the integrity of the immune system. Three Phase 1/1b clinical studies have been completed for tibulizumab, including studies involving participants with rheumatoid arthritis and Sjögren’s syndrome.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2024, we initiated TibuSURE, a global Phase 2 study evaluating tibulizumab in adults with systemic sclerosis (SSc). TibuSURE is a randomized, double-blind, placebo-controlled study designed to assess the safety, tolerability, and efficacy of tibulizumab in approximately 80 participants with early diffuse cutaneous systemic sclerosis (dcSSc). The study includes a 24-week efficacy period followed by a 28-week open-label extension (OLE). The primary endpoint is the modified Rodnan Skin Score (mRSS). Key efficacy endpoints include lung disease, assessed by quantitative high-resolution computed tomography (qHRCT) and forced vital capacity (FVC); physical function, measured by the Health Assessment Questionnaire-Disability Index (HAQ-DI); and the revised Combined Response Index in Systemic Sclerosis (rCRISS). Topline data are expected to be available in the fourth quarter of 2026.</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September 2024, we engaged a third-party Contract Research Organization (“CRO”) to oversee and conduct the Phase 2 clinical program evaluating tibulizumab in hidradenitis suppurativa (HS). This study is expected to initiate in the second quarter of 2025.</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Crebankitug (ZB-168) is a fully human, high affinity monoclonal antibody that binds and neutralizes the interleukin-7 receptor (IL-7R) alpha chain. IL-7Rα sits at the nexus of two key immune pathways, IL-7 and thymic stromal lymphopoietin (TSLP), thus IL-7Rα has the potential to block activation through either of these pathways. As a result, we believe crebankitug could be therapeutically relevant in a broad set of indications where the IL-7 or TSLP pathways may be involved. Three Phase 1/1b clinical studies have been conducted to date. We are actively assessing the competitive landscape and evaluating potential therapeutic indications for crebankitug.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Torudokimab (ZB-880) is a fully human, high affinity monoclonal antibody that neutralizes interleukin-33 (IL-33), preventing ST2-dependent and ST2-independent (e.g., RAGE) inflammation. The IL-33/ST2 axis stands as a validated therapeutic target for conditions such as chronic obstructive pulmonary disease (“COPD”) and asthma. Three Phase 1/2 clinical studies have been conducted to date. We are continuing to monitor external Phase 2 and Phase 3 IL-33/ST2 data releases from other companies related to asthma and COPD and</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actively assessing the competitive landscape and evaluating potential therapeutic indications to guide our future development efforts for torudokimab.</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as a Cayman Islands exempted company on March 10, 2021. Our wholly owned subsidiary, Zura Bio Limited (“Zura Bio UK”) was formed in the United Kingdom (“U.K.”), on January 18, 2022. Prior to March 20, 2023, our operations were conducted through Zura Bio UK.</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manufacturing, and research and development activities. Our lead product candidates are in the clinical testing stage; however, prior to the initiation of TibuSURE in December 2024, we have not conducted any clinical tests ourselves, nor have any been conducted during the period since our inception. We do not have any product candidates approved for sale and have not generated any revenue from product sales. We have funded our operations through (i) the sale of equity, raising an aggregate of $10.0 million of gross proceeds from the sale of our convertible preferred shares of Zura Bio UK through March 31, 2023; (ii) the issuance of a promissory note, receiving net proceeds of $7.6 million in December 2022; (iii) proceeds from the Business Combination of $56.7 million in March 2023; (iv) the sale of Class A Ordinary Shares and pre-funded warrants during the year ended December 31, 2023 (the “April 2023 Private Placement”), raising an aggregate of $80.0 million of gross proceeds; (v) the sale of Class A Ordinary Shares and pre-funded warrants in April 2024 (the “April 2024 Private Placement”) raising an aggregate of $112.5 million of gross proceeds; (vi) the sale of 1,500,000 Class A Ordinary Shares at a price of $3.80 per share under the ATM (as defined below) for net proceeds of $5.5 million, after placement agent commissions, in September 2024; and (vii) the sale of 3,000,000 Class A Ordinary Shares at a price of $1.75 per share under the ATM for net proceeds of $5.1 million, after placement agent commissions, in the first quarter of 2025.</w:t>
      </w:r>
    </w:p>
    <w:p>
      <w:pPr>
        <w:spacing w:after="0" w:line="1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for the three months ended March 31, 2025 and 2024 were $17.4 million and $7.7 million, respectively. As of March 31, 2025, we had an accumulated deficit of $173.3 million. We anticipate that our expenses will increase significantly in connection with our ongoing activities, as we:</w:t>
      </w:r>
    </w:p>
    <w:p>
      <w:pPr>
        <w:spacing w:after="0" w:line="176" w:lineRule="exact"/>
        <w:rPr>
          <w:sz w:val="20"/>
          <w:szCs w:val="20"/>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preclinical studies and clinical trials for our product candidates, as well as initiate and complete additional trials of future potential product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current good manufacturing practices, or cGMP, material for clinical trials or potential commercial sales;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regulatory, manufacturing, scientific and administrative personnel;</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manufacturing and distribution capabilities to commercialize any product candidates for which we may obtain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20, 2023 (the “Closing Date”), we consummated the previously-announced transactions contemplated by the Business Combination Agreement, dated June 16, 2022, as amended on September 20, 2022, November 14, 2022, and January 13, 2023 by and among Zura Bio Limited, a limited company incorporated under the laws of England and Wales (“Zura Bio UK”), JATT Acquisition Corp, a Cayman Islands exempted company (“JATT”), JATT Merger Sub, a Cayman Islands exempted company and wholly owned subsidiary of JATT (“Merger Sub”), JATT Merger Sub 2, a Cayman Islands exempted company and wholly owned subsidiary of JATT (“Merger Sub 2”) and Zura Bio Holdings Ltd, a Cayman Islands exempted company (“Holdco”), following the approval at an extraordinary general meeting of JATT’s shareholders held on March 16, 2023.On March 21, 2023, our Class A Ordinary Shares and public warrants began trading on the Nasdaq under the symbols “ZURA” and “ZURAW,” respectively. As of August 27, 2024, our public warrants were no longer listed on the Nasdaq in connection with the completion of our exchange of our public warrants for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and ATM Program</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shelf registration statement on Form S-3 declared effective on September 17, 2024 (the “Shelf Registration Statement”), we may offer and sell ordinary shares, preference shares, debt securities, warrants and or units having an aggregate public offering price of up to $300.0 million. In connection with the filing of the Shelf Registration Statement, we also entered into a sales agreement (the “Sales Agreement”) with Leerink Partners LLC (“Leerink Partners”), relating to the sale of our Class A Ordinary Shares having an aggregate gross sales price of up to $125.0 million, from time to time through Leerink Partners, acting as sales agent (the “ATM”). In the first quarter of 2025, we sold 3,000,000 Class A Ordinary Shares at a price of $1.75 per share under the ATM, for net proceeds of $5.1 million, after placement agent commissions. As of the date of this filing, we have $114.0 million of Class A Ordinary Shares remaining available for sale under the Sales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 Exchange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2025, we entered into share surrender and warrant agreements with certain affiliated shareholders (the “2025 Shareholders”), pursuant to which (i) the 2025 Shareholders surrendered an aggregate of 6,500,000 Class A Ordinary Shares owned by the 2025 Shareholders, for no consideration, which were immediately cancelled and retired, upon surrender; and (ii) we issued pre-funded warrants to purchase an aggregate of 6,500,000 Class A Ordinary Shares, with an exercise price of $0.001 per share and no expiration date (the “2025 Pre-Funded Warrants). The 2025 Pre-Funded Warrants are exercisable immediately and have substantially identical terms to the pre-funded warrants issued in 2024 in connection with our April 2024 subscription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Lilly License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April 26, 2023, our consolidated subsidiary ZB17 LLC (“ZB17”) entered into a license agreement (the “2023 Lilly License” and, together with the 2022 Lilly License (as defined below), the “Lilly Licenses”) with Lilly, for an exclusive license to develop, manufacture and commercialize a certain bispecific antibody relating to IL-17 and BAFF (“tibulizumab”).</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in 2023 ZB17 granted Stone Peach the right, but not the obligation, to purchase 4.99% of the fully diluted equity of ZB17 for $1.0 million (the “Stone Peach Call Right”). The Stone Peach Call Right is not exercisable until after the last patient is dosed in any single next clinical trial with tibulizumab and expires one year from the date of first indication approval for tibulizumab by the United States Food and Drug Administration (“FDA”) or the European Medicines Agency (“EMA”). The Stone Peach Call Right represents noncontrolling interest in our consolidated subsidiary, ZB17. As of March 31, 2025 and December 31, 2024 the noncontrolling interest balance was $1.5 million in the condensed consolidated balance sheets.</w:t>
      </w:r>
    </w:p>
    <w:p>
      <w:pPr>
        <w:spacing w:after="0" w:line="187"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color w:val="auto"/>
        </w:rPr>
        <w:t>As additional consideration, beginning on May 1, 2023, Stone Peach receives an annual payment of $0.6 million initially, and increasing by 10% annually, so long as we maintain our license for tibulizumab, to be paid on May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We record expenses for these annual payments when they become due.</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one-time payment of $4.5 million for additional consideration due to Stone Peach upon acceptance from the FDA for our Investigational New Drug (“IND”) and commencement of our clinical trial for tibulizumab was recorded in research and development in the consolidated statement of operations for the year ended December 31, 2024 and is included in accounts payable and accrued expenses in the condensed consolidated balance sheets as of March 31, 2025 and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we agreed to make a one-time milestone payment of $5.0 million to BAFFX17, Ltd (“BAFFX17”) upon the occurrence of either: (i) a change of control transaction, (ii) the closing of an issuance of equity or equity-linked securities by us of at least $100.0 million (iii) the consummation of a sale of assets resulting in net proceeds in excess of $100.0 million, or (iv) our fully diluted shares outstanding exceed 52,500,000 shares (on a split adjusted basis), as measured on April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each year. As our fully diluted shares outstanding exceeded 52,500,000 shares prior to December 31, 2023, the $5.0 million fee was recorded in research and development in the consolidated statement of operations for the year ended December 31, 2023, and is included in accounts payable and accrued expenses in the condensed consolidated balance sheets as of March 31, 2025 and December 31, 2024.</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the consideration paid and/or earned in 2024 and 2023, we are also obligated to make payments (a) to Lilly for four (4) development milestone payments up to an aggregate of $155.0 million, and sales milestone payments up to an aggregate of $440.0 million based on respective thresholds of net sales of products developed from tibulizumab; (b) to Lilly over a multi-year period (twelve years, or upon the later expiration of regulatory exclusivity of tibulizumab in a country) for an annual earned royalty at a marginal royalty rate in the mid-single digits to low-double digits, with increasing rates depending on net sales in the respective calendar year, based on a percentage of sales within varying thresholds for a certain period of years; (c) to BAFFX17 for a fee equal to 3% of any milestone or royalty payments due to Lilly pursuant to the terms of either the 2022 Lilly License or the 2023 Lilly License; (d) to Stone Peach for a one-time milestone payment of $25 million upon either (i) certain equity-related transactions, or (ii) the receipt of regulatory approval from the applicable regulatory authority for any new indication in the applicable jurisdiction; and (e) to Stone Peach for a royalty of 2% of the aggregate net sales of any products developed from the Compound (collectively, the “2023 Lilly Contingent Payments”). As of March 31, 2025, none of the 2023 Lilly Contingent Payments are due and accordingly will not be recorded in our financial statements until they are due.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Lilly License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8, 2022, our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2022, as a finder’s fee in connection with arranging the acquisition, Z33 issued to Stone Peach Properties, LLC (“Stone Peach”) 4,900,222 shares of Z33 Series Seed Preferred Shares to Stone Peach. We and Stone Peach have the following rights, as amended, (a) we have the right, but not the obligation to purchase up to 50% of the Series Seed Preferred Shares issued to Stone Peach at a price per share of $2.448869 for a period of two years from the date of the agreement (the “Call Option”); (b) Stone Peach has the right, but not the obligation to sell up to 50% of the Series Seed Preferred Shares issued to Stone Peach to us for a price per share of $2.040724 (the “Put Option”), and (c) Stone Peach has the right, but not the obligation to sell up to 50% of the Series Seed Preferred Shares issued to Stone Peach to us in exchange for 2,000,000 Class A Ordinary Shares (the “Put Right”). Stone Peach may exercise its Put Option and Put Right at any time between April 24, 2024, and April 24, 2028. The Z33 Series Seed Preferred Shares are remeasured to the greater of the redemption value or the initial fair value, less noncontrolling shareholder’s interest in net loss of Z33, at each reporting period. The Z33 Series Seed Preferred Shares represent redeemable noncontrolling interest in our consolidated subsidiary, Z33.</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consideration paid and transferred in 2022, we are also obligated to make payments to Lilly for (a) $3.0 million upon the completion of a financing by Z33 with gross proceeds exceeding $100.0 million; (b) 10 commercial, development and regulatory milestone payments up to an aggregate of $155.0 million and sales milestone payments up to an aggregate of $440.0 million based on respective thresholds of net sales of products developed from the licensed compound, if any; and (c) an annual earned royalty at a marginal royalty rate between in the mid-single to low-double digits (less than 20%), with increasing rates based on Net Sales in the respective calendar year, based on a percentage of sales within varying thresholds for a certain period of the year, if any year (collectively, “the “2022 Lilly Contingent Payments”). We will account for these contingent milestone payments as they become due. As of March 31, 2025, none of the 2022 Lilly Contingent Payments are due and accordingly will not be recorded in our financial statements until they are due.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Pfizer 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22, 2022, we entered into a license agreement and a Series A-1 Subscription and Shareholder’s Agreement (collectively, the “Pfizer Agreement”) with Pfizer. Under the Pfizer Agreement, we acquired a license for a compound previously developed by Pfizer.</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consideration paid and transferred during 2022 and 2023 and the first $1.0 million development milestone paid during 2024, we are obligated to make payments to Pfizer for (a) eleven (11) remaining future development and regulatory milestone payments aggregating up to $69.0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Products, if any (collectively, the “Pfizer Contingent Payments”). Royalties are payable on a country-by-country basis for a certain period of years or upon the later expiration of regulatory exclusivity of our Products in a country.</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no additional Pfizer Contingent Payments are due and accordingly no additional Pfizer Contingent Payments will be recorded in our financial statements until they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Economic Trends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Macroeconomic conditions, including uncertainties associated with the changes to and by the United States federal government administration, the Israel-Hamas war, the ongoing conflict between Ukraine and Russia, international trade policies including tariffs, economic slowdowns, public health crises, labor shortages, recessions or market corrections, supply chain disruptions, inflation and monetary policy shifts, liquidity concerns at, and failures of, banks and other financial institutions or other disruptions in the banking system or financing markets, rising interest rates and financial and credit market fluctuations, volatility in the capital markets or other evolving macroeconomic developments, continue to have direct and indirect impacts on our business and could in the future materially impact our results of operations and financial condition. Recent tariffs and trade restrictions have increased costs and complexity for many businesses, which we expect to have an adverse impact on our business. We continue to actively monitor the impact of these macroeconomic factors on our results of operations, financial condition and cash flows. The extent of the impact of these factors on our operational performance and financial condition,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consist of all direct and indirect operating expenses supporting the processes and manufacturing in development, including consulting fees for clinical and manufacturing advisory services, CRO costs, costs related to manufacturing material for preclinical studies, payroll and benefits, which includes share-based compensation for research and development employees, licensing fees, and data and study acquisition costs. Expenses are recognized as the related goods are delivered or the services are performed.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R&amp;D expenses include the cost of in-process research and development (“IPR&amp;D”) assets purchased in an asset acquisition transaction. IPR&amp;D assets are expensed provided that the acquired asset did not also include processes or activities that would constitute a “business” as defined under United States Generally Accepted Accounting Principles (“U.S. GAAP”), the drug has not achieved regulatory approval for marketing and, absent obtaining such approval, has no established alternative future use. Acquired IPR&amp;D payments, including upfront payments, transaction fees and subsequent pre-commercial milestone payments, are immediately expensed in the period in which they are incurred. Research and development costs incurred after the acquisition are expensed as incurred. R&amp;D expenses also include the remeasurement of the research and development license consideration liability.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expenses could include:</w:t>
      </w:r>
    </w:p>
    <w:p>
      <w:pPr>
        <w:spacing w:after="0" w:line="225" w:lineRule="exact"/>
        <w:rPr>
          <w:sz w:val="20"/>
          <w:szCs w:val="20"/>
          <w:color w:val="auto"/>
        </w:rPr>
      </w:pPr>
    </w:p>
    <w:p>
      <w:pPr>
        <w:ind w:left="6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share-based compensation and other related costs for those employees involved in research and development efforts;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investigative sites and consultants to conduct our studies;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preclinical studies and clinical trials, including fees paid to contract manufacturing organizations;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under our licensing agreements;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clinical programs. We cannot determine with certainty the timing of initiation, the duration or the completion costs of current or future clinical studies of our product candidates due to the inherently unpredictable nature of clinical development. 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clinical trials, regulatory developments and our ongoing assessments as to commercial potential. We will need to raise substantial additional capital in the future. Our clinical development costs are expected to increase as we commence, continue and expand our clinical trials. Our future expenses may vary significantly each period based on factors such as:</w:t>
      </w:r>
    </w:p>
    <w:p>
      <w:pPr>
        <w:spacing w:after="0" w:line="192"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clinical trial costs, including based on the number of doses that patients receive;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clinical trial;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approval;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clinical trials and follow-up;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contractors failing to comply with regulatory requirements or meet their contractual obligations in a timely manner, or at all;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insurance, including product liability insurance, in connection with clinical trials;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primarily consist of professional fees for legal, accounting, and consulting costs relating to corporate matters, as well as salaries and related costs for personnel in executive and administrative functions and board of director fees, including share-based compensation.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continue to support research and development activities and incur increased costs of operating as a public company. These costs include increased headcount to support expanded operations and infrastructure.</w:t>
      </w:r>
    </w:p>
    <w:p>
      <w:pPr>
        <w:spacing w:after="0" w:line="176"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5"/>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136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020" w:type="dxa"/>
            <w:vAlign w:val="bottom"/>
            <w:gridSpan w:val="2"/>
          </w:tcPr>
          <w:p>
            <w:pPr>
              <w:jc w:val="right"/>
              <w:ind w:right="7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10,474</w:t>
            </w:r>
          </w:p>
        </w:tc>
        <w:tc>
          <w:tcPr>
            <w:tcW w:w="80" w:type="dxa"/>
            <w:vAlign w:val="bottom"/>
          </w:tcPr>
          <w:p>
            <w:pPr>
              <w:spacing w:after="0"/>
              <w:rPr>
                <w:sz w:val="12"/>
                <w:szCs w:val="12"/>
                <w:color w:val="auto"/>
              </w:rPr>
            </w:pPr>
          </w:p>
        </w:tc>
        <w:tc>
          <w:tcPr>
            <w:tcW w:w="1040" w:type="dxa"/>
            <w:vAlign w:val="bottom"/>
            <w:gridSpan w:val="2"/>
          </w:tcPr>
          <w:p>
            <w:pPr>
              <w:jc w:val="right"/>
              <w:ind w:right="8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3,593</w:t>
            </w:r>
          </w:p>
        </w:tc>
        <w:tc>
          <w:tcPr>
            <w:tcW w:w="8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6,881</w:t>
            </w:r>
          </w:p>
        </w:tc>
        <w:tc>
          <w:tcPr>
            <w:tcW w:w="1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3,994</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42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19,254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8,379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10,875</w:t>
            </w:r>
          </w:p>
        </w:tc>
        <w:tc>
          <w:tcPr>
            <w:tcW w:w="1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w:t>
            </w: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4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1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(19,254)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(10,875)</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Other (income)/expense, net:</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(1,817)</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(1,215)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(602)</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4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fair value of private placement warrants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4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expense (income), net</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42"/>
        </w:trPr>
        <w:tc>
          <w:tcPr>
            <w:tcW w:w="342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other income, net</w:t>
            </w:r>
          </w:p>
        </w:tc>
        <w:tc>
          <w:tcPr>
            <w:tcW w:w="1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(1,812)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(1,180)</w:t>
            </w:r>
          </w:p>
        </w:tc>
        <w:tc>
          <w:tcPr>
            <w:tcW w:w="1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187</w:t>
            </w: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4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(9,695)</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0 %</w:t>
            </w: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(17,442)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(7,747)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(9,695)</w:t>
            </w:r>
          </w:p>
        </w:tc>
        <w:tc>
          <w:tcPr>
            <w:tcW w:w="1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6"/>
        </w:trPr>
        <w:tc>
          <w:tcPr>
            <w:tcW w:w="34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Adjustment of redeemable noncontrolling interest from</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180" w:type="dxa"/>
            <w:vAlign w:val="bottom"/>
            <w:vMerge w:val="restart"/>
          </w:tcPr>
          <w:p>
            <w:pPr>
              <w:spacing w:after="0"/>
              <w:rPr>
                <w:sz w:val="10"/>
                <w:szCs w:val="10"/>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redemption value to carrying value</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42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Net loss attributable to Class A Ordinary Shareholders of</w:t>
            </w:r>
          </w:p>
        </w:tc>
        <w:tc>
          <w:tcPr>
            <w:tcW w:w="1020" w:type="dxa"/>
            <w:vAlign w:val="bottom"/>
            <w:gridSpan w:val="2"/>
            <w:vMerge w:val="restart"/>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(17,442)</w:t>
            </w:r>
          </w:p>
        </w:tc>
        <w:tc>
          <w:tcPr>
            <w:tcW w:w="1040" w:type="dxa"/>
            <w:vAlign w:val="bottom"/>
            <w:gridSpan w:val="2"/>
            <w:vMerge w:val="restart"/>
            <w:shd w:val="clear" w:color="auto" w:fill="CCEEFF"/>
          </w:tcPr>
          <w:p>
            <w:pPr>
              <w:jc w:val="right"/>
              <w:ind w:right="8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(730)</w:t>
            </w: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(16,712)</w:t>
            </w:r>
          </w:p>
        </w:tc>
        <w:tc>
          <w:tcPr>
            <w:tcW w:w="1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8"/>
        </w:trPr>
        <w:tc>
          <w:tcPr>
            <w:tcW w:w="3420" w:type="dxa"/>
            <w:vAlign w:val="bottom"/>
            <w:gridSpan w:val="2"/>
            <w:shd w:val="clear" w:color="auto" w:fill="CCEEFF"/>
          </w:tcPr>
          <w:p>
            <w:pPr>
              <w:ind w:left="140"/>
              <w:spacing w:after="0" w:line="158" w:lineRule="exact"/>
              <w:rPr>
                <w:sz w:val="20"/>
                <w:szCs w:val="20"/>
                <w:color w:val="auto"/>
              </w:rPr>
            </w:pPr>
            <w:r>
              <w:rPr>
                <w:rFonts w:ascii="Times New Roman" w:cs="Times New Roman" w:eastAsia="Times New Roman" w:hAnsi="Times New Roman"/>
                <w:sz w:val="14"/>
                <w:szCs w:val="14"/>
                <w:color w:val="auto"/>
              </w:rPr>
              <w:t>Zura</w:t>
            </w:r>
          </w:p>
        </w:tc>
        <w:tc>
          <w:tcPr>
            <w:tcW w:w="102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1340" w:type="dxa"/>
            <w:vAlign w:val="bottom"/>
            <w:gridSpan w:val="2"/>
            <w:vMerge w:val="continue"/>
            <w:shd w:val="clear" w:color="auto" w:fill="CCEEFF"/>
          </w:tcPr>
          <w:p>
            <w:pPr>
              <w:spacing w:after="0"/>
              <w:rPr>
                <w:sz w:val="13"/>
                <w:szCs w:val="13"/>
                <w:color w:val="auto"/>
              </w:rPr>
            </w:pPr>
          </w:p>
        </w:tc>
        <w:tc>
          <w:tcPr>
            <w:tcW w:w="14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change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(in thousands):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$6.9 million for the three months ended March 31, 2025 compared to the three months ended March 31, 2024. This was primarily due to increases of $3.7 million of costs incurred for CRO fees for clinical trial execution, and $2.1 million for manufacturing costs for our product candidates, as well as $0.6 million in compensation expenses, including share-based compensation, for personnel in research and development functions, as we advance our Phase 2 clinical trials evaluating tibulizumab in SSc and HS. We anticipate that research and development expenses will continue to increase in the future as we conduct research and development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 (in thousands):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$4.0 million for the three months ended March 31, 2025 as compared to the three months ended March 31, 2024. The increase was primarily due to an increase of $2.6 million in compensation expenses, including share-based compensation, for personnel in executive and administrative functions and our board of directors and an increase of $1.2 million in professional fees to support our growing organization as we advance our Phase 2 clinical trials evaluating tibulizumab in SSc and 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income increased by $0.6 million for the three months ended March 31, 2025 as compared to the three months ended March 31, 2024. This is primarily due to an increase in our cash and cash equivalents balance during three months ended March 31, 2025 as compared to the three months ended March 31, 2024, primarily resulting from the April 2024 Private Placement and sales under our ATM.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we did not have any private placement warrants as all private placement warrants were exchanged for Class A Ordinary Shares in August 2024. Revaluation loss on the liability-classified private placement warrants assumed in the Business Combination was $0.6 million during the three months ended March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expense (income), net remained relatively consistent for the three months ended March 31, 2025 and compared to the three months ended March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 of Redeemable Noncontrolling Interest from Redemptions Value to Carrying Value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there is no adjustment to the noncontrolling interest as the initial fair value of the noncontrolling interest, decreased for the noncontrolling shareholder’s interest in net loss of Z33, was greater than the redemption value as of both March 31, 2025 and December 31, 2024. For the three months ended March 31, 2024, redeemable noncontrolling interest was adjusted from its redemption value to its initial fair value, decreased for the noncontrolling shareholder’s interest in net loss of Z33. This $7.0 million adjustment was the result of a decrease in the redemption price below the initial fair value, less the noncontrolling shareholder’s interest in net loss of Z33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Since our inception, we have not generated any revenue and expect to continue to incur significant operating losses for the foreseeable future and may never become profitable. As of March 31, 2025, we had cash and cash equivalents of $170.6 million. We have funded our operations through (i) the sale of equity, raising an aggregate of $10.0 million of gross proceeds from the sale of our convertible preferred shares of Zura Bio UK through March 31, 2023; (ii) the issuance of a promissory note, receiving net proceeds of $7.6 million in December 2022; (iii) proceeds from the Business Combination of $56.7 million in March 2023; (iv) the April 2023 Private Placement, raising an aggregate of $80.0 million of gross proceeds; (v) the April 2024 Private Placement, raising an aggregate of $112.5 million of gross proceeds; (vi) the sale of 1,500,000 Class A Ordinary Shares at a price of $3.80 per share under the ATM for net proceeds of $5.5 million, after placement agent commissions, in September 2024; and (vii) the sale of 3,000,000 Class A Ordinary Shares at a price of $1.75 per share under the ATM for net proceeds of $5.1 million, after placement agent commissions, in the first quarter of 2025.</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operating losses and cash outflows from operations since inception and will require ongoing financing in order to continue our research and development activities. We have not earned any revenue or reached successful commercialization of our products. 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we have not generated revenue from any source, including the commercial sale of approved drug products, and we do not expect to generate revenue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our product candidates, and we do not expect to generate revenue unless and until we obtain regulatory approval of, and commercialize, our product candidates.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continue the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will also be responsible to Pfizer and Lilly for significant future contingent payments under the Pfizer Agreement and the Lilly Licenses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Pfizer and Lilly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We intend to fund these milestone payments using a portion of the proceeds from the Business Combination, the April 2023 Private Placement, the April 2024 Private Placement and sales under the ATM. In addition to milestone payments, we are also required to pay Pfizer and Lilly under the Pfizer Agreement and Lilly Licenses, respectively, ongoing royalties in the mid-single digits to low double-digits (less than 20%) percentage range based upon thresholds of net sales of products.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devote most of the net proceeds from the Business Combination, the April 2023 Private Placement, the April 2024 Private Placement and sales under the ATM to the preclinical and clinical development of our product candidates, our public company compliance costs and certain milestone payments. Based on our current business plans, we believe that our existing cash, cash equivalents and investments should be sufficient to fund our operating expenses and capital requirements through 2027. Our estimate as to how long we expect our existing cash and cash equivalents to be able to fund our operating expenses and capital requirements is based on assumptions that may prove to be wrong, and we could use our available capital resources sooner than we currently expect. Changing circumstances, some of which may be beyond our control, could result in less cash available to us or cause us to consume capital significantly faster than we currently anticipate, and we may need to seek additional funds sooner than planned.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drug products, we are unable to estimate the exact amount of our operating capital requirements. Our future funding requirements will depend on many factors, including, but not limited to:</w:t>
      </w:r>
    </w:p>
    <w:p>
      <w:pPr>
        <w:spacing w:after="0" w:line="176" w:lineRule="exact"/>
        <w:rPr>
          <w:sz w:val="20"/>
          <w:szCs w:val="20"/>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product candidates pipeline;</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our milestone payments to Pfizer under the Pfizer Agreement and to Lilly under the Lilly Licenses;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and expand our commercial infrastructure and operations;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distributions,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to Pfizer under the Pfizer Agreement and Lilly under the Lilly Licenses;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sales of our product candidates for which we receive marketing approval;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candidates that we do not expect to be commercially available in the near term, if at all and are subject to successful clinical development and regulatory approval. Accordingly, we may need to continue to rely on additional financing to achieve our business objectives. Adequate additional financing may not be available to us on acceptable terms, or at all. To the extent that we raise additional capital through securities or debt financing, the terms of these securities or this debt may restrict our ability to operate. Any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and development programs or future commercialization efforts.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For the</w:t>
      </w:r>
    </w:p>
    <w:p>
      <w:pPr>
        <w:ind w:left="7440"/>
        <w:spacing w:after="0" w:line="229" w:lineRule="auto"/>
        <w:rPr>
          <w:sz w:val="20"/>
          <w:szCs w:val="20"/>
          <w:color w:val="auto"/>
        </w:rPr>
      </w:pPr>
      <w:r>
        <w:rPr>
          <w:rFonts w:ascii="Times New Roman" w:cs="Times New Roman" w:eastAsia="Times New Roman" w:hAnsi="Times New Roman"/>
          <w:sz w:val="14"/>
          <w:szCs w:val="14"/>
          <w:b w:val="1"/>
          <w:bCs w:val="1"/>
          <w:color w:val="auto"/>
        </w:rPr>
        <w:t>Three Months</w:t>
      </w:r>
    </w:p>
    <w:p>
      <w:pPr>
        <w:ind w:left="7680"/>
        <w:spacing w:after="0" w:line="221" w:lineRule="auto"/>
        <w:rPr>
          <w:sz w:val="20"/>
          <w:szCs w:val="20"/>
          <w:color w:val="auto"/>
        </w:rPr>
      </w:pPr>
      <w:r>
        <w:rPr>
          <w:rFonts w:ascii="Times New Roman" w:cs="Times New Roman" w:eastAsia="Times New Roman" w:hAnsi="Times New Roman"/>
          <w:sz w:val="14"/>
          <w:szCs w:val="14"/>
          <w:b w:val="1"/>
          <w:bCs w:val="1"/>
          <w:color w:val="auto"/>
        </w:rPr>
        <w:t>Ended</w:t>
      </w:r>
    </w:p>
    <w:p>
      <w:pPr>
        <w:ind w:left="7580"/>
        <w:spacing w:after="0" w:line="232"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000" w:type="dxa"/>
        <w:tblCellMar>
          <w:top w:w="0" w:type="dxa"/>
          <w:left w:w="0" w:type="dxa"/>
          <w:bottom w:w="0" w:type="dxa"/>
          <w:right w:w="0" w:type="dxa"/>
        </w:tblCellMar>
      </w:tblPr>
      <w:tr>
        <w:trPr>
          <w:trHeight w:val="142"/>
        </w:trPr>
        <w:tc>
          <w:tcPr>
            <w:tcW w:w="58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(9,989)</w:t>
            </w: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increased by $6.1 million to $11.1 million for the three months ended March 31, 2025 compared to the three months ended March 31, 2024. This was primarily due to an increase in our cash net loss of $9.0 million, which is comprised of a $9.7 million decrease in net loss before redeemable noncontrolling interest, as adjusted for the increase in non-cash charges of $0.7 million, for the three months ended March 31, 2025. The increase of $0.7 in non-cash charges was due to an increase of $1.2 million for share-based payment expense for the three months ended March 31, 2025, partially offset by a decrease in the change in fair value on the private placement warrants of $0.6 million for the three months ended March 31, 2024. Working capital changes resulted in decreased cash used in operating activities of $2.9 million, resulting from higher prepaid expenses and other current assets and a decrease in cash used in paying accounts payable and accrued expenses for the three months ended March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2025 was de minimis. Cash used in investing activities for the three months ended March 31, 2024 was $5.0 million which primarily related to the cash consideration paid to acquire the 2023 Lilly License.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2025 was $5.2 million, which primarily related to net proceeds of $5.1 million, after placement agent commissions, for the sale of Class A Ordinary Shares under our ATM. There was no cash provided by or used in financing activities for the three months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or will enter into agreements in the normal course of business with contract research organizations, contract manufacturing organizations and other vendors for research and development services for operating purposes, which are generally cancelable upon written notice. Some third party CMOs have intellectual property, such as patents and/or know-how with an annual fee and royalty bearing license to its customers that forms part of the manufacturing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Lonza License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July 2022, we entered into a license agreement (the “Lonza License”) with Lonza Sales AG (“Lonza”) for a worldwide non-exclusive license for Lonza’s gene expression system in exchange for varying considerations depending on a number of factors such as whether we enter further into manufacturing agreements with Lonza or with a third party, and whether we enter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We may terminate the Lonza License at any time upon 60 days’ notice, with or without cause. Lonza may terminate the Lonza License for cause upon a breach by us or for other commercially standard reasons.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terms of the Lonza License, we have a license fee of $0.4 million due to Lonza annually in the fourth quarter as a result of manufacturing drug substance with a third party other than Lonza since 2023. For the year ended December 31, 2024, we recorded $0.4 million for the Lonza License, which is included in accounts payable and accrued expenses in the condensed consolidated balance sheet as of March 31, 2025.</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WuXi Biologics License</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July 2023, we entered into a cell line license agreement (the “Cell Line License Agreement”) with WuXi Biologics and its Affiliates (“WuXi Biologics”) for certain of WuXi Biologics’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If we manufacture all of our commercial supplies of bulk drug product for WuXi Biologics Licensed Products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 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 As of March 31, 2025, there are no payments currently due under the Cell Line License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unaudited interim condensed consolidated financial statements, which have been prepared in accordance with U.S. GAAP, and on a basis consistent with those accounting principles followed by us and disclosed in Note 2 to our most recent annual audited consolidated financial statements in the 2024 Annual Report. The preparation of these unaudited interim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since December 31, 2024. For a description of our critical accounting policies that affect our significant judgements and estimates used in preparation of our unaudited condensed consolidated financial statements, refer to Item 7 in “Management’s Discussion and Analysis of Financial Condition and Results of Operations,” contained in the 2024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for a description of recent accounting pronouncements applicable to our financial statements.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the extended transition period provided in Section 7(a)(2)(B) of the Securities Act of 1933, as amended (“Securities Act”) for complying with new or revised accounting standards. Thus, an emerging growth company can delay the adoption of certain accounting standards until those standards would otherwise apply to private companies. Upon closing of the Business Combination, we remained an emerging growth company and may elect to extend the transition period for complying with new or revised accounting standards, which delays the adoption of these accounting standards until they would apply to private companies.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680" w:right="20" w:hanging="321"/>
        <w:spacing w:after="0" w:line="266" w:lineRule="auto"/>
        <w:tabs>
          <w:tab w:leader="none" w:pos="680" w:val="left"/>
        </w:tabs>
        <w:numPr>
          <w:ilvl w:val="0"/>
          <w:numId w:val="2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an exception from compliance with the auditor attestation requirements of Section 404 of the Sarbanes-Oxley Act of 2002, as amended;</w:t>
      </w:r>
    </w:p>
    <w:p>
      <w:pPr>
        <w:spacing w:after="0" w:line="161" w:lineRule="exact"/>
        <w:rPr>
          <w:rFonts w:ascii="Times New Roman" w:cs="Times New Roman" w:eastAsia="Times New Roman" w:hAnsi="Times New Roman"/>
          <w:sz w:val="18"/>
          <w:szCs w:val="18"/>
          <w:color w:val="212529"/>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reduced disclosure about our executive compensation arrangements in our periodic reports, proxy statements and registrations statements; and</w:t>
      </w:r>
    </w:p>
    <w:p>
      <w:pPr>
        <w:spacing w:after="0" w:line="161" w:lineRule="exact"/>
        <w:rPr>
          <w:rFonts w:ascii="Times New Roman" w:cs="Times New Roman" w:eastAsia="Times New Roman" w:hAnsi="Times New Roman"/>
          <w:sz w:val="18"/>
          <w:szCs w:val="18"/>
          <w:color w:val="212529"/>
        </w:rPr>
      </w:pP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exemptions from the requirements of holding non-binding advisory votes on executive compensation or golden parachute arrangements; and an exemption from compliance with the requirements of the Public Company Accounting Oversight Board regarding the communication of critical audit matters in the auditor’s report on financial statements.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would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Class A Ordinary Shares that is held by non-affiliates exceeds $700.0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Accordingly, the information contained herein may be different than you might obtain from other public companies in which you hold equity interests.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as defined under the Securities Act and Securities Exchange Act of 1934, as amended (the “Exchange Act”). We may continue to be a smaller reporting company so long as either (i) the market value of Class A Ordinary Shares held by non-affiliates is less than $250 million or (ii) our annual revenue was less than $100 million during the most recently completed fiscal year and the market value of Class A Ordinary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the information otherwise required by this 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Chief Financial Officer, as appropriate, to allow timely decisions regarding required disclosure. As of March 31, 2025, our Chief Executive Officer and Chief Financial Officer carried out an evaluation with the participation of management of the effectiveness of our disclosure controls and procedures, as defined in Rules 13a-15(e) and 15d-15(e) under the Exchange Act. Based upon that evaluation, our Chief Executive Officer and Chief Financial Officer concluded that our disclosure controls and procedures were effective at a reasonable assurance level as of March 31, 2025.</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quarter ended March 31, 2025, that has materially affected, or is reasonably likely to materially affect, our internal control over financial reporting.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Below we are providing, in supplemental form, updates to our risk factors from those previously disclosed in Part I, Item 1A of our 2024 Annual Report. Our risk factors disclosed in Part I, Item 1A of our 2024 Annual Report provide additional discussion regarding these supplemental risks and we encourage you to read and carefully consider all of the risk factors disclosed in Part I, Item 1A of our 2024 Annual Report, together with the below, for a more complete understanding of the risks and uncertainties material to our business.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EMA, the European Commission applicable foreign regulatory authorities, the SEC, and other government agencies and regulatory authorities caused by funding shortages, furloughs or other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 functions on which the operation of our business may rely, which could significantly harm our business, financial condition, results of operations and prospects.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of the FDA, EMA, the European Commission or any applicable foreign regulatory authority to review and approve new products can be affected by a variety of factors, including, as applicable government budget and funding levels, ability to hire and retain key personnel and accept the payment of user fees, and statutory, regulatory, and policy changes, and other events that may otherwise affect the FDA, EMA, the European Commission, or any applicable foreign regulatory authority’s ability to perform routine functions. Average review times at the authorities have fluctuated in recent years as a result and could be delayed. Furloughs and reductions in force in early 2025 may adversely impact federal agency responsiveness. In addition, government funding of the SEC and other government authorities on which our operations may rely, including those that fund research and development activities is subject to the political process, which is inherently fluid and unpredictable.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authorities may also slow the time necessary for new drugs to be reviewed and/or approved by necessary government authorities, which would adversely affect our business. If the FDA or other regulatory authorities are unable to timely conduct their regular inspections, reviews, or other regulatory activities, it could significantly impact the ability of the FDA to timely review and process our regulatory submissions, which could have a material adverse effect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condition,results of operations and prospects.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manufacturers and suppliers, including drug substances and drug products for tibulizumab, torudokimab, and crebankitug, are located outside of the United States, and our principal suppliers of critical raw materials are located in Italy, the Netherlands, and the United Kingdom. We also rely on specialized laboratory equipment, supplies, materials, and precursor compounds, all or part of which we believe may be ultimately sourced from multiple countries outside the United States, to advance our research and development efforts.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we are party to a cell line license agreement (the “Cell Line License Agreement”) with WuXi Biologics, a manufacturer located in China, and its affiliates (“WuXi Biologics”), which provides us with a non-exclusive, worldwide, sublicensable license to certain of WuXi Biologics’ know-how, cell line and biological materials to manufacture, have manufactured, use, sell and import certain products produced through the use of the cell line licensed by WuXi Biologics under the Cell Line License Agreement. If we have product manufactured at WuXi Biologics in the future, we may face additional manufacturing and supply-chain risks due to the regulatory and political structure of the PRC, or as a result of the international relationship with the PRC, including but not limited to sanctions, tariffs and other restrictions that have been or may be imposed.</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our 2024 Annual Report, as supplemented by the risk factors described in this Quarterly Report.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related to privacy, data protection, information security and consumer protection across different markets where we conduct our business. Our actual or perceived failure to comply with such obligations could harm our business.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laws and regulations related to, among other things, privacy, data protection, information security and consumer protection across different markets where we conduct our business. Such laws and regulations are constantly evolving and changing and are likely to remain uncertain for the foreseeable future. Our actual or perceived failure to comply with such obligations could have an adverse effect on our business, operating results and financial operations. Complying with these numerous, complex, and often changing regulations is expensive and difficult, and failure to comply with any privacy laws or data security laws or any security incident or breach involving the potential or actual misappropriation, loss or other unauthorized processing, use or disclosure of sensitive or confidential patient, consumer or other personal information, whether by us, one of our collaborators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relief.</w:t>
      </w:r>
    </w:p>
    <w:p>
      <w:pPr>
        <w:spacing w:after="0" w:line="194"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European data collection is also governed by restrictive regulations governing the use, processing and cross-border transfer of personal information. The collection, use, storage, disclosure, transfer, or other processing of personal data regarding individuals in Europe, including personal health data, is subject to the E.U. General Data Protection Regulation (“GDPR”) and similar requirements in the United Kingdom (“UK GDPR”) (hereinafter the GDPR and UK GDPR are collectively referred to as “GDPR”), which impose strict requirements for processing the personal data of individuals within the EEA, such as Norway, Iceland, Liechtenstein and the United Kingdom. The GDPR is directly applicable in each E.U. member state and is extended to the EEA, while the UK GDPR applies to the United Kingdom of Great Britain and Northern Ireland.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implements more stringent operational requirements than its predecessor legislation.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For example, the GDPR applies extraterritorially, requires us to make more detailed disclosures to data subjects, requires disclosure of the legal basis on which we can process personal data, makes it harder for us to obtain valid consent for collecting and processing personal data (including data from clinical trials), requires the appointment of data protection officers, such as when sensitive personal data, such as health data, is processed on a large scale, provides more robust rights for data subjects, including far reaching information rights and the right to erasure, introduces mandatory data breach notification through the E.U., imposes additional obligations on us when contracting with service providers and requires us to adopt appropriate privacy governance, including policies, procedures, training, and audits. The GDPR provides that E.U. member states and EEA countries may establish their own laws and regulations that go beyond the GDPR in certain areas, such as regarding the mandatory appointment of data protection officers or further limiting the processing of personal data, including genetic, biometric, or health data, which could limit our ability to use and share personal data or could cause our costs to increase. Among other requirements, the GDPR regulates transfers of personal data subject to the GDPR to third countries that have not been found to provide adequate protection to such personal data, including the United States.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In the ordinary course of business, we transfer personal data from Europe and other jurisdictions to the United States or other countries. Europe and other jurisdictions have enacted laws requiring data to be localized or limiting the transfer of personal data to other countries.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cannot assure you that our third-party service providers with access to our or our customers’, suppliers’, trial patients’ and employees’ personally identifiable and other sensitive or confidential information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94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940" w:type="dxa"/>
            <w:vAlign w:val="bottom"/>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4"/>
                <w:szCs w:val="14"/>
                <w:color w:val="auto"/>
              </w:rPr>
            </w:pPr>
          </w:p>
        </w:tc>
        <w:tc>
          <w:tcPr>
            <w:tcW w:w="8800" w:type="dxa"/>
            <w:vAlign w:val="bottom"/>
            <w:tcBorders>
              <w:top w:val="single" w:sz="8" w:color="auto"/>
              <w:bottom w:val="single" w:sz="8" w:color="0000EE"/>
            </w:tcBorders>
            <w:gridSpan w:val="19"/>
          </w:tcPr>
          <w:p>
            <w:pPr>
              <w:spacing w:after="0" w:line="169"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Third Amendment dated as of January 13, 2023 to the Business Combination Agreement by and among JATT Acquisition</w:t>
              </w:r>
            </w:hyperlink>
          </w:p>
        </w:tc>
        <w:tc>
          <w:tcPr>
            <w:tcW w:w="140" w:type="dxa"/>
            <w:vAlign w:val="bottom"/>
            <w:tcBorders>
              <w:top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23"/>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Corp., JATT Merger Sub, JATT Merger Sub 2, Zura Holdings, Ltd. and Zura Bio Limited (incorporated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Exhibit 2.1 of JATT’s Current Report on Form 8-K (File No. 001-40598), filed with the SEC on January 19, 2023).</w:t>
              </w:r>
            </w:hyperlink>
          </w:p>
        </w:tc>
        <w:tc>
          <w:tcPr>
            <w:tcW w:w="280" w:type="dxa"/>
            <w:vAlign w:val="bottom"/>
            <w:tcBorders>
              <w:top w:val="single" w:sz="8" w:color="0000EE"/>
            </w:tcBorders>
            <w:gridSpan w:val="3"/>
          </w:tcPr>
          <w:p>
            <w:pPr>
              <w:spacing w:after="0"/>
              <w:rPr>
                <w:sz w:val="17"/>
                <w:szCs w:val="17"/>
                <w:color w:val="auto"/>
              </w:rPr>
            </w:pPr>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7"/>
                <w:szCs w:val="17"/>
                <w:color w:val="auto"/>
              </w:rPr>
            </w:pPr>
          </w:p>
        </w:tc>
        <w:tc>
          <w:tcPr>
            <w:tcW w:w="8940" w:type="dxa"/>
            <w:vAlign w:val="bottom"/>
            <w:gridSpan w:val="23"/>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Second Amended and Restated Memorandum of Association of Zura Bio Limited (incorporated by reference to Exhibit 3.1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to the Current Report on Form 8-K, filed with the SEC on March 24, 2023).</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8940" w:type="dxa"/>
            <w:vAlign w:val="bottom"/>
            <w:gridSpan w:val="23"/>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Specimen Warrant Certificate of Zura (incorporated by reference to Exhibit 4.6 of JATT’s Form S-4 (File No. 333-267005)</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filed with the SEC on August 19, 2022).</w:t>
              </w:r>
            </w:hyperlink>
          </w:p>
        </w:tc>
        <w:tc>
          <w:tcPr>
            <w:tcW w:w="5940" w:type="dxa"/>
            <w:vAlign w:val="bottom"/>
            <w:tcBorders>
              <w:top w:val="single" w:sz="8" w:color="0000EE"/>
            </w:tcBorders>
            <w:gridSpan w:val="16"/>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8940" w:type="dxa"/>
            <w:vAlign w:val="bottom"/>
            <w:gridSpan w:val="23"/>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Pre-Funded Warrant to Purchase Ordinary Shares (incorporated herein by reference to Exhibit 4.1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Company’s Current Report on Form 8-K, filed with the SEC on May 3, 2023).</w:t>
              </w:r>
            </w:hyperlink>
          </w:p>
        </w:tc>
        <w:tc>
          <w:tcPr>
            <w:tcW w:w="2460" w:type="dxa"/>
            <w:vAlign w:val="bottom"/>
            <w:tcBorders>
              <w:top w:val="single" w:sz="8" w:color="0000EE"/>
            </w:tcBorders>
            <w:gridSpan w:val="3"/>
          </w:tcPr>
          <w:p>
            <w:pPr>
              <w:spacing w:after="0"/>
              <w:rPr>
                <w:sz w:val="17"/>
                <w:szCs w:val="17"/>
                <w:color w:val="auto"/>
              </w:rPr>
            </w:pPr>
          </w:p>
        </w:tc>
        <w:tc>
          <w:tcPr>
            <w:tcW w:w="8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8940" w:type="dxa"/>
            <w:vAlign w:val="bottom"/>
            <w:gridSpan w:val="23"/>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of Pre-Funded Warrant to purchase Ordinary Shares (incorporated by reference to Exhibit 4.1 to the Current Report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on Form 8-K filed with the Securities and Exchange Commission on April 23, 2024).</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89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Form of Warrant to purchase Ordinary Shares (incorporated by reference to Exhibit 4.1 to the Current Report on Form 8 - 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23"/>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filed with the Securities and Exchange Commission on August 21, 2024).</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7"/>
                <w:szCs w:val="17"/>
                <w:color w:val="auto"/>
              </w:rPr>
            </w:pPr>
          </w:p>
        </w:tc>
        <w:tc>
          <w:tcPr>
            <w:tcW w:w="89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Form of Warrant to purchase Ordinary Shares (incorporated by reference to Exhibit 4.1 to the Current Report on Form 8 - 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23"/>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filed with the Securities and Exchange Commission on April 17, 2025).</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8940" w:type="dxa"/>
            <w:vAlign w:val="bottom"/>
            <w:gridSpan w:val="23"/>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Share Surrender and Warrant Agreement, dated as of April 16, 2025, by and among the Company and Venrock Healthcare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Capital Partners EG, L.P., Venrock Healthcare Capital Partners III, L.P., and VHCP Co-Investment Holdings III, LLC</w:t>
              </w:r>
            </w:hyperlink>
          </w:p>
        </w:tc>
        <w:tc>
          <w:tcPr>
            <w:tcW w:w="320" w:type="dxa"/>
            <w:vAlign w:val="bottom"/>
            <w:tcBorders>
              <w:top w:val="single" w:sz="8" w:color="0000EE"/>
            </w:tcBorders>
            <w:gridSpan w:val="3"/>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(incorporated by reference to Exhibit 10.1 to the Current Report on Form 8-K filed with the Securities and Exchange</w:t>
              </w:r>
            </w:hyperlink>
          </w:p>
        </w:tc>
        <w:tc>
          <w:tcPr>
            <w:tcW w:w="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23"/>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Commission on April 17, 2025).</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88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Share Surrender and Warrant Agreement, dated as of April 17, 2025, by and between the Company and AI Biotechnology,</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23"/>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LLC (incorporated by reference to Exhibit 10.2 to the Current Report on Form 8-K filed with the Securities and Exchange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Commission on April 17, 2025).</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89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of 1934, as Adopted Pursuant to Section 302 of 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1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89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Sarbanes-Oxley Act of 2002.</w:t>
            </w:r>
          </w:p>
        </w:tc>
        <w:tc>
          <w:tcPr>
            <w:tcW w:w="33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89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68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89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0" w:type="dxa"/>
            <w:vAlign w:val="bottom"/>
          </w:tcPr>
          <w:p>
            <w:pPr>
              <w:spacing w:after="0"/>
              <w:rPr>
                <w:sz w:val="1"/>
                <w:szCs w:val="1"/>
                <w:color w:val="auto"/>
              </w:rPr>
            </w:pPr>
          </w:p>
        </w:tc>
      </w:tr>
      <w:tr>
        <w:trPr>
          <w:trHeight w:val="218"/>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20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86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9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9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9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9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9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960" w:right="720" w:hanging="952"/>
        <w:spacing w:after="0" w:line="260"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wp:posOffset>
            </wp:positionV>
            <wp:extent cx="1568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2900" w:type="dxa"/>
            <w:vAlign w:val="bottom"/>
          </w:tcPr>
          <w:p>
            <w:pPr>
              <w:spacing w:after="0"/>
              <w:rPr>
                <w:sz w:val="19"/>
                <w:szCs w:val="19"/>
                <w:color w:val="auto"/>
              </w:rPr>
            </w:pPr>
          </w:p>
        </w:tc>
        <w:tc>
          <w:tcPr>
            <w:tcW w:w="700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ZURA BIO LIMITED</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Lisicki</w:t>
            </w:r>
          </w:p>
        </w:tc>
      </w:tr>
      <w:tr>
        <w:trPr>
          <w:trHeight w:val="191"/>
        </w:trPr>
        <w:tc>
          <w:tcPr>
            <w:tcW w:w="2900" w:type="dxa"/>
            <w:vAlign w:val="bottom"/>
          </w:tcPr>
          <w:p>
            <w:pPr>
              <w:spacing w:after="0"/>
              <w:rPr>
                <w:sz w:val="16"/>
                <w:szCs w:val="16"/>
                <w:color w:val="auto"/>
              </w:rPr>
            </w:pPr>
          </w:p>
        </w:tc>
        <w:tc>
          <w:tcPr>
            <w:tcW w:w="7000" w:type="dxa"/>
            <w:vAlign w:val="bottom"/>
            <w:gridSpan w:val="2"/>
          </w:tcPr>
          <w:p>
            <w:pPr>
              <w:ind w:left="1560"/>
              <w:spacing w:after="0" w:line="191" w:lineRule="exact"/>
              <w:rPr>
                <w:sz w:val="20"/>
                <w:szCs w:val="20"/>
                <w:color w:val="auto"/>
              </w:rPr>
            </w:pPr>
            <w:r>
              <w:rPr>
                <w:rFonts w:ascii="Times New Roman" w:cs="Times New Roman" w:eastAsia="Times New Roman" w:hAnsi="Times New Roman"/>
                <w:sz w:val="18"/>
                <w:szCs w:val="18"/>
                <w:color w:val="auto"/>
              </w:rPr>
              <w:t>Name:Robert Lisicki</w:t>
            </w:r>
          </w:p>
        </w:tc>
      </w:tr>
      <w:tr>
        <w:trPr>
          <w:trHeight w:val="216"/>
        </w:trPr>
        <w:tc>
          <w:tcPr>
            <w:tcW w:w="2900" w:type="dxa"/>
            <w:vAlign w:val="bottom"/>
          </w:tcPr>
          <w:p>
            <w:pPr>
              <w:spacing w:after="0"/>
              <w:rPr>
                <w:sz w:val="18"/>
                <w:szCs w:val="18"/>
                <w:color w:val="auto"/>
              </w:rPr>
            </w:pP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Verender Badial</w:t>
            </w:r>
          </w:p>
        </w:tc>
      </w:tr>
      <w:tr>
        <w:trPr>
          <w:trHeight w:val="191"/>
        </w:trPr>
        <w:tc>
          <w:tcPr>
            <w:tcW w:w="2900" w:type="dxa"/>
            <w:vAlign w:val="bottom"/>
          </w:tcPr>
          <w:p>
            <w:pPr>
              <w:spacing w:after="0"/>
              <w:rPr>
                <w:sz w:val="16"/>
                <w:szCs w:val="16"/>
                <w:color w:val="auto"/>
              </w:rPr>
            </w:pPr>
          </w:p>
        </w:tc>
        <w:tc>
          <w:tcPr>
            <w:tcW w:w="7000" w:type="dxa"/>
            <w:vAlign w:val="bottom"/>
            <w:gridSpan w:val="2"/>
          </w:tcPr>
          <w:p>
            <w:pPr>
              <w:ind w:left="1560"/>
              <w:spacing w:after="0" w:line="191" w:lineRule="exact"/>
              <w:rPr>
                <w:sz w:val="20"/>
                <w:szCs w:val="20"/>
                <w:color w:val="auto"/>
              </w:rPr>
            </w:pPr>
            <w:r>
              <w:rPr>
                <w:rFonts w:ascii="Times New Roman" w:cs="Times New Roman" w:eastAsia="Times New Roman" w:hAnsi="Times New Roman"/>
                <w:sz w:val="18"/>
                <w:szCs w:val="18"/>
                <w:color w:val="auto"/>
              </w:rPr>
              <w:t>Name:Verender Badial</w:t>
            </w:r>
          </w:p>
        </w:tc>
      </w:tr>
      <w:tr>
        <w:trPr>
          <w:trHeight w:val="216"/>
        </w:trPr>
        <w:tc>
          <w:tcPr>
            <w:tcW w:w="2900" w:type="dxa"/>
            <w:vAlign w:val="bottom"/>
          </w:tcPr>
          <w:p>
            <w:pPr>
              <w:spacing w:after="0"/>
              <w:rPr>
                <w:sz w:val="18"/>
                <w:szCs w:val="18"/>
                <w:color w:val="auto"/>
              </w:rPr>
            </w:pP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Lisicki, certify that:</w:t>
      </w:r>
    </w:p>
    <w:p>
      <w:pPr>
        <w:spacing w:after="0" w:line="225"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Zura Bio Limited;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sz w:val="20"/>
          <w:szCs w:val="20"/>
          <w:color w:val="auto"/>
        </w:rPr>
      </w:pPr>
    </w:p>
    <w:p>
      <w:pPr>
        <w:ind w:left="1300" w:hanging="630"/>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17145</wp:posOffset>
            </wp:positionV>
            <wp:extent cx="1440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 Robert Lisicki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17145</wp:posOffset>
            </wp:positionV>
            <wp:extent cx="30346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Robert Lisicki</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Verender Badial,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Zura Bio Limited;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630"/>
        <w:spacing w:after="0" w:line="282" w:lineRule="auto"/>
        <w:tabs>
          <w:tab w:leader="none" w:pos="13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17145</wp:posOffset>
            </wp:positionV>
            <wp:extent cx="14401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Verender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17145</wp:posOffset>
            </wp:positionV>
            <wp:extent cx="30003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Verender Badial</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Zura Bio Limited (the “Company”) on Form 10-Q for the quarterly period ended March 31, 2025, as filed with the Securities and Exchange Commission (the “Report”), I, Robert Lisicki, Chief Executive Officer of the Company, certify, pursuant to 18 U.S.C. §1350, as adopted pursuant to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wp:posOffset>
            </wp:positionV>
            <wp:extent cx="1414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 Robert Lisicki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17145</wp:posOffset>
            </wp:positionV>
            <wp:extent cx="30346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Robert Lisicki</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Zura Bio Limited (the “Company”) on Form 10-Q for the quarterly period ended March 31, 2025, as filed with the Securities and Exchange Commission (the “Report”), I, Verender Badial, Chief Financial Officer of the Company, certify, pursuant to 18 U.S.C. §1350, as adopted pursuant to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17145</wp:posOffset>
            </wp:positionV>
            <wp:extent cx="13544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 Verender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17145</wp:posOffset>
            </wp:positionV>
            <wp:extent cx="31629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Verender Badial</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2"/>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decimal"/>
      <w:start w:val="4"/>
    </w:lvl>
  </w:abstractNum>
  <w:abstractNum w:abstractNumId="9">
    <w:nsid w:val="257130A3"/>
    <w:multiLevelType w:val="hybridMultilevel"/>
    <w:lvl w:ilvl="0">
      <w:lvlJc w:val="left"/>
      <w:lvlText w:val="%1."/>
      <w:numFmt w:val="decimal"/>
      <w:start w:val="5"/>
    </w:lvl>
  </w:abstractNum>
  <w:abstractNum w:abstractNumId="10">
    <w:nsid w:val="62BBD95A"/>
    <w:multiLevelType w:val="hybridMultilevel"/>
    <w:lvl w:ilvl="0">
      <w:lvlJc w:val="left"/>
      <w:lvlText w:val="(%1)"/>
      <w:numFmt w:val="lowerLetter"/>
      <w:start w:val="35"/>
    </w:lvl>
  </w:abstractNum>
  <w:abstractNum w:abstractNumId="11">
    <w:nsid w:val="436C6125"/>
    <w:multiLevelType w:val="hybridMultilevel"/>
    <w:lvl w:ilvl="0">
      <w:lvlJc w:val="left"/>
      <w:lvlText w:val="(%1)"/>
      <w:numFmt w:val="lowerLetter"/>
      <w:start w:val="5"/>
    </w:lvl>
  </w:abstractNum>
  <w:abstractNum w:abstractNumId="12">
    <w:nsid w:val="628C895D"/>
    <w:multiLevelType w:val="hybridMultilevel"/>
    <w:lvl w:ilvl="0">
      <w:lvlJc w:val="left"/>
      <w:lvlText w:val="%1."/>
      <w:numFmt w:val="decimal"/>
      <w:start w:val="6"/>
    </w:lvl>
  </w:abstractNum>
  <w:abstractNum w:abstractNumId="13">
    <w:nsid w:val="333AB105"/>
    <w:multiLevelType w:val="hybridMultilevel"/>
    <w:lvl w:ilvl="0">
      <w:lvlJc w:val="left"/>
      <w:lvlText w:val="%1."/>
      <w:numFmt w:val="decimal"/>
      <w:start w:val="7"/>
    </w:lvl>
  </w:abstractNum>
  <w:abstractNum w:abstractNumId="14">
    <w:nsid w:val="721DA317"/>
    <w:multiLevelType w:val="hybridMultilevel"/>
    <w:lvl w:ilvl="0">
      <w:lvlJc w:val="left"/>
      <w:lvlText w:val="%1."/>
      <w:numFmt w:val="decimal"/>
      <w:start w:val="8"/>
    </w:lvl>
  </w:abstractNum>
  <w:abstractNum w:abstractNumId="15">
    <w:nsid w:val="2443A858"/>
    <w:multiLevelType w:val="hybridMultilevel"/>
    <w:lvl w:ilvl="0">
      <w:lvlJc w:val="left"/>
      <w:lvlText w:val="%1."/>
      <w:numFmt w:val="decimal"/>
      <w:start w:val="9"/>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04"/>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lowerLetter"/>
      <w:start w:val="2"/>
    </w:lvl>
  </w:abstractNum>
  <w:abstractNum w:abstractNumId="26">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54" Type="http://schemas.openxmlformats.org/officeDocument/2006/relationships/hyperlink" Target="https://www.sec.gov/Archives/edgar/data/1855644/000110465923005068/tm233516d1_ex2-1.htm" TargetMode="External"/><Relationship Id="rId55" Type="http://schemas.openxmlformats.org/officeDocument/2006/relationships/hyperlink" Target="https://www.sec.gov/Archives/edgar/data/1855644/000110465923036697/tm2310353d1_ex3-1.htm" TargetMode="External"/><Relationship Id="rId56" Type="http://schemas.openxmlformats.org/officeDocument/2006/relationships/hyperlink" Target="https://www.sec.gov/Archives/edgar/data/1855644/000110465922093035/jatt-20220630xex4d6.htm" TargetMode="External"/><Relationship Id="rId57" Type="http://schemas.openxmlformats.org/officeDocument/2006/relationships/hyperlink" Target="https://www.sec.gov/Archives/edgar/data/1855644/000110465923055196/tm2314291d1_ex4-1.htm" TargetMode="External"/><Relationship Id="rId58" Type="http://schemas.openxmlformats.org/officeDocument/2006/relationships/hyperlink" Target="https://www.sec.gov/Archives/edgar/data/1855644/000110465924050169/tm2412407d1_ex4-1.htm" TargetMode="External"/><Relationship Id="rId59" Type="http://schemas.openxmlformats.org/officeDocument/2006/relationships/hyperlink" Target="https://www.sec.gov/Archives/edgar/data/1855644/000110465924091602/tm2422174d1_ex4-1.htm" TargetMode="External"/><Relationship Id="rId60" Type="http://schemas.openxmlformats.org/officeDocument/2006/relationships/hyperlink" Target="https://www.sec.gov/Archives/edgar/data/1855644/000110465925036057/tm2512482d1_ex4-1.htm" TargetMode="External"/><Relationship Id="rId61" Type="http://schemas.openxmlformats.org/officeDocument/2006/relationships/hyperlink" Target="https://www.sec.gov/Archives/edgar/data/1855644/000110465925036057/tm2512482d1_ex10-1.htm" TargetMode="External"/><Relationship Id="rId62" Type="http://schemas.openxmlformats.org/officeDocument/2006/relationships/hyperlink" Target="https://www.sec.gov/Archives/edgar/data/1855644/000110465925036057/tm2512482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2025-05-08T06:10:11Z</dcterms:created>
  <dcterms:modified xsi:type="dcterms:W3CDTF">2025-05-08T06:10:11Z</dcterms:modified>
</cp:coreProperties>
</file>