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71" w:lineRule="exact"/>
        <w:rPr>
          <w:sz w:val="24"/>
          <w:szCs w:val="24"/>
          <w:color w:val="auto"/>
        </w:rPr>
      </w:pPr>
    </w:p>
    <w:p>
      <w:pPr>
        <w:ind w:left="420" w:hanging="400"/>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ind w:left="420" w:hanging="400"/>
        <w:spacing w:after="0" w:line="180" w:lineRule="auto"/>
        <w:tabs>
          <w:tab w:leader="none" w:pos="420"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TRANSITION REPORT PURSUANT TO SECTION 13 OR 15(d) OF THE SECURITIES EXCHANGE ACT OF 1934 FOR THE</w:t>
      </w:r>
    </w:p>
    <w:p>
      <w:pPr>
        <w:spacing w:after="0" w:line="189" w:lineRule="exact"/>
        <w:rPr>
          <w:sz w:val="24"/>
          <w:szCs w:val="24"/>
          <w:color w:val="auto"/>
        </w:rPr>
      </w:pPr>
    </w:p>
    <w:p>
      <w:pPr>
        <w:ind w:left="420"/>
        <w:spacing w:after="0"/>
        <w:tabs>
          <w:tab w:leader="none" w:pos="3240" w:val="left"/>
        </w:tabs>
        <w:rPr>
          <w:sz w:val="20"/>
          <w:szCs w:val="20"/>
          <w:color w:val="auto"/>
        </w:rPr>
      </w:pPr>
      <w:r>
        <w:rPr>
          <w:rFonts w:ascii="Times New Roman" w:cs="Times New Roman" w:eastAsia="Times New Roman" w:hAnsi="Times New Roman"/>
          <w:sz w:val="16"/>
          <w:szCs w:val="16"/>
          <w:b w:val="1"/>
          <w:bCs w:val="1"/>
          <w:color w:val="auto"/>
        </w:rPr>
        <w:t>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001-40598</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ZURA BIO LIMITED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880" w:type="dxa"/>
            <w:vAlign w:val="bottom"/>
            <w:gridSpan w:val="2"/>
          </w:tcPr>
          <w:p>
            <w:pPr>
              <w:jc w:val="center"/>
              <w:ind w:left="1003"/>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40" w:type="dxa"/>
            <w:vAlign w:val="bottom"/>
          </w:tcPr>
          <w:p>
            <w:pPr>
              <w:jc w:val="right"/>
              <w:ind w:right="2023"/>
              <w:spacing w:after="0"/>
              <w:rPr>
                <w:sz w:val="20"/>
                <w:szCs w:val="20"/>
                <w:color w:val="auto"/>
              </w:rPr>
            </w:pPr>
            <w:r>
              <w:rPr>
                <w:rFonts w:ascii="Times New Roman" w:cs="Times New Roman" w:eastAsia="Times New Roman" w:hAnsi="Times New Roman"/>
                <w:sz w:val="16"/>
                <w:szCs w:val="16"/>
                <w:b w:val="1"/>
                <w:bCs w:val="1"/>
                <w:color w:val="auto"/>
              </w:rPr>
              <w:t>98-1725736</w:t>
            </w:r>
          </w:p>
        </w:tc>
        <w:tc>
          <w:tcPr>
            <w:tcW w:w="0" w:type="dxa"/>
            <w:vAlign w:val="bottom"/>
          </w:tcPr>
          <w:p>
            <w:pPr>
              <w:spacing w:after="0"/>
              <w:rPr>
                <w:sz w:val="1"/>
                <w:szCs w:val="1"/>
                <w:color w:val="auto"/>
              </w:rPr>
            </w:pPr>
          </w:p>
        </w:tc>
      </w:tr>
      <w:tr>
        <w:trPr>
          <w:trHeight w:val="203"/>
        </w:trPr>
        <w:tc>
          <w:tcPr>
            <w:tcW w:w="3880" w:type="dxa"/>
            <w:vAlign w:val="bottom"/>
            <w:gridSpan w:val="2"/>
          </w:tcPr>
          <w:p>
            <w:pPr>
              <w:jc w:val="center"/>
              <w:ind w:left="1003"/>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40" w:type="dxa"/>
            <w:vAlign w:val="bottom"/>
          </w:tcPr>
          <w:p>
            <w:pPr>
              <w:jc w:val="center"/>
              <w:ind w:right="463"/>
              <w:spacing w:after="0"/>
              <w:rPr>
                <w:sz w:val="20"/>
                <w:szCs w:val="20"/>
                <w:color w:val="auto"/>
              </w:rPr>
            </w:pPr>
            <w:r>
              <w:rPr>
                <w:rFonts w:ascii="Times New Roman" w:cs="Times New Roman" w:eastAsia="Times New Roman" w:hAnsi="Times New Roman"/>
                <w:sz w:val="16"/>
                <w:szCs w:val="16"/>
                <w:b w:val="1"/>
                <w:bCs w:val="1"/>
                <w:color w:val="auto"/>
              </w:rPr>
              <w:t>(I.R.S. Employer</w:t>
            </w:r>
          </w:p>
        </w:tc>
        <w:tc>
          <w:tcPr>
            <w:tcW w:w="0" w:type="dxa"/>
            <w:vAlign w:val="bottom"/>
          </w:tcPr>
          <w:p>
            <w:pPr>
              <w:spacing w:after="0"/>
              <w:rPr>
                <w:sz w:val="1"/>
                <w:szCs w:val="1"/>
                <w:color w:val="auto"/>
              </w:rPr>
            </w:pPr>
          </w:p>
        </w:tc>
      </w:tr>
      <w:tr>
        <w:trPr>
          <w:trHeight w:val="216"/>
        </w:trPr>
        <w:tc>
          <w:tcPr>
            <w:tcW w:w="3880" w:type="dxa"/>
            <w:vAlign w:val="bottom"/>
            <w:gridSpan w:val="2"/>
          </w:tcPr>
          <w:p>
            <w:pPr>
              <w:jc w:val="center"/>
              <w:ind w:left="1003"/>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40" w:type="dxa"/>
            <w:vAlign w:val="bottom"/>
          </w:tcPr>
          <w:p>
            <w:pPr>
              <w:jc w:val="center"/>
              <w:ind w:right="463"/>
              <w:spacing w:after="0"/>
              <w:rPr>
                <w:sz w:val="20"/>
                <w:szCs w:val="20"/>
                <w:color w:val="auto"/>
              </w:rPr>
            </w:pPr>
            <w:r>
              <w:rPr>
                <w:rFonts w:ascii="Times New Roman" w:cs="Times New Roman" w:eastAsia="Times New Roman" w:hAnsi="Times New Roman"/>
                <w:sz w:val="16"/>
                <w:szCs w:val="16"/>
                <w:b w:val="1"/>
                <w:bCs w:val="1"/>
                <w:color w:val="auto"/>
              </w:rPr>
              <w:t>Identification No.)</w:t>
            </w:r>
          </w:p>
        </w:tc>
        <w:tc>
          <w:tcPr>
            <w:tcW w:w="0" w:type="dxa"/>
            <w:vAlign w:val="bottom"/>
          </w:tcPr>
          <w:p>
            <w:pPr>
              <w:spacing w:after="0"/>
              <w:rPr>
                <w:sz w:val="1"/>
                <w:szCs w:val="1"/>
                <w:color w:val="auto"/>
              </w:rPr>
            </w:pPr>
          </w:p>
        </w:tc>
      </w:tr>
      <w:tr>
        <w:trPr>
          <w:trHeight w:val="212"/>
        </w:trPr>
        <w:tc>
          <w:tcPr>
            <w:tcW w:w="3880" w:type="dxa"/>
            <w:vAlign w:val="bottom"/>
            <w:gridSpan w:val="2"/>
          </w:tcPr>
          <w:p>
            <w:pPr>
              <w:jc w:val="center"/>
              <w:ind w:left="1003"/>
              <w:spacing w:after="0"/>
              <w:rPr>
                <w:sz w:val="20"/>
                <w:szCs w:val="20"/>
                <w:color w:val="auto"/>
              </w:rPr>
            </w:pPr>
            <w:r>
              <w:rPr>
                <w:rFonts w:ascii="Times New Roman" w:cs="Times New Roman" w:eastAsia="Times New Roman" w:hAnsi="Times New Roman"/>
                <w:sz w:val="16"/>
                <w:szCs w:val="16"/>
                <w:b w:val="1"/>
                <w:bCs w:val="1"/>
                <w:color w:val="auto"/>
                <w:w w:val="99"/>
              </w:rPr>
              <w:t>1489 W. Warm Springs Rd. #110</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80" w:type="dxa"/>
            <w:vAlign w:val="bottom"/>
            <w:gridSpan w:val="2"/>
          </w:tcPr>
          <w:p>
            <w:pPr>
              <w:jc w:val="center"/>
              <w:ind w:left="1003"/>
              <w:spacing w:after="0"/>
              <w:rPr>
                <w:sz w:val="20"/>
                <w:szCs w:val="20"/>
                <w:color w:val="auto"/>
              </w:rPr>
            </w:pPr>
            <w:r>
              <w:rPr>
                <w:rFonts w:ascii="Times New Roman" w:cs="Times New Roman" w:eastAsia="Times New Roman" w:hAnsi="Times New Roman"/>
                <w:sz w:val="16"/>
                <w:szCs w:val="16"/>
                <w:b w:val="1"/>
                <w:bCs w:val="1"/>
                <w:color w:val="auto"/>
              </w:rPr>
              <w:t>Henderson, Nevada</w:t>
            </w: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40" w:type="dxa"/>
            <w:vAlign w:val="bottom"/>
          </w:tcPr>
          <w:p>
            <w:pPr>
              <w:jc w:val="right"/>
              <w:ind w:right="2203"/>
              <w:spacing w:after="0"/>
              <w:rPr>
                <w:sz w:val="20"/>
                <w:szCs w:val="20"/>
                <w:color w:val="auto"/>
              </w:rPr>
            </w:pPr>
            <w:r>
              <w:rPr>
                <w:rFonts w:ascii="Times New Roman" w:cs="Times New Roman" w:eastAsia="Times New Roman" w:hAnsi="Times New Roman"/>
                <w:sz w:val="16"/>
                <w:szCs w:val="16"/>
                <w:b w:val="1"/>
                <w:bCs w:val="1"/>
                <w:color w:val="auto"/>
              </w:rPr>
              <w:t>89014</w:t>
            </w:r>
          </w:p>
        </w:tc>
        <w:tc>
          <w:tcPr>
            <w:tcW w:w="0" w:type="dxa"/>
            <w:vAlign w:val="bottom"/>
          </w:tcPr>
          <w:p>
            <w:pPr>
              <w:spacing w:after="0"/>
              <w:rPr>
                <w:sz w:val="1"/>
                <w:szCs w:val="1"/>
                <w:color w:val="auto"/>
              </w:rPr>
            </w:pPr>
          </w:p>
        </w:tc>
      </w:tr>
      <w:tr>
        <w:trPr>
          <w:trHeight w:val="212"/>
        </w:trPr>
        <w:tc>
          <w:tcPr>
            <w:tcW w:w="3880" w:type="dxa"/>
            <w:vAlign w:val="bottom"/>
            <w:gridSpan w:val="2"/>
          </w:tcPr>
          <w:p>
            <w:pPr>
              <w:jc w:val="center"/>
              <w:ind w:left="1003"/>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40" w:type="dxa"/>
            <w:vAlign w:val="bottom"/>
          </w:tcPr>
          <w:p>
            <w:pPr>
              <w:jc w:val="center"/>
              <w:ind w:right="463"/>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0" w:type="dxa"/>
            <w:vAlign w:val="bottom"/>
          </w:tcPr>
          <w:p>
            <w:pPr>
              <w:spacing w:after="0"/>
              <w:rPr>
                <w:sz w:val="1"/>
                <w:szCs w:val="1"/>
                <w:color w:val="auto"/>
              </w:rPr>
            </w:pPr>
          </w:p>
        </w:tc>
      </w:tr>
      <w:tr>
        <w:trPr>
          <w:trHeight w:val="270"/>
        </w:trPr>
        <w:tc>
          <w:tcPr>
            <w:tcW w:w="9920" w:type="dxa"/>
            <w:vAlign w:val="bottom"/>
            <w:gridSpan w:val="5"/>
          </w:tcPr>
          <w:p>
            <w:pPr>
              <w:ind w:left="2760"/>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(702) 825-9872</w:t>
            </w:r>
          </w:p>
        </w:tc>
        <w:tc>
          <w:tcPr>
            <w:tcW w:w="0" w:type="dxa"/>
            <w:vAlign w:val="bottom"/>
          </w:tcPr>
          <w:p>
            <w:pPr>
              <w:spacing w:after="0"/>
              <w:rPr>
                <w:sz w:val="1"/>
                <w:szCs w:val="1"/>
                <w:color w:val="auto"/>
              </w:rPr>
            </w:pPr>
          </w:p>
        </w:tc>
      </w:tr>
      <w:tr>
        <w:trPr>
          <w:trHeight w:val="260"/>
        </w:trPr>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3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80" w:type="dxa"/>
            <w:vAlign w:val="bottom"/>
            <w:gridSpan w:val="2"/>
            <w:vMerge w:val="continue"/>
          </w:tcPr>
          <w:p>
            <w:pPr>
              <w:spacing w:after="0"/>
              <w:rPr>
                <w:sz w:val="15"/>
                <w:szCs w:val="15"/>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7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Class A Ordinary Shares, par value $0.0001 per share</w:t>
            </w:r>
          </w:p>
        </w:tc>
        <w:tc>
          <w:tcPr>
            <w:tcW w:w="140" w:type="dxa"/>
            <w:vAlign w:val="bottom"/>
            <w:tcBorders>
              <w:top w:val="single" w:sz="8" w:color="CCEEFF"/>
            </w:tcBorders>
            <w:shd w:val="clear" w:color="auto" w:fill="CCEEFF"/>
          </w:tcPr>
          <w:p>
            <w:pPr>
              <w:spacing w:after="0"/>
              <w:rPr>
                <w:sz w:val="10"/>
                <w:szCs w:val="10"/>
                <w:color w:val="auto"/>
              </w:rPr>
            </w:pPr>
          </w:p>
        </w:tc>
        <w:tc>
          <w:tcPr>
            <w:tcW w:w="14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ZURA</w:t>
            </w:r>
          </w:p>
        </w:tc>
        <w:tc>
          <w:tcPr>
            <w:tcW w:w="160" w:type="dxa"/>
            <w:vAlign w:val="bottom"/>
            <w:tcBorders>
              <w:top w:val="single" w:sz="8" w:color="CCEEFF"/>
            </w:tcBorders>
            <w:shd w:val="clear" w:color="auto" w:fill="CCEEFF"/>
          </w:tcPr>
          <w:p>
            <w:pPr>
              <w:spacing w:after="0"/>
              <w:rPr>
                <w:sz w:val="10"/>
                <w:szCs w:val="10"/>
                <w:color w:val="auto"/>
              </w:rPr>
            </w:pPr>
          </w:p>
        </w:tc>
        <w:tc>
          <w:tcPr>
            <w:tcW w:w="44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(The Nasdaq Capital Market)</w:t>
            </w:r>
          </w:p>
        </w:tc>
        <w:tc>
          <w:tcPr>
            <w:tcW w:w="0" w:type="dxa"/>
            <w:vAlign w:val="bottom"/>
          </w:tcPr>
          <w:p>
            <w:pPr>
              <w:spacing w:after="0"/>
              <w:rPr>
                <w:sz w:val="1"/>
                <w:szCs w:val="1"/>
                <w:color w:val="auto"/>
              </w:rPr>
            </w:pPr>
          </w:p>
        </w:tc>
      </w:tr>
    </w:tbl>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p>
      <w:pPr>
        <w:spacing w:after="0" w:line="40" w:lineRule="exact"/>
        <w:rPr>
          <w:sz w:val="24"/>
          <w:szCs w:val="24"/>
          <w:color w:val="auto"/>
        </w:rPr>
      </w:pPr>
    </w:p>
    <w:p>
      <w:pPr>
        <w:ind w:right="3120"/>
        <w:spacing w:after="0" w:line="214"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 - 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 (d)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42"/>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18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1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spacing w:after="0"/>
              <w:rPr>
                <w:sz w:val="21"/>
                <w:szCs w:val="21"/>
                <w:color w:val="auto"/>
              </w:rPr>
            </w:pPr>
          </w:p>
        </w:tc>
        <w:tc>
          <w:tcPr>
            <w:tcW w:w="400" w:type="dxa"/>
            <w:vAlign w:val="bottom"/>
          </w:tcPr>
          <w:p>
            <w:pPr>
              <w:spacing w:after="0"/>
              <w:rPr>
                <w:sz w:val="21"/>
                <w:szCs w:val="21"/>
                <w:color w:val="auto"/>
              </w:rPr>
            </w:pPr>
          </w:p>
        </w:tc>
      </w:tr>
    </w:tbl>
    <w:p>
      <w:pPr>
        <w:spacing w:after="0" w:line="24"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8"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 (b) of the Sarbanes - Oxley Act (15 U.S.C. 7262 (b)) by the registered public accounting firm that prepared or issued its audit report. </w:t>
      </w:r>
      <w:r>
        <w:rPr>
          <w:rFonts w:ascii="MS PGothic" w:cs="MS PGothic" w:eastAsia="MS PGothic" w:hAnsi="MS PGothic"/>
          <w:sz w:val="13"/>
          <w:szCs w:val="13"/>
          <w:color w:val="auto"/>
        </w:rPr>
        <w:t>☐</w:t>
      </w:r>
    </w:p>
    <w:p>
      <w:pPr>
        <w:spacing w:after="0" w:line="18"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 (b)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8"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 - based compensation received by any of the registrant’s executive officers during the relevant recovery period pursuant to - 240.10D - 1 (b). </w:t>
      </w:r>
      <w:r>
        <w:rPr>
          <w:rFonts w:ascii="MS PGothic" w:cs="MS PGothic" w:eastAsia="MS PGothic" w:hAnsi="MS PGothic"/>
          <w:sz w:val="13"/>
          <w:szCs w:val="13"/>
          <w:color w:val="auto"/>
        </w:rPr>
        <w:t>☐</w:t>
      </w:r>
    </w:p>
    <w:p>
      <w:pPr>
        <w:spacing w:after="0" w:line="3" w:lineRule="exact"/>
        <w:rPr>
          <w:sz w:val="24"/>
          <w:szCs w:val="24"/>
          <w:color w:val="auto"/>
        </w:rPr>
      </w:pPr>
    </w:p>
    <w:p>
      <w:pPr>
        <w:spacing w:after="0" w:line="161" w:lineRule="exact"/>
        <w:tabs>
          <w:tab w:leader="none" w:pos="5900" w:val="left"/>
        </w:tabs>
        <w:rPr>
          <w:sz w:val="20"/>
          <w:szCs w:val="20"/>
          <w:color w:val="auto"/>
        </w:rPr>
      </w:pPr>
      <w:r>
        <w:rPr>
          <w:rFonts w:ascii="Times New Roman" w:cs="Times New Roman" w:eastAsia="Times New Roman" w:hAnsi="Times New Roman"/>
          <w:sz w:val="14"/>
          <w:szCs w:val="14"/>
          <w:color w:val="auto"/>
        </w:rPr>
        <w:t>Indic</w:t>
      </w:r>
      <w:r>
        <w:rPr>
          <w:rFonts w:ascii="Times New Roman" w:cs="Times New Roman" w:eastAsia="Times New Roman" w:hAnsi="Times New Roman"/>
          <w:sz w:val="12"/>
          <w:szCs w:val="12"/>
          <w:color w:val="auto"/>
        </w:rPr>
        <w:t>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0"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Registrant’s units on The Nasdaq Capital Market on June 28, 2024 (the last business day of the Registrant’s most recently completed second fiscal quarter) was $206,282,986.</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March 21, 2025, the Registrant had 68,374,998 Class A Ordinary Shares, par value US$0.0001 each, issued and outstanding.</w:t>
      </w:r>
    </w:p>
    <w:p>
      <w:pPr>
        <w:spacing w:after="0" w:line="119"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23" w:lineRule="exact"/>
        <w:rPr>
          <w:sz w:val="24"/>
          <w:szCs w:val="24"/>
          <w:color w:val="auto"/>
        </w:rPr>
      </w:pPr>
    </w:p>
    <w:p>
      <w:pPr>
        <w:ind w:right="80"/>
        <w:spacing w:after="0"/>
        <w:rPr>
          <w:sz w:val="20"/>
          <w:szCs w:val="20"/>
          <w:color w:val="auto"/>
        </w:rPr>
      </w:pPr>
      <w:r>
        <w:rPr>
          <w:rFonts w:ascii="Times New Roman" w:cs="Times New Roman" w:eastAsia="Times New Roman" w:hAnsi="Times New Roman"/>
          <w:sz w:val="13"/>
          <w:szCs w:val="13"/>
          <w:color w:val="auto"/>
        </w:rPr>
        <w:t>Part III of this Annual Report incorporates by reference information from the definitive proxy statement for the registrant’s 2025 Annual General Meeting of Shareholders, which is expected to be filed with the Securities and Exchange Commission not later than 120 days after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481965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53340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95885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38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40" w:type="dxa"/>
            <w:vAlign w:val="bottom"/>
          </w:tcPr>
          <w:p>
            <w:pPr>
              <w:spacing w:after="0"/>
              <w:rPr>
                <w:sz w:val="17"/>
                <w:szCs w:val="17"/>
                <w:color w:val="auto"/>
              </w:rPr>
            </w:pPr>
          </w:p>
        </w:tc>
      </w:tr>
      <w:tr>
        <w:trPr>
          <w:trHeight w:val="777"/>
        </w:trPr>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580" w:type="dxa"/>
            <w:vAlign w:val="bottom"/>
            <w:gridSpan w:val="13"/>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40" w:type="dxa"/>
            <w:vAlign w:val="bottom"/>
          </w:tcPr>
          <w:p>
            <w:pPr>
              <w:spacing w:after="0"/>
              <w:rPr>
                <w:sz w:val="24"/>
                <w:szCs w:val="24"/>
                <w:color w:val="auto"/>
              </w:rPr>
            </w:pPr>
          </w:p>
        </w:tc>
      </w:tr>
      <w:tr>
        <w:trPr>
          <w:trHeight w:val="405"/>
        </w:trPr>
        <w:tc>
          <w:tcPr>
            <w:tcW w:w="23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FREQUENTLY USED TERMS</w:t>
            </w:r>
          </w:p>
        </w:tc>
        <w:tc>
          <w:tcPr>
            <w:tcW w:w="7040" w:type="dxa"/>
            <w:vAlign w:val="bottom"/>
            <w:gridSpan w:val="24"/>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93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 LOOKING STATEMENTS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50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SUMMARY OF RISK FACTORS</w:t>
            </w:r>
          </w:p>
        </w:tc>
        <w:tc>
          <w:tcPr>
            <w:tcW w:w="2820" w:type="dxa"/>
            <w:vAlign w:val="bottom"/>
            <w:tcBorders>
              <w:top w:val="single" w:sz="8" w:color="0000EE"/>
            </w:tcBorders>
            <w:gridSpan w:val="11"/>
          </w:tcPr>
          <w:p>
            <w:pPr>
              <w:spacing w:after="0"/>
              <w:rPr>
                <w:sz w:val="17"/>
                <w:szCs w:val="17"/>
                <w:color w:val="auto"/>
              </w:rPr>
            </w:pPr>
          </w:p>
        </w:tc>
        <w:tc>
          <w:tcPr>
            <w:tcW w:w="4060" w:type="dxa"/>
            <w:vAlign w:val="bottom"/>
            <w:gridSpan w:val="10"/>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93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PART I</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5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 BUSINESS</w:t>
            </w:r>
          </w:p>
        </w:tc>
        <w:tc>
          <w:tcPr>
            <w:tcW w:w="7660" w:type="dxa"/>
            <w:vAlign w:val="bottom"/>
            <w:gridSpan w:val="2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00" w:type="dxa"/>
            <w:vAlign w:val="bottom"/>
          </w:tcPr>
          <w:p>
            <w:pPr>
              <w:spacing w:after="0"/>
              <w:rPr>
                <w:sz w:val="17"/>
                <w:szCs w:val="17"/>
                <w:color w:val="auto"/>
              </w:rPr>
            </w:pPr>
          </w:p>
        </w:tc>
        <w:tc>
          <w:tcPr>
            <w:tcW w:w="91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1A. RISK FACTORS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1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200" w:type="dxa"/>
            <w:vAlign w:val="bottom"/>
          </w:tcPr>
          <w:p>
            <w:pPr>
              <w:spacing w:after="0"/>
              <w:rPr>
                <w:sz w:val="17"/>
                <w:szCs w:val="17"/>
                <w:color w:val="auto"/>
              </w:rPr>
            </w:pPr>
          </w:p>
        </w:tc>
        <w:tc>
          <w:tcPr>
            <w:tcW w:w="36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1C. CYBERSECURITY</w:t>
            </w:r>
          </w:p>
        </w:tc>
        <w:tc>
          <w:tcPr>
            <w:tcW w:w="558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196"/>
        </w:trPr>
        <w:tc>
          <w:tcPr>
            <w:tcW w:w="20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ITEM 2. PROPERTIES</w:t>
            </w:r>
          </w:p>
        </w:tc>
        <w:tc>
          <w:tcPr>
            <w:tcW w:w="540" w:type="dxa"/>
            <w:vAlign w:val="bottom"/>
            <w:tcBorders>
              <w:top w:val="single" w:sz="8" w:color="0000EE"/>
            </w:tcBorders>
            <w:gridSpan w:val="4"/>
          </w:tcPr>
          <w:p>
            <w:pPr>
              <w:spacing w:after="0"/>
              <w:rPr>
                <w:sz w:val="17"/>
                <w:szCs w:val="17"/>
                <w:color w:val="auto"/>
              </w:rPr>
            </w:pPr>
          </w:p>
        </w:tc>
        <w:tc>
          <w:tcPr>
            <w:tcW w:w="6920" w:type="dxa"/>
            <w:vAlign w:val="bottom"/>
            <w:gridSpan w:val="2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196"/>
        </w:trPr>
        <w:tc>
          <w:tcPr>
            <w:tcW w:w="200" w:type="dxa"/>
            <w:vAlign w:val="bottom"/>
          </w:tcPr>
          <w:p>
            <w:pPr>
              <w:spacing w:after="0"/>
              <w:rPr>
                <w:sz w:val="17"/>
                <w:szCs w:val="17"/>
                <w:color w:val="auto"/>
              </w:rPr>
            </w:pPr>
          </w:p>
        </w:tc>
        <w:tc>
          <w:tcPr>
            <w:tcW w:w="91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3. LEGAL PROCEEDINGS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20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1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6060" w:type="dxa"/>
            <w:vAlign w:val="bottom"/>
            <w:gridSpan w:val="1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196"/>
        </w:trPr>
        <w:tc>
          <w:tcPr>
            <w:tcW w:w="93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PART II</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2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1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w:t>
            </w:r>
          </w:p>
        </w:tc>
        <w:tc>
          <w:tcPr>
            <w:tcW w:w="54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310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w:t>
            </w:r>
          </w:p>
        </w:tc>
        <w:tc>
          <w:tcPr>
            <w:tcW w:w="5820" w:type="dxa"/>
            <w:vAlign w:val="bottom"/>
            <w:tcBorders>
              <w:top w:val="single" w:sz="8" w:color="0000EE"/>
            </w:tcBorders>
            <w:gridSpan w:val="16"/>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196"/>
        </w:trPr>
        <w:tc>
          <w:tcPr>
            <w:tcW w:w="200" w:type="dxa"/>
            <w:vAlign w:val="bottom"/>
          </w:tcPr>
          <w:p>
            <w:pPr>
              <w:spacing w:after="0"/>
              <w:rPr>
                <w:sz w:val="17"/>
                <w:szCs w:val="17"/>
                <w:color w:val="auto"/>
              </w:rPr>
            </w:pPr>
          </w:p>
        </w:tc>
        <w:tc>
          <w:tcPr>
            <w:tcW w:w="91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6. [RESERVED]</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r>
      <w:tr>
        <w:trPr>
          <w:trHeight w:val="20"/>
        </w:trPr>
        <w:tc>
          <w:tcPr>
            <w:tcW w:w="20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44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7. MANAGEMENT’S DISCUSSION AND ANALYSIS OF FINANCIAL CONDITION AND RESULTS OF</w:t>
            </w:r>
          </w:p>
        </w:tc>
        <w:tc>
          <w:tcPr>
            <w:tcW w:w="740" w:type="dxa"/>
            <w:vAlign w:val="bottom"/>
            <w:gridSpan w:val="5"/>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91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r>
      <w:tr>
        <w:trPr>
          <w:trHeight w:val="20"/>
        </w:trPr>
        <w:tc>
          <w:tcPr>
            <w:tcW w:w="20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94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ITEM 7A. QUANTITATIVE AND QUALITATIVE DISCLOSURES ABOUT MARKET RISK</w:t>
            </w:r>
          </w:p>
        </w:tc>
        <w:tc>
          <w:tcPr>
            <w:tcW w:w="2240" w:type="dxa"/>
            <w:vAlign w:val="bottom"/>
            <w:gridSpan w:val="7"/>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200" w:type="dxa"/>
            <w:vAlign w:val="bottom"/>
          </w:tcPr>
          <w:p>
            <w:pPr>
              <w:spacing w:after="0"/>
              <w:rPr>
                <w:sz w:val="17"/>
                <w:szCs w:val="17"/>
                <w:color w:val="auto"/>
              </w:rPr>
            </w:pPr>
          </w:p>
        </w:tc>
        <w:tc>
          <w:tcPr>
            <w:tcW w:w="91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20"/>
        </w:trPr>
        <w:tc>
          <w:tcPr>
            <w:tcW w:w="20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91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w:t>
            </w:r>
          </w:p>
        </w:tc>
        <w:tc>
          <w:tcPr>
            <w:tcW w:w="54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w:t>
            </w:r>
          </w:p>
        </w:tc>
        <w:tc>
          <w:tcPr>
            <w:tcW w:w="7480" w:type="dxa"/>
            <w:vAlign w:val="bottom"/>
            <w:tcBorders>
              <w:top w:val="single" w:sz="8" w:color="0000EE"/>
            </w:tcBorders>
            <w:gridSpan w:val="26"/>
          </w:tcPr>
          <w:p>
            <w:pPr>
              <w:spacing w:after="0"/>
              <w:rPr>
                <w:sz w:val="17"/>
                <w:szCs w:val="17"/>
                <w:color w:val="auto"/>
              </w:rPr>
            </w:pPr>
          </w:p>
        </w:tc>
        <w:tc>
          <w:tcPr>
            <w:tcW w:w="5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200" w:type="dxa"/>
            <w:vAlign w:val="bottom"/>
          </w:tcPr>
          <w:p>
            <w:pPr>
              <w:spacing w:after="0"/>
              <w:rPr>
                <w:sz w:val="17"/>
                <w:szCs w:val="17"/>
                <w:color w:val="auto"/>
              </w:rPr>
            </w:pPr>
          </w:p>
        </w:tc>
        <w:tc>
          <w:tcPr>
            <w:tcW w:w="34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9A. CONTROLS AND PROCEDURES</w:t>
            </w:r>
          </w:p>
        </w:tc>
        <w:tc>
          <w:tcPr>
            <w:tcW w:w="578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r>
      <w:tr>
        <w:trPr>
          <w:trHeight w:val="196"/>
        </w:trPr>
        <w:tc>
          <w:tcPr>
            <w:tcW w:w="200" w:type="dxa"/>
            <w:vAlign w:val="bottom"/>
          </w:tcPr>
          <w:p>
            <w:pPr>
              <w:spacing w:after="0"/>
              <w:rPr>
                <w:sz w:val="17"/>
                <w:szCs w:val="17"/>
                <w:color w:val="auto"/>
              </w:rPr>
            </w:pPr>
          </w:p>
        </w:tc>
        <w:tc>
          <w:tcPr>
            <w:tcW w:w="268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ITEM 9B. OTHER INFORMATION</w:t>
            </w:r>
          </w:p>
        </w:tc>
        <w:tc>
          <w:tcPr>
            <w:tcW w:w="6500" w:type="dxa"/>
            <w:vAlign w:val="bottom"/>
            <w:gridSpan w:val="1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200" w:type="dxa"/>
            <w:vAlign w:val="bottom"/>
          </w:tcPr>
          <w:p>
            <w:pPr>
              <w:spacing w:after="0"/>
              <w:rPr>
                <w:sz w:val="17"/>
                <w:szCs w:val="17"/>
                <w:color w:val="auto"/>
              </w:rPr>
            </w:pPr>
          </w:p>
        </w:tc>
        <w:tc>
          <w:tcPr>
            <w:tcW w:w="91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20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938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PART III</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2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66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10. DIRECTORS, EXECUTIVE OFFICERS, AND CORPORATE GOVERNANCE</w:t>
            </w:r>
          </w:p>
        </w:tc>
        <w:tc>
          <w:tcPr>
            <w:tcW w:w="2580" w:type="dxa"/>
            <w:vAlign w:val="bottom"/>
            <w:gridSpan w:val="8"/>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200" w:type="dxa"/>
            <w:vAlign w:val="bottom"/>
          </w:tcPr>
          <w:p>
            <w:pPr>
              <w:spacing w:after="0"/>
              <w:rPr>
                <w:sz w:val="17"/>
                <w:szCs w:val="17"/>
                <w:color w:val="auto"/>
              </w:rPr>
            </w:pPr>
          </w:p>
        </w:tc>
        <w:tc>
          <w:tcPr>
            <w:tcW w:w="32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11. EXECUTIVE COMPENSATION</w:t>
            </w:r>
          </w:p>
        </w:tc>
        <w:tc>
          <w:tcPr>
            <w:tcW w:w="5980" w:type="dxa"/>
            <w:vAlign w:val="bottom"/>
            <w:gridSpan w:val="1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200" w:type="dxa"/>
            <w:vAlign w:val="bottom"/>
          </w:tcPr>
          <w:p>
            <w:pPr>
              <w:spacing w:after="0"/>
              <w:rPr>
                <w:sz w:val="17"/>
                <w:szCs w:val="17"/>
                <w:color w:val="auto"/>
              </w:rPr>
            </w:pPr>
          </w:p>
        </w:tc>
        <w:tc>
          <w:tcPr>
            <w:tcW w:w="91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w:t>
            </w:r>
          </w:p>
        </w:tc>
        <w:tc>
          <w:tcPr>
            <w:tcW w:w="54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876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SHAREHOLDER MATTERS</w:t>
            </w:r>
          </w:p>
        </w:tc>
        <w:tc>
          <w:tcPr>
            <w:tcW w:w="42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20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700" w:type="dxa"/>
            <w:vAlign w:val="bottom"/>
            <w:gridSpan w:val="9"/>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gridSpan w:val="7"/>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46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72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196"/>
        </w:trPr>
        <w:tc>
          <w:tcPr>
            <w:tcW w:w="200" w:type="dxa"/>
            <w:vAlign w:val="bottom"/>
          </w:tcPr>
          <w:p>
            <w:pPr>
              <w:spacing w:after="0"/>
              <w:rPr>
                <w:sz w:val="17"/>
                <w:szCs w:val="17"/>
                <w:color w:val="auto"/>
              </w:rPr>
            </w:pPr>
          </w:p>
        </w:tc>
        <w:tc>
          <w:tcPr>
            <w:tcW w:w="91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14. PRINCIPAL ACCOUNTING FEES AND SERVICES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200" w:type="dxa"/>
            <w:vAlign w:val="bottom"/>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2160" w:type="dxa"/>
            <w:vAlign w:val="bottom"/>
            <w:gridSpan w:val="13"/>
            <w:shd w:val="clear" w:color="auto" w:fill="0000EE"/>
          </w:tcPr>
          <w:p>
            <w:pPr>
              <w:spacing w:after="0" w:line="20" w:lineRule="exact"/>
              <w:rPr>
                <w:sz w:val="1"/>
                <w:szCs w:val="1"/>
                <w:color w:val="auto"/>
              </w:rPr>
            </w:pPr>
          </w:p>
        </w:tc>
        <w:tc>
          <w:tcPr>
            <w:tcW w:w="2040" w:type="dxa"/>
            <w:vAlign w:val="bottom"/>
            <w:gridSpan w:val="7"/>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80" w:type="dxa"/>
            <w:vAlign w:val="bottom"/>
            <w:gridSpan w:val="1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6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4"/>
              </w:rPr>
              <w:t>PART IV</w:t>
            </w:r>
          </w:p>
        </w:tc>
        <w:tc>
          <w:tcPr>
            <w:tcW w:w="8700" w:type="dxa"/>
            <w:vAlign w:val="bottom"/>
            <w:gridSpan w:val="3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200" w:type="dxa"/>
            <w:vAlign w:val="bottom"/>
          </w:tcPr>
          <w:p>
            <w:pPr>
              <w:spacing w:after="0"/>
              <w:rPr>
                <w:sz w:val="17"/>
                <w:szCs w:val="17"/>
                <w:color w:val="auto"/>
              </w:rPr>
            </w:pPr>
          </w:p>
        </w:tc>
        <w:tc>
          <w:tcPr>
            <w:tcW w:w="9180" w:type="dxa"/>
            <w:vAlign w:val="bottom"/>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ITEM 15. EXHIBITS, FINANCIAL STATEMENT SCHEDULES</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200" w:type="dxa"/>
            <w:vAlign w:val="bottom"/>
          </w:tcPr>
          <w:p>
            <w:pPr>
              <w:spacing w:after="0"/>
              <w:rPr>
                <w:sz w:val="17"/>
                <w:szCs w:val="17"/>
                <w:color w:val="auto"/>
              </w:rPr>
            </w:pPr>
          </w:p>
        </w:tc>
        <w:tc>
          <w:tcPr>
            <w:tcW w:w="480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ITEM 16. FORM 10-K SUMMARY</w:t>
            </w:r>
          </w:p>
        </w:tc>
        <w:tc>
          <w:tcPr>
            <w:tcW w:w="438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2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otherwise stated in this annual report, the terms “we,” “us,” “our” refer to Zura Bio Limited, a Cayman Islands exempted company, or its affiliates, or, if prior to the Business Combination, to JATT Acquisition Corp, a Cayman Islands exempted company, or its affiliates.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225" w:lineRule="exact"/>
        <w:rPr>
          <w:sz w:val="20"/>
          <w:szCs w:val="20"/>
          <w:color w:val="auto"/>
        </w:rPr>
      </w:pPr>
    </w:p>
    <w:p>
      <w:pPr>
        <w:ind w:left="100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2023 Private Placement” means that certain private placement made to certain accredited investors, which closed in two tranches on May 1, 2023 and June 5, 2023.</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“April 2023 Private Placement Shares” means the Class A Ordinary Shares issued in connection with the April 2023 Private Placement.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mergers and other transactions contemplated by the Business Combination Agreement.</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Agreement” means that certain Business Combination Agreement, dated as of June 16, 2022, as amended on September 20, 2022, November 14, 2022 and January 13, 2023, by and among JATT, Merger Sub, Merger Sub 2, Holdco and Legacy Zura, as may be amended or restated from time to time.</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Act” means the Companies Act (Revised) of the Cayman Islands.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Business Combination.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March 20, 2023.</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Capital Restructuring” means the restructuring of Legacy Zura before the Closing pursuant to which all the Class A Ordinary Shares were contributed by their holders to Holdco in exchange for an equivalent number of shares of the equivalent class in Holdco.</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Time” means the time at which the Business Combination became effective.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“EIP” means the 2023 Zura Bio Limited Equity Incentive Plan, as amended.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“Ewon PIPE Subscription Agreement” means that certain subscription agreement, between JATT, on the one hand, and Ewon, on the other hand, dated as of June 16, 2022, as amended on November 25, 2022.</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 Purchase Agreements” or “FPA” means those certain Amended and Restated Forward Purchase Agreements, by and between Athanor Master Fund, LP and Athanor International Master Fund, LP and JATT, dated August 5, 2021 and as amended and restated on January 27, 2022 and further amended on March 8, 2023.</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 shares” means Class B Ordinary Shares of JATT Acquisition Corp held by our Initial Shareholders (including their permitted transferees) and the Class A Ordinary Shares issued upon the conversion thereof. “FPA Shares” means the 3,000,000 JATT Class A Ordinary Shares purchased by the FPA Investors.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Diluted Holdco Shares” means, without duplication, the aggregate number of Holdco Shares that (i) were issued and outstanding immediately prior to the Closing or (ii) would have been issuable upon the exercise of Holdco Options.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“FPA Investors” means those two accredited investors that are parties to the Forward Purchase Agreements.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accounting principles generally accepted in the United States of America.</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“HSR Act” means Hart-Scott-Rodino Antitrust Improvements Act of 1976, as amended.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or “Zura Holdco” means Zura Bio Holdings Ltd, a Cayman Islands exempted company.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Options” means the options to purchase Holdco ordinary shares, which were exchanged for Zura Options upon Closing.</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ordinary shares” or “Holdco shares” means ordinary shares of Holdco, par value $0.001 per share.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SSA” has the meaning given in “The Business Combination Agreement — Company Capital Restructuring.”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Shareholders” means the Sponsor and any other holders of Founder Shares (or their permitted transferees).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refers to JATT’s initial public offering of 13,800,000 Units of JATT consummated on July 13, 2021 and in the over-allotment closing on July 19, 2021.</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means the United States Internal Revenue Service.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“JATT” means JATT Acquisition Corp, a Cayman Islands exempted company.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“JATT Class A Ordinary Share” means a Class A ordinary share, par value $0.0001 per share, of JATT.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“JATT Class B Ordinary Share” means a Class B ordinary share, par value $0.0001 per share, of JATT.</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“JATT Units” means JATT’s units sold in the IPO, each of which consisted of one JATT Class A Ordinary Share and one-half of one Public Warrant.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Zura” means Zura Bio Limited, a limited company incorporated under the laws of England and Wales.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“Lilly” means Eli Lilly and Company.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“Lilly Shares” means the 1,000,000 Class A Ordinary Shares being issued to Lilly pursuant to the Lilly-ZB17 License.</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“Lilly-Z33 License” means that certain License, Development and Commercialization Agreement, dated as of December 8, 2022, by and between Eli Lilly and Company and Z33 Bio Inc.</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“Lilly-ZB17 License Agreement” means that certain License, Development and Commercialization Agreement, dated as of April 26, 2023, by and between Eli Lilly and Company and ZB17 LLC.</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“MAA” means the Second Amended and Restated Memorandum and Articles of Association of Zura Bio Limited, adopted by special resolution dated March 16, 2023 and effective on March 20, 2023.</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2” means JATT Merger Sub 2, a Cayman Islands exempted company and wholly owned subsidiary of JATT.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Cash Condition” means Available Closing Date Cash of at least $65 million.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Capital Market.</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means the JATT Class A Ordinary Shares and JATT Class B Ordinary Shares prior to the Business Combination, and the Class A Ordinary Shares of Zura Bio Limited after the Business Combination.</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“PFIC” means Passive Foreign Investment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“Pfizer Agreement” or “Pfizer License” means that certain License Agreement, effective as of March 22, 2022, by and between Zura and Pfizer Inc.</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Financing” means the issuance and sale of Zura Class A Ordinary Shares pursuant to the PIPE Subscription Agreements.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Investors” means Ewon Comfortech Co., Ltd. and Eugene Investment &amp; Securities Co., Ltd.</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“PIPE Shares” means the 2,009,950 JATT Class A Ordinary Shares purchased by the PIPE Investors in the PIPE Financing.</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“Pre-Combination MAA” means JATT’s Amended and Restated Memorandum and Articles of Association, dated July 12, 2021.</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Warrants” means the 5,910,000 warrants sold in a private placement to the Sponsor, consummated upon JATT’s initial public offering on July 13, 2021 and in the overallotment exercise on July 19, 2021. “public shareholders” means the holders of the JATT public shares.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shares” means the JATT Class A Ordinary Shares which were sold as part of the IPO, whether they were purchased in the IPO or in the aftermarket. “Public Warrants” means the redeemable warrants that were included in the JATT Units that entitle the holder thereof to purchase one-half of one JATT Class A Ordinary Share, with each whole warrant exercisable at a price of $11.50 per share.</w:t>
      </w:r>
    </w:p>
    <w:p>
      <w:pPr>
        <w:spacing w:after="0" w:line="17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PIPE Subscription Agreement” means the form of Subscription Agreement entered into by the Company and certain accredited investors in connection with the April 2023 Private Placement.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Securityholders” means the persons listed in the tables in the section entitled “Selling Securityholders.”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“scFv” means single-chain viable region.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means JATT Ventures, L.P., a Cayman Islands exempted limited partnership.</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Forfeiture Agreement” means the forfeiture agreement between the Sponsor and JATT and Zura, dated as of June 16, 2022.</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and Warrants Agent” means Continental Stock Transfer &amp; Trust Company.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Account” means the Trust Account of JATT at Continental Stock Transfer &amp; Trust Company that holds the proceeds from JATT’s IPO and a portion of the private placement of the Private Placement Warrants.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 means Continental Stock Transfer &amp; Trust Company.</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or “JATT Units” means the units of JATT, each consisting of one JATT Class A Ordinary Share and one-half of one redeemable warrant, which separated upon the consummation of the Business Combination.</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Agent” means Continental Stock Transfer &amp; Trust Company.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Agreement” means that certain warrant agreement, dated July 16, 2021, between JATT and the Warrant Agent.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“Z17” means ZB17 LLC, a Delaware limited liability company. “Z33” means Z33 Bio Inc., a corporation incorporated under the laws of the State of Delaware.</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“ZB-106 Equity Grant Agreement” means that agreement dated as of April 26, 2023, pursuant to which the Company agreed to issue and grant to Lilly 1,000,000 Shares (the “Lilly Shares”) in a private placement transaction.</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“ZB Assets” means tibulizumab (ZB-106), torudokimab (ZB-880) and crebankitug (crebankitug).</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“Zura” means Zura Bio Limited, an exempted company incorporated under the laws of the Cayman Islands (formerly known as Jatt Acquisition Corp).</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“Zura Board” means the board of directors of Zura.</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“Zura Class A Ordinary Shares” or “Class A Ordinary Shares” means the Class A ordinary shares, par value $0.0001 per share, of Zura, following the effectiveness of the MAA in connection with the Closing.</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“Zura Options” means the options issued at Closing upon the exchange of Holdco Options.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“Zura ordinary shares” means ordinary shares of Legacy Zura, par value £0.001 per share, prior to the Closing.</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“Zura Warrants” means the redeemable warrants that entitle the holder thereof to purchase one-half share of one Zura Class A Ordinary Share, following the effectiveness of the MAA in connection with the Closing.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specified otherwise, amounts in this annual report are presented in United States (“U.S.”) dollars.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the safe harbor provisions of the Private Securities Litigation Reform Act of 1995. Our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 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based on the current expectations of Zura Bio Limited (the “Company” or “Zura”) and its management thereof and are inherently subject to uncertainties and changes in circumstances and their potential effects and speak only as of the date of such statement. Forward-looking statements are not guarantees of performance. You should not put undue reliance on our forward-looking statements.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w:t>
      </w:r>
    </w:p>
    <w:p>
      <w:pPr>
        <w:spacing w:after="0" w:line="187" w:lineRule="exact"/>
        <w:rPr>
          <w:sz w:val="20"/>
          <w:szCs w:val="20"/>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 candidates and their related benefits, and our beliefs regarding competing product candidates and products both in development and approved, may not be achieved;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vision and strategy may not be successful;</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key events and initiation of our studies and release of clinical data may take longer than anticipated or may not be achieved at all;</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potential general acceptability and maintenance of our product candidates by regulatory authorities, payors, physicians, and patients may not be achieved;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key personnel;</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with respect to our future operating expenses, capital requirements and needs for additional financing may not be achieved;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completed any clinical trials, and have no products approved for commercial sale;</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incur significant losses for the foreseeable future and may not be able to achieve or sustain profitability in the future;</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require substantial additional capital to finance our operations, and if we are unable to raise such capital when needed or on acceptable terms, we may be forced to delay, reduce, and/or eliminate one or more of its development programs or future commercialization efforts;</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renew existing contracts or enter into new contracts;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contract development manufacturing organizations for the manufacture of clinical materials;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contract research organizations, clinical trial sites, and other third parties to conduct our preclinical studies and clinical trials;</w:t>
      </w:r>
    </w:p>
    <w:p>
      <w:pPr>
        <w:spacing w:after="0" w:line="161"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for our product candidates, and there may be related restrictions or limitations of any approved products;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respond to general economic and geopolitical conditions;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effectively manage growth;</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competitive pressures from other companies worldwide;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protect our intellectual property rights;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set forth in documents filed, or to be filed, with the SEC.</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 discussion of the risks, uncertainties and other factors described above, as well as other risks material to our business, can be found under “Risk Factors” in Part I, Item 1A of this Annual Report. We may not actually achieve the plans, intentions or expectations disclosed in our forward-looking statements.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Our forward-looking statements do not reflect the potential impact of any future acquisitions, mergers, dispositions, joint ventures, investments or other transactions we may execute.</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this Annual Report and the documents referenced within this Annual Report and the other cautionary statements that are included elsewhere in this Annual Report and in our public filings, including under “Management’s Discussion and Analysis of Financial Condition and Results of Operations.” Forward-looking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statements should not be read to indicate that we have conducted an exhaustive inquiry into, or review of, all potentially available relevant information.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These risks include, but are not limited to the following:</w:t>
      </w:r>
    </w:p>
    <w:p>
      <w:pPr>
        <w:spacing w:after="0" w:line="160" w:lineRule="exact"/>
        <w:rPr>
          <w:sz w:val="20"/>
          <w:szCs w:val="20"/>
          <w:color w:val="auto"/>
        </w:rPr>
      </w:pPr>
    </w:p>
    <w:p>
      <w:pPr>
        <w:ind w:left="100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initiated, conducted or completed any clinical trials, and have not taken a product through to commercialization.</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losses since inception, and we expect to incur significant losses for the foreseeable future and may not be able to achieve or sustain profitability in the future. We have not generated any revenue from the ZB Assets and may never generate revenue or become profitable.</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recurring losses from operations and financial condition could raise substantial doubt about our ability to continue.</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raise capital when needed, or on acceptable terms, we may be forced to delay, reduce and/or eliminate one or more of our development programs or future commercialization efforts. We have never successfully completed the regulatory approval process for any product candidates, and we may be unable to do so for any product candidates we develop.</w:t>
      </w:r>
    </w:p>
    <w:p>
      <w:pPr>
        <w:spacing w:after="0" w:line="179"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the ZB Assets, and our anticipated clinical trials of the ZB Assets may not be successful.</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find it difficult to enroll participants in our clinical trials. If we experience delays or difficulties in the enrollment of participants in clinical trials, our successful completion of clinical trials, our receipt of marketing approvals could be delayed or prevented.</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testing and early clinical trials may not be predictive of the success of our later clinical trials, and the results of our clinical trials may not satisfy the requirements of the United States Food and Drug Administration (“FDA”), European Medicines Agency (“EMA”), or other foreign regulatory authorities.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development involves a lengthy and expensive process with uncertain outcomes, and results of earlier studies and trials may not be predictive of future clinical trial results.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interim data from our clinical trials that we announce or publish may change as more patient data become available and are subject to audit and verification procedures.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develop the ZB Assets in combination with other therapies, which exposes us to additional risks related to other agents or active pharmaceutical or biological ingredients used in combination with our product candidates.</w:t>
      </w:r>
    </w:p>
    <w:p>
      <w:pPr>
        <w:spacing w:after="0" w:line="161"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or other regulatory authorities revoke their approval of these other therapies or revoke their approval of, or if safety, efficacy, manufacturing or supply issues arise with, the therapies we choose to evaluate in combination with any product candidate we develop, we may be unable to obtain approval.</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license agreements with Pfizer and Lilly to permit us to use certain patents, know-how and technology. Termination of these rights or the failure to comply with obligations under these agreements could materially harm our business and prevent us from developing or commercializing the ZB Assets.</w:t>
      </w:r>
    </w:p>
    <w:p>
      <w:pPr>
        <w:spacing w:after="0" w:line="175" w:lineRule="exact"/>
        <w:rPr>
          <w:rFonts w:ascii="Times New Roman" w:cs="Times New Roman" w:eastAsia="Times New Roman" w:hAnsi="Times New Roman"/>
          <w:sz w:val="18"/>
          <w:szCs w:val="18"/>
          <w:color w:val="auto"/>
        </w:rPr>
      </w:pPr>
    </w:p>
    <w:p>
      <w:pPr>
        <w:jc w:val="both"/>
        <w:ind w:left="1000" w:right="20" w:hanging="317"/>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proprietary rights is uncertain. We have limited geographical protection with respect to our licensed patents and may not be able to protect our intellectual property rights throughout the world. Patent terms may not protect our competitive position with respect to the ZB Assets for an adequate amount of time. If we do not obtain patent term extension in the United States under the Hatch-Waxman Act and in foreign countries under similar legislation, our business may be materially harmed.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right="20" w:hanging="317"/>
        <w:spacing w:after="0" w:line="250"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190"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or enforce trade secret protection for our product candidates.</w:t>
      </w:r>
    </w:p>
    <w:p>
      <w:pPr>
        <w:spacing w:after="0" w:line="211"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patent laws in the United States and other jurisdictions could diminish the value of patents in general, thereby impairing our ability to protect the ZB Assets.</w:t>
      </w:r>
    </w:p>
    <w:p>
      <w:pPr>
        <w:spacing w:after="0" w:line="175" w:lineRule="exact"/>
        <w:rPr>
          <w:rFonts w:ascii="Times New Roman" w:cs="Times New Roman" w:eastAsia="Times New Roman" w:hAnsi="Times New Roman"/>
          <w:sz w:val="18"/>
          <w:szCs w:val="18"/>
          <w:color w:val="auto"/>
        </w:rPr>
      </w:pPr>
    </w:p>
    <w:p>
      <w:pPr>
        <w:jc w:val="both"/>
        <w:ind w:left="1000" w:right="20" w:hanging="317"/>
        <w:spacing w:after="0" w:line="250"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EMA, and other foreign regulatory authorities are complex, time-consuming, and inherently unpredictable. Of the large number of products in development, only a small percentage successfully complete regulatory approval processes and are commercialized.</w:t>
      </w:r>
    </w:p>
    <w:p>
      <w:pPr>
        <w:spacing w:after="0" w:line="190"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extensive ongoing regulatory obligations and continued regulatory review, which may result in significant additional expense, and we may be subject to penalties if we fail to comply with regulatory requirements.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4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independent contractors, consultants, commercial collaborators, principal investigators, contract research organizations (“CROs”), suppliers and vendors may engage in misconduct or other improper activities, including noncompliance with regulatory standards and requirements. Our business operations and current and future arrangements with investigators, healthcare professionals, consultants, third-party payors, patient organizations and customers will be subject to applicable healthcare regulatory laws, which could expose us to penalties.</w:t>
      </w:r>
    </w:p>
    <w:p>
      <w:pPr>
        <w:spacing w:after="0" w:line="194" w:lineRule="exact"/>
        <w:rPr>
          <w:rFonts w:ascii="Times New Roman" w:cs="Times New Roman" w:eastAsia="Times New Roman" w:hAnsi="Times New Roman"/>
          <w:sz w:val="18"/>
          <w:szCs w:val="18"/>
          <w:color w:val="auto"/>
        </w:rPr>
      </w:pPr>
    </w:p>
    <w:p>
      <w:pPr>
        <w:jc w:val="both"/>
        <w:ind w:left="1000" w:hanging="317"/>
        <w:spacing w:after="0" w:line="245"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legislative and regulatory reform discourse and potential or enacted measures may have a material adverse impact on our business and results of operations and legislative or political discussions surrounding the desire for and implementation of pricing reforms may adversely impact our business. Since its enactment, there have been numerous judicial, administrative, executive, and legislative challenges to certain aspects of the Affordable Care Act, as amended by the Health Care and Education Reconciliation Act (“ACA”). It is unclear how other healthcare reform measures of the current U.S. federal government administration or future administrations or other efforts, if any, to amend or challenge the ACA, will impact our business.</w:t>
      </w:r>
    </w:p>
    <w:p>
      <w:pPr>
        <w:spacing w:after="0" w:line="181" w:lineRule="exact"/>
        <w:rPr>
          <w:rFonts w:ascii="Times New Roman" w:cs="Times New Roman" w:eastAsia="Times New Roman" w:hAnsi="Times New Roman"/>
          <w:sz w:val="18"/>
          <w:szCs w:val="18"/>
          <w:color w:val="auto"/>
        </w:rPr>
      </w:pPr>
    </w:p>
    <w:p>
      <w:pPr>
        <w:jc w:val="both"/>
        <w:ind w:left="1000" w:hanging="317"/>
        <w:spacing w:after="0" w:line="250"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key personnel and anticipate hiring additional key personnel. If we are not successful in attracting and retaining qualified personnel, including consultants, we may not be able to successfully implement our business strategy.</w:t>
      </w:r>
    </w:p>
    <w:p>
      <w:pPr>
        <w:spacing w:after="0" w:line="190"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successfully implement our plans and strategies, we will need to grow the size of our organization and we may experience difficulties in managing this growth.</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50"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computer systems, or those of any third parties with whom we work (including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w:t>
      </w:r>
    </w:p>
    <w:p>
      <w:pPr>
        <w:spacing w:after="0" w:line="177"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the future, form or seek collaborations or strategic alliances or enter into licensing arrangements, and we may not realize the benefits of such collaborations, alliances or licensing arrangements.</w:t>
      </w:r>
    </w:p>
    <w:p>
      <w:pPr>
        <w:spacing w:after="0" w:line="17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securities may be volatile and may decline in the future. Our operating results have and may continue to fluctuate significantly.</w:t>
      </w:r>
    </w:p>
    <w:p>
      <w:pPr>
        <w:spacing w:after="0" w:line="17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cash dividends in the past and we do not expect to pay cash dividends in the foreseeable future. Any return on investment may be limited to the capital appreciation, if any, of Zura Class A Ordinary Shares.</w:t>
      </w:r>
    </w:p>
    <w:p>
      <w:pPr>
        <w:spacing w:after="0" w:line="17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and/or issuances of our securities could result in additional dilution of the percentage ownership of our shareholders and could cause our share price to fall.</w:t>
      </w:r>
    </w:p>
    <w:p>
      <w:pPr>
        <w:spacing w:after="0" w:line="175" w:lineRule="exact"/>
        <w:rPr>
          <w:rFonts w:ascii="Times New Roman" w:cs="Times New Roman" w:eastAsia="Times New Roman" w:hAnsi="Times New Roman"/>
          <w:sz w:val="18"/>
          <w:szCs w:val="18"/>
          <w:color w:val="auto"/>
        </w:rPr>
      </w:pPr>
    </w:p>
    <w:p>
      <w:pPr>
        <w:ind w:left="1000" w:hanging="317"/>
        <w:spacing w:after="0" w:line="266"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certain holders of our Class A Ordinary Shares sell a significant portion of their securities, it may negatively impact the market price of the shares of our Class A Ordinary Shares and such holders still may receive significant proceeds.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clinical-stage, multi-asset immunology company dedicated to developing novel dual-pathway antibodies for a range of autoimmune and inflammatory diseases with unmet needs. Leveraging the extensive experience of our team, we identify relevant diseases and develop our differentiated assets in those diseases. Our strategic focus is to harness dual-pathway biology to provide broader and deeper clinical benefits to patients with autoimmune and inflammatory diseases.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currently developing one clinical-stage product candidate in ongoing Phase 2 trials while actively evaluating development opportunities for our pipeline of clinical-stage assets, focusing on indications with unmet needs and commercial potential.</w:t>
      </w:r>
    </w:p>
    <w:p>
      <w:pPr>
        <w:spacing w:after="0" w:line="162" w:lineRule="exact"/>
        <w:rPr>
          <w:sz w:val="20"/>
          <w:szCs w:val="20"/>
          <w:color w:val="auto"/>
        </w:rPr>
      </w:pPr>
    </w:p>
    <w:p>
      <w:pPr>
        <w:jc w:val="both"/>
        <w:ind w:left="1000" w:hanging="317"/>
        <w:spacing w:after="0" w:line="25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Tibulizumab (ZB-106) is an immunoglobulin G (IgG)-single-chain variable fragment (scFv) bispecific dual-antagonist antibody engineered by the fusion of TALTZ® (ixekizumab) and tabalumab to neutralize interleukin-17A (IL-17A) and B-cell activating factor (BAFF). These cytokines play pivotal roles in various inflammatory and autoimmune disorders. By targeting IL-17A and BAFF, tibulizumab demonstrates potential in mitigating chronic inflammation while preserving the integrity of the immune system. Three Phase 1/1b clinical studies have been completed for tibulizumab, including studies involving participants with rheumatoid arthritis and Sjögren’s syndrome.</w:t>
      </w:r>
    </w:p>
    <w:p>
      <w:pPr>
        <w:spacing w:after="0" w:line="201" w:lineRule="exact"/>
        <w:rPr>
          <w:sz w:val="20"/>
          <w:szCs w:val="20"/>
          <w:color w:val="auto"/>
        </w:rPr>
      </w:pPr>
    </w:p>
    <w:p>
      <w:pPr>
        <w:jc w:val="both"/>
        <w:ind w:left="1660" w:right="20" w:hanging="329"/>
        <w:spacing w:after="0" w:line="279" w:lineRule="auto"/>
        <w:tabs>
          <w:tab w:leader="none" w:pos="166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December 2024, we initiated TibuSURE, a global Phase 2 study evaluating tibulizumab in adults with systemic sclerosis (SSc). TibuSURE is a randomized, double-blind, placebo-controlled study designed to assess the safety,</w:t>
      </w:r>
    </w:p>
    <w:p>
      <w:pPr>
        <w:jc w:val="both"/>
        <w:ind w:left="1660"/>
        <w:spacing w:after="0" w:line="286"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tolerability, and efficacy of tibulizumab in approximately 80 participants with early diffuse cutaneous systemic sclerosis (dcSSc). The study includes a 24-week efficacy period followed by a 28-week open-label extension (OLE). The primary endpoint is the modified Rodnan Skin Score (mRSS). Key efficacy endpoints include lung</w:t>
      </w:r>
    </w:p>
    <w:p>
      <w:pPr>
        <w:spacing w:after="0" w:line="2" w:lineRule="exact"/>
        <w:rPr>
          <w:rFonts w:ascii="Courier New" w:cs="Courier New" w:eastAsia="Courier New" w:hAnsi="Courier New"/>
          <w:sz w:val="18"/>
          <w:szCs w:val="18"/>
          <w:color w:val="auto"/>
        </w:rPr>
      </w:pPr>
    </w:p>
    <w:p>
      <w:pPr>
        <w:jc w:val="both"/>
        <w:ind w:left="1660"/>
        <w:spacing w:after="0" w:line="289"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disease, assessed by quantitative high-resolution computed tomography (qHRCT) and forced vital capacity (FVC); physical function, measured by the Health Assessment Questionnaire-Disability Index (HAQ-DI); and the</w:t>
      </w:r>
    </w:p>
    <w:p>
      <w:pPr>
        <w:spacing w:after="0" w:line="1" w:lineRule="exact"/>
        <w:rPr>
          <w:rFonts w:ascii="Courier New" w:cs="Courier New" w:eastAsia="Courier New" w:hAnsi="Courier New"/>
          <w:sz w:val="18"/>
          <w:szCs w:val="18"/>
          <w:color w:val="auto"/>
        </w:rPr>
      </w:pPr>
    </w:p>
    <w:p>
      <w:pPr>
        <w:ind w:left="1660" w:right="20"/>
        <w:spacing w:after="0" w:line="313" w:lineRule="auto"/>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revised Combined Response Index in Systemic Sclerosis (rCRISS). Topline data are expected to be available in the fourth quarter of 2026.</w:t>
      </w:r>
    </w:p>
    <w:p>
      <w:pPr>
        <w:spacing w:after="0" w:line="175" w:lineRule="exact"/>
        <w:rPr>
          <w:rFonts w:ascii="Courier New" w:cs="Courier New" w:eastAsia="Courier New" w:hAnsi="Courier New"/>
          <w:sz w:val="18"/>
          <w:szCs w:val="18"/>
          <w:color w:val="auto"/>
        </w:rPr>
      </w:pPr>
    </w:p>
    <w:p>
      <w:pPr>
        <w:jc w:val="both"/>
        <w:ind w:left="1660" w:right="20" w:hanging="329"/>
        <w:spacing w:after="0" w:line="294" w:lineRule="auto"/>
        <w:tabs>
          <w:tab w:leader="none" w:pos="166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In September 2024, we engaged a third-party CRO to oversee and conduct the Phase 2 clinical program evaluating tibulizumab in hidradenitis suppurativa (HS). We have an active Investigational New Drug (“IND”) for HS and the Phase 2 study is expected to initiate in the second quarter of 2025.</w:t>
      </w:r>
    </w:p>
    <w:p>
      <w:pPr>
        <w:spacing w:after="0" w:line="165" w:lineRule="exact"/>
        <w:rPr>
          <w:rFonts w:ascii="Courier New" w:cs="Courier New" w:eastAsia="Courier New" w:hAnsi="Courier New"/>
          <w:sz w:val="18"/>
          <w:szCs w:val="18"/>
          <w:color w:val="auto"/>
        </w:rPr>
      </w:pPr>
    </w:p>
    <w:p>
      <w:pPr>
        <w:jc w:val="both"/>
        <w:ind w:left="1000" w:hanging="317"/>
        <w:spacing w:after="0" w:line="25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Crebankitug (ZB-168) is a fully human, high affinity monoclonal antibody that binds and neutralizes the interleukin-7 receptor (IL-7R) alpha chain. IL-7Rα sits at the nexus of two key immune pathways, IL-7 and thymic stromal lymphopoietin (TSLP), thus IL-7Rα has the potential to block activation through either of these pathways. As a result, we believe crebankitug could be therapeutically relevant in a broad set of indications where the IL-7 or TSLP pathways may be involved. Three Phase 1/1b clinical studies have been conducted to date. We are actively assessing the competitive landscape and evaluating potential therapeutic indications to guide our future development efforts for crebankitug.</w:t>
      </w:r>
    </w:p>
    <w:p>
      <w:pPr>
        <w:spacing w:after="0" w:line="187"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Torudokimab (ZB-880) is a fully human, high affinity monoclonal antibody that neutralizes interleukin-33 (IL-33), preventing ST2-dependent and ST2-independent (e.g., RAGE) inflammation. The IL-33/ST2 axis stands as a validated therapeutic target for conditions such as chronic obstructive pulmonary disease (“COPD”) and asthma. Three Phase 1/2 clinical studies have been conducted to date. We are continuing to monitor external Phase 2 and Phase 3 IL-33/ST2 data releases from other companies related to asthma and COPD and are actively assessing the competitive landscape and evaluating potential therapeutic indications to guide our future development efforts for torudokimab.</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of our product candidates has dual-pathway biology, merging two validated mechanisms in disease indications where each has demonstrated individual clinical activity. This innovative approach could signify a paradigm shift for patients suffering from severe and complex autoimmune conditions, whose needs remain unaddressed by conventional single-pathway strategies.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provides an overview of our product candidates and their status in our development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154305</wp:posOffset>
            </wp:positionV>
            <wp:extent cx="5314950" cy="1722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1495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1: Zura Development Pipeline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mission is to enhance the well-being of all stakeholders within the healthcare community, encompassing patients, healthcare providers, caregivers, and other involved parties. Our vision is to develop transformative therapies for patients suffering from serious immune system disorders. To achieve this goal, we are committed to the following strategic objectives:</w:t>
      </w:r>
    </w:p>
    <w:p>
      <w:pPr>
        <w:spacing w:after="0" w:line="176" w:lineRule="exact"/>
        <w:rPr>
          <w:sz w:val="20"/>
          <w:szCs w:val="20"/>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Maximizing the potential of tibulizumab through successful execution of our initial clinical studies in SSc and HS.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crebankitug and torudokimab in select inflammatory and autoimmune diseases.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our translational expertise and validating external clinical findings.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Cultivating and retaining skilled, experienced leaders within our organization.</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intellectual property portfolio. We aim to expand our global intellectual property portfolio to protect the ZB Assets and their uses.</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Exploring strategic collaborations to maximize the value of our product candidates. This may involve forming strategic alliances, licensing agreements, or collaborations with third parties with the aim of strengthening and aiding our research, development, and commercialization of the ZB Assets and/or the company more broadly.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 Opportunity in Autoimmune and Inflammatory Diseases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Autoimmune diseases develop when the immune system inappropriately attacks the cells and/or tissues. While the mechanisms underlying the development of autoimmune diseases are not well understood, studies have demonstrated key roles for inflammatory cytokines, T cells, and B cells in driving disease pathogenesis.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Previous therapeutic approaches in autoimmunity focused initially on broad immunosuppression to block cytokine signaling and the subsequent activation of inflammatory cells. Additional therapeutic approaches focused on targeting key factors known to play a role in autoimmune conditions. Despite the growing armamentarium of therapies, autoimmune disease remains unresolved in millions of patients, further outlining the need for new therapies with improved efficacy and durability.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Tibulizumab (ZB-106)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Tibulizumab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Tibulizumab, a humanized bispecific dual antagonist antibody, has been engineered to bind to and neutralize both BAFF and IL-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142875</wp:posOffset>
            </wp:positionV>
            <wp:extent cx="5760720" cy="26142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Figure 2: </w:t>
      </w:r>
      <w:r>
        <w:rPr>
          <w:rFonts w:ascii="Times New Roman" w:cs="Times New Roman" w:eastAsia="Times New Roman" w:hAnsi="Times New Roman"/>
          <w:sz w:val="18"/>
          <w:szCs w:val="18"/>
          <w:color w:val="auto"/>
        </w:rPr>
        <w:t>Tibulizumab</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IL-17 is known to play a key role in the fibrotic process of various organs like lung, kidney, heart and skin. The IL-17 family of cytokines contains six structurally related isoforms with distinct abilities to form homo- or heterodimers, leading to differences in specificity and signaling potencies. These cytokines are important for the control of infections, especially by extracellular fungi. Conversely, if unrestrained, they can contribute to the pathology of autoimmune and chronic inflammatory conditions. The prototypic member of this family is IL17A, herein referred to as IL-17. T-helper cell 17 (Th17) are a subset of T cells, characterized by the production of the cytokine IL-17. In recent years, studies have established the pathogenic involvement of Th17 cells and its cytokine IL-17 in autoimmune diseases.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BAFF is involved in multiple aspects of immune system regulation but is best known for its central role in B lymphocyte development and proliferation. Initially expressed as a membrane-bound form on various cell types, BAFF is subsequently cleaved, generating a soluble protein fragment. Dysregulated BAFF expression is thought to contribute to autoimmune diseases via effects on abnormal B-lymphocyte activation, proliferation, survival, and immunoglobulin secretion. Overexpression of BAFF in mouse models induces autoimmune disease mimicking rheumatoid arthritis (RA), systemic lupus erythematosus (SLE) and primary Sjögren’s syndrome (pSS). Likewise in humans, elevated serum BAFF levels are reported in SLE, RA, pSS, IgA nephropathy, and SSc patient serum.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360045</wp:posOffset>
            </wp:positionV>
            <wp:extent cx="4774565" cy="3608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74565" cy="3608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Figure 3</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BAFF cytokine is a potent B-cell activator and promotes the survival and differentiation of B cells. Similarly, IL-17A is a pro-inflammatory cytokine produced by epithelial cells and lymphocytes. In patients with SSc, levels of BAFF and IL-17A are increased, exhibiting a direct correlation with the severity of the disease. Tibulizumab has potential in immune-mediated diseases by addressing both the B- and T-cell components implicated in SSc pathology.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December 2024, we initiated TibuSURE, a global Phase 2 study to evaluate tibulizumab in adults with SSc. TibuSURE is a double-blind, placebo-controlled study designed to assess the safety, tolerability, and efficacy of tibulizumab in approximately 80 participants with early dcSSc. Topline data are expected to be available in the fourth quarter of 2026.</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fourth quarter of 2024, we submitted a request for Orphan Drug Designation for tibulizumab in SSc. We continue to correspond with the FDA regarding that request.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to SSc, we plan to evaluate tibulizumab in participants with HS. The Phase 2 study is expected to initiate in the second quarter of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Systemic Sclerosis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on systemic sclerosis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SSc is an orphan autoimmune disease affecting a total of approximately 300,000 people in the United States, the European Union (“E.U.”) and Japan. Statistics suggest that SSc is more common in women, with an average female to male ratio of 3:1. The onset of the disease typically occurs between the ages of 30 and 50, and the United States has the highest incidence and prevalence globally.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SSc is characterized by progressive fibrosis of the skin and visceral organs that can result in life-threatening complications. Although skin fibrosis is the distinguishing hallmark of SSc, the pathological changes in the lungs, gastrointestinal tract, kidney, and heart determine clinical outcomes. Its prevalence is low, but the burden of disease is substantial with the highest mortality (~75%</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survival rate at 5 years) across all rheumatic diseases. Treatment has traditionally been a combination of immunosuppressants, particularly mycophenolate mofetil or cyclophosphamide, and additional therapeutics used to target organ-specific complications. These agents are used off-label in most countries. In the United States, two agents are approved to slow the decline of SSc-associated ILD but there are no licensed therapies that treat the totality of the disease.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SSc is traditionally classified by the extent of skin involvement, accompanying internal organ disease and the presence of overlapping systemic autoimmune disease.</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Limited cutaneous SSc (lcSSc) </w:t>
      </w:r>
      <w:r>
        <w:rPr>
          <w:rFonts w:ascii="Times New Roman" w:cs="Times New Roman" w:eastAsia="Times New Roman" w:hAnsi="Times New Roman"/>
          <w:sz w:val="18"/>
          <w:szCs w:val="18"/>
          <w:color w:val="auto"/>
        </w:rPr>
        <w:t>involves the distal skin of the extremities and the face. Patients with lcSSc are less likely to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internal organ involvement, though they are at risk of pulmonary hypertension. </w:t>
      </w:r>
      <w:r>
        <w:rPr>
          <w:rFonts w:ascii="Times New Roman" w:cs="Times New Roman" w:eastAsia="Times New Roman" w:hAnsi="Times New Roman"/>
          <w:sz w:val="18"/>
          <w:szCs w:val="18"/>
          <w:i w:val="1"/>
          <w:iCs w:val="1"/>
          <w:color w:val="auto"/>
        </w:rPr>
        <w:t>Diffuse cutaneous SSc (dcSSc)</w:t>
      </w:r>
      <w:r>
        <w:rPr>
          <w:rFonts w:ascii="Times New Roman" w:cs="Times New Roman" w:eastAsia="Times New Roman" w:hAnsi="Times New Roman"/>
          <w:sz w:val="18"/>
          <w:szCs w:val="18"/>
          <w:color w:val="auto"/>
        </w:rPr>
        <w:t xml:space="preserve"> affects large areas of skin on the proximal aspect of the extremities. Patients with dcSSc have rapid disease progression with extensive skin changes and early development of visceral organ complications. Organ damage can occur due to fibrosis or blood vessel abnormalities called vasculopathy. Severe complications of SSc include abrupt hypertension and renal failure, called renal crises, interstitial lung disease, cardiac failure, pulmonary hypertension, and digital ischemia.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128270</wp:posOffset>
            </wp:positionV>
            <wp:extent cx="1457325" cy="1405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5732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Figure 4: </w:t>
      </w:r>
      <w:r>
        <w:rPr>
          <w:rFonts w:ascii="Times New Roman" w:cs="Times New Roman" w:eastAsia="Times New Roman" w:hAnsi="Times New Roman"/>
          <w:sz w:val="18"/>
          <w:szCs w:val="18"/>
          <w:color w:val="auto"/>
        </w:rPr>
        <w:t>Systemic sclerosis subtypes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Pathogenesis of SSc and Therapeutic Targeting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Patients with SSc exhibit increased levels of BAFF which correlates with disease progression. Additional studies have demonstrated that BAFF induces collagen secretion in dermal fibroblasts, and treatment of diffuse SSc with belimumab (anti-BAFF) was associated with a decrease in B-cell signaling and fibrosis-related gene expression in patients with early diffuse SSc. Finally, belimumab treatment showed a trend towards improvement in modified Rodnan skin score (mRSS) and lung function in a small study of patients with SSc.</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Expression of Th17 and IL-17 is increased in patients with SSc, which is believed to play a key role in the progression of the disease. Infiltration of IL-17-positive lymphocytes into the skin lesions has been observed. Increased IL-17 levels were associated with worse disease severity and promoted fibroblast growth and collagen production. Importantly, neutralizing IL-17 prevented collagen production and blockade of IL-17R led to significant improvements of mRSS and FVC in patients with SSc in a Phase 3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125730</wp:posOffset>
            </wp:positionV>
            <wp:extent cx="4577715" cy="1628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7771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Figure 5: IL-17 and BAFF in SSc</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SSc Unmet Medical Need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SSc is a progressive and debilitating disease with limited treatment options, leading to a significant demand for new and novel treatments among physicians and patients. Ten-year mortality rates in SSc range between 40% and 60%. Diagnosis for patients may take more than five years and patients can experience clinical symptoms across multiple organs with great daily impact to their lives. Patients with dcSSc have rapid disease progression with extensive skin changes and early development of visceral organ complications. An unmet need exists in dcSSc patients to slow progression of fibrosis in skin and visceral organs, slow the decline in lung disease, and decrease mortality. There are no approved therapies for dcSSc, with only off-label use of marketed products.</w:t>
      </w:r>
    </w:p>
    <w:p>
      <w:pPr>
        <w:spacing w:after="0" w:line="187" w:lineRule="exact"/>
        <w:rPr>
          <w:sz w:val="20"/>
          <w:szCs w:val="20"/>
          <w:color w:val="auto"/>
        </w:rPr>
      </w:pPr>
    </w:p>
    <w:p>
      <w:pPr>
        <w:jc w:val="both"/>
        <w:ind w:left="1000" w:hanging="317"/>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Tibulizumab inhibits both IL-17 and BAFF which have separately shown clinical activity in placebo-controlled trials in SSc. Our approach with tibulizumab is to inhibit both pathways with a single agent, potentially providing clinical benefits to a broader range of patients, as well as a greater level of effect.</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Durability of treatment to antibodies may diminish over time, so dual inhibition of IL17 and BAFF could result in patients maintaining an adequate clinical benefit for a longer period of time.</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terminal half-life of tibulizumab is 26.9 days, offering the possibility of monthly dosing. Currently, approved agents in SSc-ILD are administered as an oral drug twice per day or a subcutaneous injection on a weekly basis. Monthly dosing could offer patients more convenient dosing and result in better adherence to prescribed medication.</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Tibulizumab combines elements from two compounds, tabalumab (an anti-BAFF with demonstrated effect in clinical trials) and ixekizumab (an approved anti-IL-17 therapy with more than 140,000 patients treated in multiple indications).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Hidradenitis Suppurativa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Background on hidradenitis suppurativa</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Hidradenitis suppurativa (HS), also known as acne inversa, is a chronic inflammatory, recurrent, and debilitating dermatological condition of the hair follicle with an estimated worldwide prevalence between 0.05% and 4.1%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initial manifestations of HS typically occur in early adulthood, but delayed diagnosis is common. Patients characteristically present with painful nodules, purulent abscesses, and draining tunnels in intertriginous regions, such as axillary, groin, perineal, and inframammary areas. Together, the clinical manifestations of HS and its frequent concomitant comorbidi</w:t>
      </w:r>
      <w:r>
        <w:rPr>
          <w:rFonts w:ascii="Times New Roman" w:cs="Times New Roman" w:eastAsia="Times New Roman" w:hAnsi="Times New Roman"/>
          <w:sz w:val="18"/>
          <w:szCs w:val="18"/>
          <w:u w:val="single" w:color="auto"/>
          <w:color w:val="auto"/>
        </w:rPr>
        <w:t>ti</w:t>
      </w:r>
      <w:r>
        <w:rPr>
          <w:rFonts w:ascii="Times New Roman" w:cs="Times New Roman" w:eastAsia="Times New Roman" w:hAnsi="Times New Roman"/>
          <w:sz w:val="18"/>
          <w:szCs w:val="18"/>
          <w:color w:val="auto"/>
        </w:rPr>
        <w:t>es, including arthropathies, metabolic syndrome, increased cardiovascular disease risk, inflammatory disorders, lymphedema, squamous cell carcinoma, and depression, put the afflicted patients at risk of physical disability, suicidal ideations, stigmatization, unemployment, and profound impairment in quality of life. A multinational study reported that nearly half of patients expressed dissatisfaction with existing medical interventions, highlighting the unmet need for effective therapies that provide rapid and sustained responses.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Pathogenesis of HS and Therapeutic Targeting</w:t>
      </w:r>
    </w:p>
    <w:p>
      <w:pPr>
        <w:spacing w:after="0" w:line="241" w:lineRule="exact"/>
        <w:rPr>
          <w:sz w:val="20"/>
          <w:szCs w:val="20"/>
          <w:color w:val="auto"/>
        </w:rPr>
      </w:pPr>
    </w:p>
    <w:p>
      <w:pPr>
        <w:jc w:val="both"/>
        <w:ind w:right="560" w:firstLine="648"/>
        <w:spacing w:after="0" w:line="297" w:lineRule="auto"/>
        <w:rPr>
          <w:sz w:val="20"/>
          <w:szCs w:val="20"/>
          <w:color w:val="auto"/>
        </w:rPr>
      </w:pPr>
      <w:r>
        <w:rPr>
          <w:rFonts w:ascii="Times New Roman" w:cs="Times New Roman" w:eastAsia="Times New Roman" w:hAnsi="Times New Roman"/>
          <w:sz w:val="18"/>
          <w:szCs w:val="18"/>
          <w:color w:val="auto"/>
        </w:rPr>
        <w:t>Follicular occlusion is thought to be the primary event in HS, ultimately resulting in accumulation of cellular debris, cyst formation, and eventually rupture of the hair follicle. This is followed by a significant local immune response, resulting in painful inflammation, abscess formation, and in later stages, sinus tract formation and scarring.</w:t>
      </w:r>
    </w:p>
    <w:p>
      <w:pPr>
        <w:spacing w:after="0" w:line="109" w:lineRule="exact"/>
        <w:rPr>
          <w:sz w:val="20"/>
          <w:szCs w:val="20"/>
          <w:color w:val="auto"/>
        </w:rPr>
      </w:pPr>
    </w:p>
    <w:p>
      <w:pPr>
        <w:ind w:right="140" w:firstLine="648"/>
        <w:spacing w:after="0" w:line="293" w:lineRule="auto"/>
        <w:rPr>
          <w:sz w:val="20"/>
          <w:szCs w:val="20"/>
          <w:color w:val="auto"/>
        </w:rPr>
      </w:pPr>
      <w:r>
        <w:rPr>
          <w:rFonts w:ascii="Times New Roman" w:cs="Times New Roman" w:eastAsia="Times New Roman" w:hAnsi="Times New Roman"/>
          <w:sz w:val="18"/>
          <w:szCs w:val="18"/>
          <w:color w:val="auto"/>
        </w:rPr>
        <w:t>The exact pathophysiology of HS is yet to be fully understood and continues to be investigated; however, interleukin-17 signaling is a key component of the inflammatory response and IL-17A-secreting cells can be found in lesional HS tissues. Interleukin-17A is a proinflammatory cytokine that synergizes with other proinflammatory cytokines to drive neutrophil influx into the lesions caused by inflammation, a key hallmark of HS. Ultimately, the IL-17-mediated signaling present in HS leads to an aggressive pattern of immune cell infiltration into the skin and a disruption to wound healing patterns.</w:t>
      </w:r>
    </w:p>
    <w:p>
      <w:pPr>
        <w:spacing w:after="0" w:line="114" w:lineRule="exact"/>
        <w:rPr>
          <w:sz w:val="20"/>
          <w:szCs w:val="20"/>
          <w:color w:val="auto"/>
        </w:rPr>
      </w:pPr>
    </w:p>
    <w:p>
      <w:pPr>
        <w:ind w:right="200" w:firstLine="648"/>
        <w:spacing w:after="0" w:line="297" w:lineRule="auto"/>
        <w:rPr>
          <w:sz w:val="20"/>
          <w:szCs w:val="20"/>
          <w:color w:val="auto"/>
        </w:rPr>
      </w:pPr>
      <w:r>
        <w:rPr>
          <w:rFonts w:ascii="Times New Roman" w:cs="Times New Roman" w:eastAsia="Times New Roman" w:hAnsi="Times New Roman"/>
          <w:sz w:val="18"/>
          <w:szCs w:val="18"/>
          <w:color w:val="auto"/>
        </w:rPr>
        <w:t>Both CD20(+) B-cells and CD138(+) plasma cells are elevated within chronic HS lesions and sustain inflammation. B-cell activating factor has also been demonstrated to increase in HS lesions, with neutrophil-derived BAFF associated with increased B- and plasma cells, as well as inflammation. Reducing BAFF in HS lesions decreases B- and plasma cell gene expression, supporting the potential of this therapeutic approach.</w:t>
      </w:r>
    </w:p>
    <w:p>
      <w:pPr>
        <w:sectPr>
          <w:pgSz w:w="11900" w:h="16838" w:orient="portrait"/>
          <w:cols w:equalWidth="0" w:num="1">
            <w:col w:w="9920"/>
          </w:cols>
          <w:pgMar w:left="980" w:top="513" w:right="99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HS Unmet Medical Need</w:t>
      </w:r>
    </w:p>
    <w:p>
      <w:pPr>
        <w:spacing w:after="0" w:line="241"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8"/>
          <w:szCs w:val="18"/>
          <w:color w:val="auto"/>
        </w:rPr>
        <w:t>Despite the relatively high prevalence and severe impact of HS, few treatment options are available; moreover, nearly half of patients receiving treatment report frequent disease flares. There is currently no cure for HS. Disease management is aimed at treating existing lesions to minimize pain and drainage, decrease the frequency of recurrence, and prevent disease progression. Current HS treatments include topical and oral antibiotics, biologics, surgery, laser, and light therapies. The biological therapies approved for the treatment of moderate-to-severe HS in the US are the TNFα inhibitor adalimumab, the IL-17A inhibitor secukinumab, and the IL-17A/F inhibitor bimekizumab. No therapies targeting B-cells are available for HS, but several are in development. The BTK inhibitor remibrutinib, which acts downstream of B -cell activation, has demonstrated efficacy in treating HS.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 of Completed Studies for Tibulizumab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Tibulizumab has been studied in three clinical trials to date conducted by Lilly, the clinical study reports for which show:</w:t>
      </w:r>
    </w:p>
    <w:p>
      <w:pPr>
        <w:spacing w:after="0" w:line="223" w:lineRule="exact"/>
        <w:rPr>
          <w:sz w:val="20"/>
          <w:szCs w:val="20"/>
          <w:color w:val="auto"/>
        </w:rPr>
      </w:pPr>
    </w:p>
    <w:p>
      <w:pPr>
        <w:jc w:val="both"/>
        <w:ind w:left="680" w:right="20" w:hanging="321"/>
        <w:spacing w:after="0" w:line="267"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single ascending dose (SAD) trial. </w:t>
      </w:r>
      <w:r>
        <w:rPr>
          <w:rFonts w:ascii="Times New Roman" w:cs="Times New Roman" w:eastAsia="Times New Roman" w:hAnsi="Times New Roman"/>
          <w:sz w:val="18"/>
          <w:szCs w:val="18"/>
          <w:color w:val="auto"/>
        </w:rPr>
        <w:t>This was a first-in-human study in healthy subjects to evaluate the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tolerability, pharmacokinetics, immunogenicity, and target engagement of tibulizumab in healthy volunteers and participants with rheumatoid arthritis (RA).</w:t>
      </w:r>
    </w:p>
    <w:p>
      <w:pPr>
        <w:spacing w:after="0" w:line="173"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SAD trial in healthy Japanese and Caucasian participants. </w:t>
      </w:r>
      <w:r>
        <w:rPr>
          <w:rFonts w:ascii="Times New Roman" w:cs="Times New Roman" w:eastAsia="Times New Roman" w:hAnsi="Times New Roman"/>
          <w:sz w:val="18"/>
          <w:szCs w:val="18"/>
          <w:color w:val="auto"/>
        </w:rPr>
        <w:t>This was a single-site, randomized, Investigator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blinded, placebo-controlled, SC single-dose study.</w:t>
      </w:r>
    </w:p>
    <w:p>
      <w:pPr>
        <w:spacing w:after="0" w:line="158" w:lineRule="exact"/>
        <w:rPr>
          <w:rFonts w:ascii="Times New Roman" w:cs="Times New Roman" w:eastAsia="Times New Roman" w:hAnsi="Times New Roman"/>
          <w:sz w:val="18"/>
          <w:szCs w:val="18"/>
          <w:color w:val="auto"/>
        </w:rPr>
      </w:pPr>
    </w:p>
    <w:p>
      <w:pPr>
        <w:jc w:val="both"/>
        <w:ind w:left="680" w:right="20" w:hanging="321"/>
        <w:spacing w:after="0" w:line="267"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1b multiple ascending dose (MAD) trial in participants with Sjögren’s syndrome (SS)</w:t>
      </w:r>
      <w:r>
        <w:rPr>
          <w:rFonts w:ascii="Times New Roman" w:cs="Times New Roman" w:eastAsia="Times New Roman" w:hAnsi="Times New Roman"/>
          <w:sz w:val="18"/>
          <w:szCs w:val="18"/>
          <w:color w:val="auto"/>
        </w:rPr>
        <w:t>. This was a multicenter, parallel-group, randomized, Investigator and participant blinded, placebo-controlled, MAD study to evaluate the safety, tolerability, PK, and PD of tibulizumab administered Q4W or Q2W for 16 weeks in participants with 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phase 1 clinical trials, the pharmacokinetic profile supported subcutaneous phase 2 dosing at an interval of Q4W. The pharmacodynamic profiles confirmed impact on human biology consistent with the drug’s mechanism of action, showing impact on key parameters such as CD20+ B-cells and high sensitivity-CRP in the RA patient population. The safety profiles from these studies support further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 Clinical Trials, Ongoing Clinical Development for Tibulizumab</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December 2024, we initiated TibuSURE, a global Phase 2 study to evaluate tibulizumab in adults with SSc and are currently recruiting patients.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CREBANKITUG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for Crebankitug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IL-7 was initially discovered by its growth and survival effects on B cells, but it has now been established that it regulates the development and homeostasis of immune cells, including B and T lymphocytes, innate lymphoid cell (“ILC”) and natural killer (“NK”) cells, monocytes/macrophages, dendritic cells, neutrophils and eosinophils. IL-7 is produced by stromal cells in the bone marrow, thymus and other epithelial cells in the skin, lung and intestine. IL-7-mediated signaling is important for the expression of many genes controlling apoptosis, survival, development and differentiation of immune cells. An abnormally high or upregulated IL-7/IL-7R axis can lead to high disease activity and immunopathology. Several studies have shown that IL-7R gene polymorphisms or chromosomes regions have been associated with many autoimmune diseases, including MS, pSS, RA and T1D. Crebankitug is a fully human-IgG1 monoclonal antibody targeted against the IL-7 receptor alpha (IL-7Rα), which plays a key role in the development, function and homeostasis of T cells. We believe crebankitug may be a therapeutic option for autoimmune diseases where IL-7 or TSLP signaling has been implicated.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of Crebankitug</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believe crebankitug possesses several important characteristics applicable to the treatment of autoimmune diseases:</w:t>
      </w:r>
    </w:p>
    <w:p>
      <w:pPr>
        <w:spacing w:after="0" w:line="223" w:lineRule="exact"/>
        <w:rPr>
          <w:sz w:val="20"/>
          <w:szCs w:val="20"/>
          <w:color w:val="auto"/>
        </w:rPr>
      </w:pPr>
    </w:p>
    <w:p>
      <w:pPr>
        <w:jc w:val="both"/>
        <w:ind w:left="680" w:hanging="321"/>
        <w:spacing w:after="0" w:line="261"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Crebankitug is a high affinity antibody. </w:t>
      </w:r>
      <w:r>
        <w:rPr>
          <w:rFonts w:ascii="Times New Roman" w:cs="Times New Roman" w:eastAsia="Times New Roman" w:hAnsi="Times New Roman"/>
          <w:sz w:val="18"/>
          <w:szCs w:val="18"/>
          <w:color w:val="auto"/>
        </w:rPr>
        <w:t>Crebankitug binds with high affinity to both purified recombinant human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cynomolgus monkey IL-7Rα proteins, with apparent Kd values of approximately 20 pM and 9 pM, respectively. Crebankitug also binds to unpurified native soluble IL-7Rα, in human serum from healthy donors, with an apparent Kd value of 21 pM, thereby confirming that crebankitug binds to a native epitope.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127000</wp:posOffset>
            </wp:positionV>
            <wp:extent cx="5349240" cy="2417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680" w:right="20" w:hanging="321"/>
        <w:spacing w:after="0" w:line="290"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Crebankitug has already demonstrated significant clinically relevant biologic effects that may lead to a therapeutic benefit.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1b clinical testing, administration of escalating doses of crebankitug resulted in significant reductions in effector and</w:t>
      </w:r>
    </w:p>
    <w:p>
      <w:pPr>
        <w:spacing w:after="0" w:line="1" w:lineRule="exact"/>
        <w:rPr>
          <w:rFonts w:ascii="Times New Roman" w:cs="Times New Roman" w:eastAsia="Times New Roman" w:hAnsi="Times New Roman"/>
          <w:sz w:val="18"/>
          <w:szCs w:val="18"/>
          <w:color w:val="auto"/>
        </w:rPr>
      </w:pPr>
    </w:p>
    <w:p>
      <w:pPr>
        <w:jc w:val="both"/>
        <w:ind w:left="680" w:right="20"/>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memory T cell populations (up to 70%), while sparing regulatory T-cell populations. In addition, blocking IL-7Rα with crebankitug significantly changed the gene expression in CD4+ and CD8+ T cells with gene switches associated to T cell activation, T cell trafficking and T cell differentiation being the most relevant.</w:t>
      </w:r>
    </w:p>
    <w:p>
      <w:pPr>
        <w:spacing w:after="0" w:line="174" w:lineRule="exact"/>
        <w:rPr>
          <w:rFonts w:ascii="Times New Roman" w:cs="Times New Roman" w:eastAsia="Times New Roman" w:hAnsi="Times New Roman"/>
          <w:sz w:val="18"/>
          <w:szCs w:val="18"/>
          <w:color w:val="auto"/>
        </w:rPr>
      </w:pPr>
    </w:p>
    <w:p>
      <w:pPr>
        <w:ind w:left="680" w:right="20" w:hanging="321"/>
        <w:spacing w:after="0" w:line="315"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Crebankitug has been well tolerated to date</w:t>
      </w:r>
      <w:r>
        <w:rPr>
          <w:rFonts w:ascii="Times New Roman" w:cs="Times New Roman" w:eastAsia="Times New Roman" w:hAnsi="Times New Roman"/>
          <w:sz w:val="18"/>
          <w:szCs w:val="18"/>
          <w:color w:val="auto"/>
        </w:rPr>
        <w:t>. In 93 subjects dosed with crebankitug to date, the majority of adverse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(“AEs”) were categorized as grade 1 or grade 2. There were no deaths or permanent discontinuations due to AEs.</w:t>
      </w:r>
    </w:p>
    <w:p>
      <w:pPr>
        <w:spacing w:after="0" w:line="158"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Crebankitug can be given by intravenous (“IV”) infusion or subcutaneous (“SC”) injection. </w:t>
      </w:r>
      <w:r>
        <w:rPr>
          <w:rFonts w:ascii="Times New Roman" w:cs="Times New Roman" w:eastAsia="Times New Roman" w:hAnsi="Times New Roman"/>
          <w:sz w:val="18"/>
          <w:szCs w:val="18"/>
          <w:color w:val="auto"/>
        </w:rPr>
        <w:t>In clinical studies crebankitug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dosed in healthy volunteers using an IV and SC formulation and in patients using a SC formulation. In many autoimmune diseases, patients tend to prefer treatments that they can deliver at home by a simple SC injection, however the IV route can be developed to provide a flexible alternative for physicians and patients.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 of Completed Studies for Crebankitug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Crebankitug has been studied in three clinical trials to date conducted by Pfizer:</w:t>
      </w:r>
    </w:p>
    <w:p>
      <w:pPr>
        <w:spacing w:after="0" w:line="237" w:lineRule="exact"/>
        <w:rPr>
          <w:sz w:val="20"/>
          <w:szCs w:val="20"/>
          <w:color w:val="auto"/>
        </w:rPr>
      </w:pPr>
    </w:p>
    <w:p>
      <w:pPr>
        <w:ind w:left="680" w:hanging="321"/>
        <w:spacing w:after="0" w:line="315"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1a single ascending dose (“SAD”) trial. </w:t>
      </w:r>
      <w:r>
        <w:rPr>
          <w:rFonts w:ascii="Times New Roman" w:cs="Times New Roman" w:eastAsia="Times New Roman" w:hAnsi="Times New Roman"/>
          <w:sz w:val="18"/>
          <w:szCs w:val="18"/>
          <w:color w:val="auto"/>
        </w:rPr>
        <w:t>This was a first-in-human study to evaluate ascending doses of crebankitug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adult healthy volunteers.</w:t>
      </w:r>
    </w:p>
    <w:p>
      <w:pPr>
        <w:spacing w:after="0" w:line="172" w:lineRule="exact"/>
        <w:rPr>
          <w:rFonts w:ascii="Times New Roman" w:cs="Times New Roman" w:eastAsia="Times New Roman" w:hAnsi="Times New Roman"/>
          <w:sz w:val="18"/>
          <w:szCs w:val="18"/>
          <w:color w:val="auto"/>
        </w:rPr>
      </w:pPr>
    </w:p>
    <w:p>
      <w:pPr>
        <w:jc w:val="both"/>
        <w:ind w:left="680" w:hanging="321"/>
        <w:spacing w:after="0" w:line="306"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1b trial in patients with established T1D</w:t>
      </w:r>
      <w:r>
        <w:rPr>
          <w:rFonts w:ascii="Times New Roman" w:cs="Times New Roman" w:eastAsia="Times New Roman" w:hAnsi="Times New Roman"/>
          <w:sz w:val="18"/>
          <w:szCs w:val="18"/>
          <w:color w:val="auto"/>
        </w:rPr>
        <w:t>. This was a multi-center, randomized, double-blind, sponsor-open, and placebo-controlled study to evaluate multiple ascending doses of crebankitug in adult subjects with T1D diagnosed within the preceding 2 years.</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80" w:hanging="321"/>
        <w:spacing w:after="0" w:line="267"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1b trial in patients with MS. </w:t>
      </w:r>
      <w:r>
        <w:rPr>
          <w:rFonts w:ascii="Times New Roman" w:cs="Times New Roman" w:eastAsia="Times New Roman" w:hAnsi="Times New Roman"/>
          <w:sz w:val="18"/>
          <w:szCs w:val="18"/>
          <w:color w:val="auto"/>
        </w:rPr>
        <w:t>This was a randomized, multi-centre, double- blind, sponsor-open, placebo-controlled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evaluate multiple ascending doses of crebankitug in adult subjects with MS. The study was terminated in April 2015 by the sponsor for reasons other than subject safety and had only 4 subjects enrolled.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Completed Clinical Trials for Crebankitug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Phase 1/1b clinical studies of crebankitug, safety and pharmacokinetics were evaluated. In a Phase 1b clinical study in type 1 diabetes, crebankitug demonstrated clinically relevant biologic effects resulting in significant reductions in effector and memory T cell populations, while sparing regulatory T-cell populations (Herold KC 2019 JCI Insights). The safety profiles from these studies support further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 Clinical Trials, Ongoing Clinical Development for Crebankitug</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conducting necessary Chemistry, Manufacturing and Controls (“CMC”) and regulatory activities to prepare crebankitug for Phase 2 readiness.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Torudokimab (ZB-880)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Torudokimab</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Torudokimab is a human immunoglobulin (Ig) G4-variant monoclonal antibody that binds and neutralizes soluble human IL-33. IL-33 is a member of the IL-1 cytokine superfamily, and it activates several types of innate and acquired immune cells causing the production of other pro-inflammatory mediators and it is most frequently characterized as an epithelial cytokine that promotes type 2 or T-helper 2 (Th2) immune responses. We believe torudokimab may be a therapeutic option for autoimmune diseases where IL-33 signaling has been implicated.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Benefits of Torudokimab</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torudokimab possesses several important characteristics that may enable it to be a successful treatment for multiple autoimmune diseases:</w:t>
      </w:r>
    </w:p>
    <w:p>
      <w:pPr>
        <w:spacing w:after="0" w:line="160" w:lineRule="exact"/>
        <w:rPr>
          <w:sz w:val="20"/>
          <w:szCs w:val="20"/>
          <w:color w:val="auto"/>
        </w:rPr>
      </w:pPr>
    </w:p>
    <w:p>
      <w:pPr>
        <w:jc w:val="both"/>
        <w:ind w:left="680" w:hanging="321"/>
        <w:spacing w:after="0" w:line="267"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Torudokimab has been well tolerated to date</w:t>
      </w:r>
      <w:r>
        <w:rPr>
          <w:rFonts w:ascii="Times New Roman" w:cs="Times New Roman" w:eastAsia="Times New Roman" w:hAnsi="Times New Roman"/>
          <w:sz w:val="18"/>
          <w:szCs w:val="18"/>
          <w:color w:val="auto"/>
        </w:rPr>
        <w:t>. In 244 subjects dosed with torudokimab to date, the majority of adverse events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(“AEs”) were categorized as grade 1 or grade 2. There were no deaths to date, or any serious AEs causally related to torudokimab.</w:t>
      </w:r>
    </w:p>
    <w:p>
      <w:pPr>
        <w:spacing w:after="0" w:line="173"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Torudokimab can be administered by subcutaneous (“SC”) injection or intravenous (“IV”) infusion. </w:t>
      </w:r>
      <w:r>
        <w:rPr>
          <w:rFonts w:ascii="Times New Roman" w:cs="Times New Roman" w:eastAsia="Times New Roman" w:hAnsi="Times New Roman"/>
          <w:sz w:val="18"/>
          <w:szCs w:val="18"/>
          <w:color w:val="auto"/>
        </w:rPr>
        <w:t>In clinical studies,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torudokimab has been dosed in healthy volunteers using an SC and IV formulation and in patients using a SC formulation.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 of Completed Studies for Torudokimab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Torudokimab has been studied in three clinical trials to date conducted by Lilly:</w:t>
      </w:r>
    </w:p>
    <w:p>
      <w:pPr>
        <w:spacing w:after="0" w:line="223" w:lineRule="exact"/>
        <w:rPr>
          <w:sz w:val="20"/>
          <w:szCs w:val="20"/>
          <w:color w:val="auto"/>
        </w:rPr>
      </w:pPr>
    </w:p>
    <w:p>
      <w:pPr>
        <w:jc w:val="both"/>
        <w:ind w:left="680" w:hanging="321"/>
        <w:spacing w:after="0" w:line="267"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single ascending dose (SAD) and multiple ascending dose (MAD) trial. </w:t>
      </w:r>
      <w:r>
        <w:rPr>
          <w:rFonts w:ascii="Times New Roman" w:cs="Times New Roman" w:eastAsia="Times New Roman" w:hAnsi="Times New Roman"/>
          <w:sz w:val="18"/>
          <w:szCs w:val="18"/>
          <w:color w:val="auto"/>
        </w:rPr>
        <w:t>This was a first-in-human study in healthy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subjects to evaluate the safety, tolerability, pharmacokinetics, immunogenicity, and target engagement of torudokimab administered as single and multiple doses.</w:t>
      </w:r>
    </w:p>
    <w:p>
      <w:pPr>
        <w:spacing w:after="0" w:line="173"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trial. </w:t>
      </w:r>
      <w:r>
        <w:rPr>
          <w:rFonts w:ascii="Times New Roman" w:cs="Times New Roman" w:eastAsia="Times New Roman" w:hAnsi="Times New Roman"/>
          <w:sz w:val="18"/>
          <w:szCs w:val="18"/>
          <w:color w:val="auto"/>
        </w:rPr>
        <w:t>This was a safety, tolerability, and pharmacokinetic trial of different solution formulations and injection number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torudokimab using investigational injection devices in healthy subjects.</w:t>
      </w:r>
    </w:p>
    <w:p>
      <w:pPr>
        <w:spacing w:after="0" w:line="158"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 trial in patients with atopic dermatitis (AD)</w:t>
      </w:r>
      <w:r>
        <w:rPr>
          <w:rFonts w:ascii="Times New Roman" w:cs="Times New Roman" w:eastAsia="Times New Roman" w:hAnsi="Times New Roman"/>
          <w:sz w:val="18"/>
          <w:szCs w:val="18"/>
          <w:color w:val="auto"/>
        </w:rPr>
        <w:t>. This was a multicenter, randomized, double-blind, placebo-controlled,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parallel group clinical trial evaluating the efficacy and safety of torudokimab in adult subjects with moderate-to-severe AD.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and Phase 2 Completed Clinical Trials for Torudokimab</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Phase 1 clinical studies of torudokimab, safety and pharmacokinetics were evaluated.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Phase 2 clinical study in adult subjects with moderate to severe atopic dermatitis was terminated early due to a lack of efficacy following the planned interim analysis. Safety findings did not contribute to the study termination, and torudokimab was well-tolerated overall with a safety profile supporting further development. The pharmacokinetics were similar to other monoclonal antibodies, with an average half-life of 20 days. There was no apparent clinical impact of anti-drug antibodies. (Laquer V 2022 Br J Dermatol)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 Clinical Trials, Ongoing Clinical Development for Torudokimab</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plan to conduct necessary CMC and regulatory activities to prepare torudokimab for Phase 2 readiness in allergy or respiratory-related indications. Additionally, we are monitoring Phase 2 and Phase 3 external catalysts, particularly in asthma and chronic obstructive pulmonary disease.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Our current and future requirements for producing bulk drug substance and finished drug product are met through third-party manufacturers.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manufactured two batches of tibulizumab finished drug product through our third-party contract manufacturer in accordance with good manufacturing practice (“GMP”), which were manufactured in Italy. Manufacturing of a second batch of tibulizumab drug substance is currently underway in The Netherlands and further batches of tibulizumab are anticipated to be manufactured in Italy in the second quarter of 2025. Prior to our in-licensing of tibulizumab, it was manufactured by Lilly. Pursuant to the Lilly license, we have a license to the drug substance manufacturing process and the associated analytical testing.</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Torudokimab drug substance and drug product, available for use in the next clinical studies, was moved from WuXi, People’s Republic of China (“PRC”) to the United Kingdom (“U.K.”) during 2024. We have an ongoing stability study in WuXi. The PRC and WuXi specifically, have faced increased scrutiny by the U.S. government, which could necessitate the selection of a new manufacturer and impact our ability to supply torudokimab to meet future demand. See our risk factors under Part I, Item 1A Risk Factors in this Annual Report.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crebankitug, we transferred the GMP drug substance manufacturing process and associated analytical testing to The Netherlands. The facility manufactured a batch of drug substance to GMP and this material is available for release for the next clinical studies of crebankitug. Similarly, the GMP drug product manufacturing process was transferred to Italy and a batch of GMP drug product has been manufactured and is available for release for the next clinical studies of crebankitug.</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our outsourced manufacturing facilities are equipped to produce tibulizumab and crebankitug for both clinical development and commercial use. Before requiring torudokimab for use in clinical trials, we plan to assess the appropriate manufacturing location. We currently have no plans to establish in-house manufacturing capabilities.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patent protection for the ZB Assets (including but not limited to their components, formulations, methods of manufacturing, and methods of treatment in the United States and other countries); to operate without infringing valid and enforceable patents and proprietary rights of others; and to prevent others from infringing on our proprietary or intellectual property rights.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take advantage of regulatory protection afforded through data exclusivity, market exclusivity and patent term extensions, where available. We may also seek to rely on regulatory protection afforded through Orphan Drug Designation, if appropriate. We may also rely on trade secrets and know-how to protect aspects of our business that are not amenable to, or that we do not consider appropriate or timely for, patent protection.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Tibulizumab Intellectual Property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hold a license to issued patents that cover the composition of matter for tibulizumab in several major pharmaceutical markets, including the United States, China, Japan, Germany, France, Italy, the United Kingdom, and Spain. The earliest priority date for these patents is 2012. The terms of these patents are capable of continuing into 2033 in most jurisdictions without taking into account any patent term adjustment or extension regime of any country.</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Crebankitug Intellectual Property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hold a license to issued patents that cover the composition of matter for crebankitug in several major pharmaceutical markets, including the United States, Japan, Germany, France, Italy, the United Kingdom, and Spain. The earliest priority date for these patents is 2010. The terms of these patents are capable of continuing into 2031 in most jurisdictions without taking into account any patent term adjustment or extension regime of any country.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Torudokimab Intellectual Property</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hold a license to issued patents that cover the composition of matter for torudokimab in several major pharmaceutical markets, including the United States, China, Japan, Germany, France, Italy, the United Kingdom, and Spain. The earliest priority date for these patents is 2016. The terms of these patents are capable of continuing into 2037 in most jurisdictions without taking into account any patent term adjustment or extension regime of any country.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 party to certain licenses that provide rights that are necessary or useful for developing and commercializing our assets.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Lilly License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26, 2023, our consolidated subsidiary ZB17 LLC (“ZB17”) entered into a license agreement (the “2023 Lilly License” and, together with the 2022 Lilly License, defined below, the “Lilly Licenses”) with Lilly, for an exclusive license to develop, manufacture and commercialize a certain bispecific antibody relating to IL-17 and BAFF (“tibulizumab”) in exchange for an upfront payment consisting of $5.8 million as well as 1,000,000 Class A Ordinary Shares issued at a fair value of $7.84 per Class A Ordinary Share. During 2024, ZB17 made an additional payment of $5.0 million to Lilly in connection with the receipt of certain know-how, data, information and materials that Lilly is required to provide under the license agreement.</w:t>
      </w:r>
    </w:p>
    <w:p>
      <w:pPr>
        <w:spacing w:after="0" w:line="1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an asset acquisition, as substantially all of the fair value of the assets acquired is concentrated in a group of similar identifiable IPR&amp;D assets. On the acquisition date, the compound licensed had not yet received regulatory approval and the in-process research and development did not have an alternative use. Accordingly, we recorded the entire cost of the 2023 Lilly License as a component of research and development in the consolidated statement of operations during the year ended December 31, 2023.</w:t>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ZB17 granted Stone Peach the right, but not the obligation, to purchase 4.99% of the fully diluted equity of ZB17 for $1.0 million (the “Stone Peach Call Right”). The Stone Peach Call Right is not exercisable until after the last patient is dosed in any single next clinical trial with tibulizumab and expires one year from the date of first indication approval for tibulizumab by the FDA or the EMA. The Company recognized the Stone Peach Call Right at a grant-date fair value of $1.5 million as a component of research and development in the consolidated statement of operations during the year ended December 31, 2023. The Stone Peach Call Right represents noncontrolling interest in our consolidated subsidiary, ZB17. As of each of December 31, 2024 and 2023, the noncontrolling interest balance was $1.5 million in the consolidated balance sheets.</w:t>
      </w:r>
    </w:p>
    <w:p>
      <w:pPr>
        <w:spacing w:after="0" w:line="14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As additional consideration, beginning on May 1, 2023, Stone Peach receives an annual payment of $0.6 million initially, and increasing by 10% annually, so long as we maintain our license for tibulizumab, to be paid on May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For the years ended December 31, 2024 and 2023, we recorded $0.7 million and $0.6 million, respectively, in research and development in the consolidated statement of operations for the annual payments.</w:t>
      </w:r>
    </w:p>
    <w:p>
      <w:pPr>
        <w:spacing w:after="0" w:line="15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a one-time payment of $4.5 million for additional consideration due to Stone Peach upon approval from the FDA for our IND and commencement of our clinical trial for tibulizumab in research and development in the consolidated statement of operations for the years ended December 31, 2024 and in accounts payable and accrued expenses as of December 31, 2024.</w:t>
      </w:r>
    </w:p>
    <w:p>
      <w:pPr>
        <w:spacing w:after="0" w:line="1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we agreed to make a one-time milestone payment of $5.0 million to BAFFX17, Ltd (“BAFFX17”) upon the occurrence of either: (i) a change of control transaction, (ii) the closing of an issuance of equity or equity-linked securities by us of at least $100.0 million (iii) the consummation of a sale of assets resulting in net proceeds in excess of $100.0 million, or (iv) our fully diluted shares outstanding exceed 52,500,000 shares (on a split adjusted basis), as measured on April 24th of each year. As our fully diluted shares outstanding exceeded 52,500,000 shares prior to December 31, 2023, the $5.0 million fee was recorded in research and development in the consolidated statement of operations for the year ended December 31, 2023, and is included in accounts payable and accrued expenses in the consolidated balance sheets as of December 31, 2024 and 2023.</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consideration paid and/or earned in 2024 and 2023, we are also obligated to make payments (a) to Lilly for four (4) development milestone payments up to an aggregate of $155.0 million, and sales milestone payments up to an aggregate of $440.0 million based on respective thresholds of net sales of products developed from tibulizumab; (b) to Lilly over a multi-year period (twelve years, or upon the later expiration of regulatory exclusivity of tibulizumab in a country) for an annual earned royalty at a marginal royalty rate in the mid-single digits to low-double digits, with increasing rates depending on net sales in the respective calendar year, based on a percentage of sales within varying thresholds for a certain period of years; (c) to BAFFX17 for a fee equal to 3% of any milestone or royalty payments due to Lilly pursuant to the terms of either the 2022 Lilly License or the 2023 Lilly License; (d) to Stone Peach for a one-time milestone payment of $25 million upon either (i) certain equity-related transactions, or (ii) the receipt of regulatory approval from the applicable regulatory authority for any new indication in the applicable jurisdiction; and (e) to Stone Peach for a royalty of 2% of the aggregate net sales of any products developed from the Compound (collectively, the “2023 Lilly Contingent Payments”). As of December 31, 2024, none of the 2023 Lilly Contingent Payments are due and accordingly will not be recorded in our financial statements until they are due.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Lilly License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8, 2022, our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spacing w:after="0" w:line="1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consideration, we paid Lilly an upfront fee of $7.0 million during 2022 and issued Lilly 550,000 Class A Ordinary Shares at an aggregate fair value of $4.5 million upon the Closing Date of the Business Combination during the year ended December 31, 2023.</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finder’s fee in connection with arranging the acquisition, Z33 issued to Stone Peach Properties, LLC (“Stone Peach”) 4,900,222 shares of Z33 Series Seed Preferred Shares, which was included in the measurement of the cost of the acquired asset. We have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us for a price per share of $2.040724 (the “Put Option”). In April 2023, we agreed to exercise our Call Option and we amended the settlement terms to settle the Call Option by issuing 2,000,000 Class A Ordinary Shares (the “Amended Terms”). In November 2023, the Amended Terms were voided and our rights and obligations under the Call Option reverted to those in the original agreement (the “Second Amended Terms”). In connection with the Second Amended Terms, we also provided Stone Peach with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 Each of the Amended Terms and the Second Amended Terms were considered an extinguishment and reissuance of the Z33 Series Seed Preferred Shares, and the Z33 Series Seed Preferred Shares are remeasured to the greater of the redemption value or the initial fair value, less noncontrolling shareholder’s interest in net loss of Z33, at each subsequent reporting period. The Z33 Series Seed Preferred Shares represent redeemable noncontrolling interest in our consolidated subsidiary, Z33.</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consideration paid in 2022 and shares issued in 2023, we are also obligated to make payments to Lilly for (a) $3.0 million upon the completion of a financing by Z33 with gross proceeds exceeding $100.0 million; (b) 10 commercial, development and regulatory milestone payments up to an aggregate of $155.0 million and sales milestone payments up to an aggregate of $440.0 million based on respective thresholds of net sales of products developed from the licensed compound; and (c) an annual earned royalty at a marginal royalty rate between in the mid-single to low-double digits (less than 20%), with increasing rates based on Net Sales in the respective calendar year, based on a percentage of sales within varying thresholds for a certain period of the year (collectively, the “2022 Lilly Contingent Payments”). As of December 31, 2024, none of the 2022 Lilly Contingent Payments are due and accordingly will not be recorded in our financial statements until they are due.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March 22, 2022, we entered into a license agreement and a Series A-1 Subscription and Shareholder’s Agreement (collectively, the “Pfizer Agreement”) with Pfizer. Under the Pfizer Agreement, we acquired a license for a compound initially developed by Pfizer, in exchange for $5.0 million in cash and 2,702,083 shares (as adjusted by the exchange ratio established in the Business Combination Agreement) of our Series A-1 convertible preferred shares, representing a 20% interest in us.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Pfizer Agreement is accounted for as an asset acquisition, as substantially all of the $7.5 million value transferred to us was allocated to in-process research and development. On the acquisition date, the compound licensed had not yet received regulatory approval and the in-process research and development did not have an alternative use.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consideration transferred during 2022, we are obligated to make payments to Pfizer for (a) twelve (12) development and regulatory milestone payments aggregating up to $70.0 million and sales milestone payments up to an aggregate of $525.0 million based on respective thresholds of net sales of products (developed from the licensed compound) (the “Products”); and (b) an annual earned royalty at a marginal royalty rate in the mid-single digits to low double digits (less than 20%), based on thresholds of nets sales of Products (collectively, the “Pfizer Contingent Payments”). Royalties are payable on a country-by-country basis for a certain period of years or upon the later expiration of regulatory exclusivity of our Products in a country.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the first $1.0 million development milestone, included in the Pfizer Contingent Payments, as a component of research and development in the consolidated statement of operations during the year ended December 31, 2023. This amount was fully paid to Pfizer during the year ended December 31, 2024. As of December 31, 2024, no additional Pfizer Contingent Payments are due and accordingly no additional Pfizer Contingent Payments will be recorded in our financial statements until they are due.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Pfizer Agreement also had an anti-dilution provision to allow Pfizer to maintain an 18% interest in us. Immediately prior to the Closing Date of the Business Combination, additional share options and restricted share units were issued to certain employees, executives, and directors that would result in the dilution of Pfizer’s ownership in us. In accordance with the anti-dilution provision of the Pfizer Agreement, Pfizer was issued additional Series A-1 convertible preferred shares upon the closing of the Business Combination that were immediately converted to 267,939 Class A Ordinary Shares. Following the Business Combination, the anti-dilution provision is no longer in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Lonza License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July 2022, we entered into a license agreement (the “Lonza License”) with Lonza Sales AG (“Lonza”) for a worldwide nonexclusive license for Lonza’s gene expression system in exchange for varying considerations depending on a number of factors such as whether we enter further into manufacturing agreements with Lonza or with a third party, and whether we enter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We are free to terminate the Lonza License at any time upon 60 days’ notice, with or without cause. Lonza may terminate the Lonza License for cause upon a breach by us or for other commercially standard reasons.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October 2023, we began manufacturing drug substance with another third party. As a result of manufacturing with a third party other than Lonza, under the terms of the Lonza License, we had a license fee of $0.4 million due to Lonza in the fourth quarter of 2023 and annually thereafter. We recorded $0.4 million for the Lonza License in research and development in the consolidated statements of operations for the years ended December 31, 2024 and 2023. During the year ended December 31, 2024, $0.4 million was paid for the Lonza License and the remaining $0.4 million is included in accounts payable and accrued expenses in the consolidated balance sheet as of December 31,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see the factors regarding third parties and manufacturing described under the heading “Risk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WuXi Biologics License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July 2023, we entered into a cell line license agreement (the "Cell Line License Agreement") with WuXi Biologics and its Affiliates ("WuXi Biologics"). The Cell Line License Agreement provides us with a non-exclusive, worldwide, sublicensable license to certain of WuXi Biologics’s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In consideration for the license, we agreed to pay WuXi Biologics a non-refundable license fee of $150,000. Additionally, if we manufacture all of our commercial supplies of bulk drug product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 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 As of December 31, 2024, there are no payments currently due under the Cell Line License Agreement.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and Regulation of Drugs and Biologics in the United States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United States, drug products are regulated by the FDA under the Federal Food, Drug, and Cosmetic Act (“FDCA”) and other laws, including, in the case of biologics, the Public Health Service Act (“PHSA”). Drug products are also subject to other federal, state and local statutes and regulations. A failure to comply with any applicable requirements during the product development, approval, or post-approval periods may lead to administrative or judicial sanctions, including, among other things, the imposition by the FDA or an institutional review board (“IRB”) of a hold on clinical trials, refusal to approve pending marketing applications or supplements, withdrawal of approval, warning letters, product recalls, product seizures, total or partial suspension of production or distribution, injunctions, fines, or administrative, civil and/or criminal investigation, penalties or prosecution.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our product candidates are all regulated by the FDA as biologics. Biologics require the submission of a biologics license application (“BLA”) and approval by the FDA prior to being marketed in the United States. Manufacturers of biologics may also be subject to state and local regulation. The steps required before a biologic may be marketed in the United States generally include:</w:t>
      </w:r>
    </w:p>
    <w:p>
      <w:pPr>
        <w:spacing w:after="0" w:line="180" w:lineRule="exact"/>
        <w:rPr>
          <w:sz w:val="20"/>
          <w:szCs w:val="20"/>
          <w:color w:val="auto"/>
        </w:rPr>
      </w:pP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animal studies and formulation studies, performed in accordance with the FDA’s good laboratory practices (“GLP”) requirements, and applicable requirements for the humane use of laboratory animals or other applicable regulations;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IND, which must become effective before human clinical trials may commence;</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protocol and related documentation by an independent IRB or ethics committee at each clinical trial site before each trial may be initiated;</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under protocols submitted to the FDA and reviewed and approved by each IRB, conducted in accordance with the FDA’s good clinical practices (“GCPs”) requirements and any additional requirements for the protection of human research subjects and their health information to establish the safety, purity and potency of the biologic for each targeted indication;</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FDA of a BLA for marketing approval that includes sufficient evidence of establishing the safety, purity, and potency of the proposed biological product for its intended indication, including from results of nonclinical testing and clinical trials;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accept and file the application;</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pre-license inspection of the manufacturing facility or facilities where the biological product is produced to assess compliance with current good manufacturing practices (“cGMPs”) to assure that the facilities, methods and controls are adequate to preserve the biological product’s identity, strength, quality and purity;</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meeting, if applicable;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and clinical trial sites that generated the data in support of the BLA;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fee waiver applies);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to permit commercial marketing of the product for particular indications for use in the United States.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the IND Process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Before testing any biological product candidate in humans, the product candidate enters the preclinical testing stage. Preclinical studies include laboratory evaluation of a product’s biological characteristics, chemistry, formulation and toxicity, as well as animal studies to assess the characteristics and potential safety and efficacy of the product candidate. The conduct of preclinical studies must comply with federal regulations and requirements, including, as applicable, GLP and the Animal Welfare Act. Prior to commencing an initial clinical trial in humans with a product candidate in the United States, an IND must be submitted to the FDA and the FDA must allow the IND to proceed. An IND is an exemption from the FDCA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the clinical trial sponsor must submit the results of the preclinical tests, together with manufacturing information, analytical data, any available clinical data or literature and a proposed clinical protocol, to the FDA as part of the IND. An IND must become effective before human clinical trials commence. Once submitted, the IND automatically becomes effective 30 days after receipt by the FDA, unless the FDA places the IND on a full or partial clinical hold within that 30-day period. In such a case, the IND sponsor and the FDA must resolve any outstanding concerns before the clinical trial or part of the study can begin. Submission of an IND therefore may or may not result in FDA authorization to begin a clinical trial. The FDA also may impose clinical holds on a sponsor’s IND at any time before or during clinical trials due to, among other considerations, unreasonable or significant safety concerns, inability to assess safety concerns, lack of qualified investigators, a misleading or materially incomplete investigator brochure, study design deficiencies, interference with the conduct or completion of a study designed to be adequate and well-controlled for the same or another investigational product, insufficient quantities of investigational product, lack of effectiveness, or non-compliance. If the FDA imposes a clinical hold, studies may not recommence without FDA authorization and then only under terms authorized by the FDA.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healthy volunteers or participants under the supervision of qualified investigators. Clinical trials are subject to extensive regulation and must be conducted in compliance with (i) federal regulations, (ii) GCP standards, which set safeguards to protect the rights and health of participants and establish standards for conducting, recording data from, and reporting results of clinical trials, and (iii) protocols detailing, among other things, the objectives of the trial, subject selection and exclusion criteria, the parameters and criteria to be used in monitoring safety, and the effectiveness criteria to be evaluated, if any. Foreign studies conducted under an IND generally must meet the same requirements that apply to studies being conducted in the United States. The informed written consent of each study participant must be obtained before participation in the clinical trial may begin. The study protocol, study plan, and informed consent forms for each clinical trial must be reviewed and approved by an IRB for each clinical site, and the study must be conducted under the auspices of an IRB for each trial site. Investigators and IRBs must also comply with FDA regulations and guidelines, including those regarding oversight of study participant informed consent, complying with the study protocol and investigational plan, adequately monitoring the clinical trial, and timely reporting of adverse events.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participants.</w:t>
      </w:r>
    </w:p>
    <w:p>
      <w:pPr>
        <w:spacing w:after="0" w:line="19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Clinical development for a product candidate is generally divided into three phases. Although the phases are usually conducted sequentially, they may overlap or be combined. The three phases are as follows:</w:t>
      </w:r>
    </w:p>
    <w:p>
      <w:pPr>
        <w:spacing w:after="0" w:line="158" w:lineRule="exact"/>
        <w:rPr>
          <w:sz w:val="20"/>
          <w:szCs w:val="20"/>
          <w:color w:val="auto"/>
        </w:rPr>
      </w:pPr>
    </w:p>
    <w:p>
      <w:pPr>
        <w:jc w:val="both"/>
        <w:ind w:left="1000" w:hanging="317"/>
        <w:spacing w:after="0" w:line="25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1. </w:t>
      </w:r>
      <w:r>
        <w:rPr>
          <w:rFonts w:ascii="Times New Roman" w:cs="Times New Roman" w:eastAsia="Times New Roman" w:hAnsi="Times New Roman"/>
          <w:sz w:val="18"/>
          <w:szCs w:val="18"/>
          <w:color w:val="auto"/>
        </w:rPr>
        <w:t>Phase 1 involves the initial introduction of a product candidate into humans. Phase 1 clinical trials are typically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in healthy volunteers, but in some situations are conducted in participants with the target disease or condition. These clinical trials are generally designed to evaluate the safety, metabolism, pharmacokinetic (“PK”) properties and pharmacologic actions of the product candidate in humans, the side effects associated with increasing doses and, if possible, to gain early evidence of effectiveness. During Phase 1 clinical trials, sufficient information about the product candidate’s PK properties and pharmacological effects may be obtained to inform and support the design of Phase 2 clinical trials;</w:t>
      </w:r>
    </w:p>
    <w:p>
      <w:pPr>
        <w:spacing w:after="0" w:line="182" w:lineRule="exact"/>
        <w:rPr>
          <w:rFonts w:ascii="Times New Roman" w:cs="Times New Roman" w:eastAsia="Times New Roman" w:hAnsi="Times New Roman"/>
          <w:sz w:val="18"/>
          <w:szCs w:val="18"/>
          <w:color w:val="auto"/>
        </w:rPr>
      </w:pPr>
    </w:p>
    <w:p>
      <w:pPr>
        <w:jc w:val="both"/>
        <w:ind w:left="1000" w:hanging="317"/>
        <w:spacing w:after="0" w:line="259"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2. </w:t>
      </w:r>
      <w:r>
        <w:rPr>
          <w:rFonts w:ascii="Times New Roman" w:cs="Times New Roman" w:eastAsia="Times New Roman" w:hAnsi="Times New Roman"/>
          <w:sz w:val="18"/>
          <w:szCs w:val="18"/>
          <w:color w:val="auto"/>
        </w:rPr>
        <w:t>Phase 2 includes the controlled clinical trials conducted to obtain initial evidence of effectiveness of the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candidate for a particular indication(s) in participants with the target disease or condition, to determine dosage tolerance and optimal dosage, and to gather additional information on possible adverse side effects and safety risks associated with the product candidate. Phase 2 clinical trials are typically well-controlled, closely monitored, and conducted in a limited patient population; and</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1000" w:hanging="317"/>
        <w:spacing w:after="0" w:line="251"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3. </w:t>
      </w:r>
      <w:r>
        <w:rPr>
          <w:rFonts w:ascii="Times New Roman" w:cs="Times New Roman" w:eastAsia="Times New Roman" w:hAnsi="Times New Roman"/>
          <w:sz w:val="18"/>
          <w:szCs w:val="18"/>
          <w:color w:val="auto"/>
        </w:rPr>
        <w:t>Phase 3 clinical trials are clinical trials conducted in an expanded patient population at geographically dispersed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trial sites. They are performed after preliminary evidence suggesting effectiveness of the product candidate has been obtained and are intended to further evaluate dosage, clinical effectiveness and safety, to establish the overall benefit-risk relationship of the product candidate and to provide an adequate basis for regulatory approval. In most cases, the FDA requires two adequate and well controlled Phase 3 clinical trials to demonstrate the efficacy of the product candidate, although a single Phase 3 clinical trial with other confirmatory evidence may be sufficient in certain instances. In some cases, the FDA may require, or companies may voluntarily pursue, additional clinical trials after a product is approved to gain more information about the product. These post-approval clinical trials, sometimes referred to as Phase 4 clinical trials, may also be made a condition to approval of the BLA. Failure to exhibit due diligence regarding conducting required Phase 4 clinical trials could result in withdrawal of approval for products. Concurrent with clinical trials, companies usually complete additional animal studies and must develop additional information about the chemistry and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 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decision to suspend or terminate development of a product candidate may be made by either a health authority body, such as the FDA, by an IRB, or by a company for various reasons and during any phase of clinical trials.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In some cases, clinical trials are overseen by a data safety monitoring board (“DSMB”), which is an independent group of qualified experts organized by the trial sponsor to evaluate at designated points in time whether a trial may move forward and/or should be modified. These decisions are based on unblinded access to data from the ongoing trial and generally involve determinations regarding the benefit-risk ratio for study patients and the scientific integrity and validity of the clinical trial. In addition, there are requirements for the registration of certain clinical trials of product candidates on public registries, such as www.clinicaltrials.gov, and the submission of certain information pertaining to these trials, including clinical trial results, after trial completion.</w:t>
      </w:r>
    </w:p>
    <w:p>
      <w:pPr>
        <w:spacing w:after="0" w:line="19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Assuming successful completion of all required testing in accordance with all applicable regulatory requirements, a sponsor submits extensive information about the product candidate to the FDA in the form of a BLA to request marketing approval for the product candidate in specified indications.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Biologics License Applications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obtain approval to market a biologic in the United States, a BLA must be submitted to the FDA that provides data establishing the safety and effectiveness of the product candidate for the proposed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product candidate, or from alternative sources. To support marketing approval, the data submitted must be sufficient in quality and quantity to establish the safety and effectiveness of the product candidate to the satisfaction of the FDA.</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Prescription Drug User Fee Act, as amended, (“PDUFA”) the fees payable to the FDA for reviewing an original BLA, as well as annual program fees for approved products, can be substantial, subject to certain limited deferrals, waivers and reductions that may be available. The FDA has 60 days from receipt of a BLA to determine whether the application will be accepted for filing based on the agency’s threshold determination that it is sufficiently complete to permit substantive review. The FDA may refuse to accept for filing any BLA that it deems incomplete or not properly reviewable at the time of submission, in which case the BLA will have to be updated and resubmitted. The FDA’s PDUFA review goal (which is not a legal requirement) is to review 90% of priority BLA applications within six months of filing and 90% of standard applications within 10 months of filing, but the FDA can and frequently does extend this review timeline to consider certain later-submitted information or information intended to clarify or supplement information provided in the initial submission. The FDA may not complete its review or approve a BLA within these established goal review times. The FDA reviews the BLA to determine, among other things, whether the proposed product is safe, pure, and potent for its intended use, and whether the product is being manufactured in compliance with cGMP to ensure its continued safety, purity and potency. The FDA may also refer applications for novel product candidates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Before approving a BLA, the FDA will inspect the facilities at which the product is manufactured or the facilities that are significantly involved in the product development and distribution process. The FDA will not approve the product candidate unless cGMP compliance is satisfactory and the manufacturing processes and facilities are adequate to assure consistent production of the product within required specifications. Additionally, before approving, the FDA will typically inspect one or more clinical sites to assure compliance with GCP requirements.</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Under the Pediatric Research Equity Act (“PREA”), certain BLAs must include an assessment, generally based on clinical trial data, of the safety and effectiveness of the biological product in relevant pediatric populations. The FDA may waive or defer the requirement for a pediatric assessment, either at a company’s request or by its own initiative, including waivers for certain products not likely to be used in a substantial number of pediatric patients. Unless otherwise required by regulation, products with orphan drug designation are exempt from these requirements for orphan-designated indications with no formal waiver process required. After the FDA evaluates the BLA and the manufacturing facilities, the FDA may issue either an approval letter or a complete response letter. A complete response letter generally outlines the deficiencies in the submission and may require substantial additional testing or information for the FDA to reconsider the application. When those deficiencies have been addressed to the FDA’s satisfaction in a resubmission of the BLA, the FDA may issue an approval letter. The FDA’s PDUFA review goal is to review such resubmissions within two or six months of receipt, depending on the type of information included. Notwithstanding the submission of any requested additional information, the FDA ultimately may decide that the BLA does not satisfy the regulatory criteria for approval and deny approval of a resubmitted application. FDA approval of any application may include many delays or may never be granted. An approval letter authorizes commercial marketing of the product candidate with specific prescribing information for specific indications. As a condition of BLA approval, the FDA may require a risk evaluation and mitigation strategy (“REMS”) to help ensure that the benefits of the product outweigh the potential risks. REMS can include Medication Guides, communication plans for healthcare professionals, and may include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safety, purity, or potency, which can be costly.</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Changes to some of the conditions established in an approved application, including changes in indications, labeling, or manufacturing processes or facilities, require submission and FDA approval of a new BLA and/or a supplemental BLA (“sBLA”) before the change can be implemented. A sBLA for a new indication typically requires clinical data similar to that in the original application, and the FDA generally uses the same procedures and actions in reviewing a sBLA as it does in reviewing a new BLA. Product approvals may be withdrawn if compliance with regulatory standards is not maintained or if safety or manufacturing problems occur following initial marketing. For example, quality control and manufacturing procedures must conform, on an ongoing basis, to cGMP requirements, and the FDA periodically inspects manufacturing facilities to assess compliance with cGMP. Accordingly, manufacturers must continue to spend time, money and effort to maintain cGMP compliance. In addition, new or modified government requirements, including new legislation, may be established that could delay or prevent regulatory approval of our product candidates under development or affect our ability to maintain product approvals we have obtained.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Market Exclusivity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created an abbreviated approval pathway for biological products shown to be biosimilar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FDA will not accept an application for a biosimilar or interchangeable product based on the reference biological product until four years after the date of first licensure of the reference product, and the FDA will not approve an application for a biosimilar or interchangeable product based on the reference biological product until 12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Rigorous and extensive FDA regulation of biological products continues after approval, particularly with respect to cGMP requirements, as well as requirements relating to record keeping, reporting of adverse experiences, periodic reporting, product sampling and distribution, and advertising and promotion of the product. Manufacturers of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 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biological products.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condition of BLA approval, the FDA may require post-marketing testing, including Phase 4 clinical trials, and surveillance to further assess and monitor the product’s safety and effectiveness after commercialization. Regulatory approval of oncology products often requires that patients in clinical trials be followed for long periods to determine the overall survival benefit of the product. In addition, as a holder of an approved BLA, a company would be required to report adverse reactions and production problems to the FDA, to provide updated safety and efficacy information, and to comply with requirements concerning advertising and promotional labeling for any of its products.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Manufacturers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with a product or failure to comply with applicable regulatory requirements after approval may result in serious and extensive restrictions on a product or the manufacturer or holder of an approved BLA, as well as lead to potential market disruptions. These restrictions may include suspension of product manufacturing until the FDA is assured that quality standards can be met, continuing oversight of manufacturing by the FDA under a ‘‘consent decree,’’ which</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frequently includes the imposition of costs and continuing inspections over a period of many years, as well as possible withdrawal of the product from the market. Other potential consequences include interruption of production, issuance of warning letters or other enforcement letters, refusal to approve pending BLAs or supplements to approved BLAs, product seizure or detention, product recalls, fines, and injunctions or imposition of civil and/or criminal penalties.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changes to the manufacturing process are strictly regulated, and, depending on the significance of the change, may require prior FDA approval before being implemented. FDA regulations also require investigation, correction, and reporting of any deviations from cGMP and impose reporting and documentation requirements upon a company and any third-party manufacturers that a company may decide to use. Accordingly, manufacturers must continue to expend time, money and effort in the area of producti</w:t>
      </w:r>
      <w:r>
        <w:rPr>
          <w:rFonts w:ascii="Times New Roman" w:cs="Times New Roman" w:eastAsia="Times New Roman" w:hAnsi="Times New Roman"/>
          <w:sz w:val="21"/>
          <w:szCs w:val="21"/>
          <w:color w:val="auto"/>
        </w:rPr>
        <w:t>o</w:t>
      </w:r>
      <w:r>
        <w:rPr>
          <w:rFonts w:ascii="Times New Roman" w:cs="Times New Roman" w:eastAsia="Times New Roman" w:hAnsi="Times New Roman"/>
          <w:sz w:val="18"/>
          <w:szCs w:val="18"/>
          <w:color w:val="auto"/>
        </w:rPr>
        <w:t>n and quality control to maintain compliance with cGMP and other aspects of regulatory compliance.</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production and quality control to maintain cGMP compliance.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Newly discovered or developed safety or effectiveness data may require changes to a product’s approved labeling, including the addition of new warnings and contraindications, and may require the implementation of other risk management measures, such as additional post-market clinical trials to assess new safety risks or distribution-related or other restrictions under a REMS.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in the European Union,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Process in the EU</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a related marketing authorization (“MA”), has been granted. To obtain an MA for a product in the European Union (“EU”), an applicant must submit a Marketing Authorization Application (“MA Application”), either under a centralized procedure administered by the EMA, or one of the procedures administered by the competent authorities of EU Member States (decentralized procedure, national procedure or mutual recognition procedure). An MA may be granted only to an applicant established in the EU.</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by the European Commission that is valid throughout the EEA (which is comprised of the 27 EU Member States plus Iceland, Liechtenstein and Norway). Pursuant to Regulation (EC) No 726/2004, the centralized procedure is compulsory for specific products, including for (i) medicinal products derived from biotechnological processes, (ii) products designated as orphan medicinal products, (iii) advanced therapy medicinal products,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authorization through the centralized procedure is optional on related approval.</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centralized procedure, the EMA’s Committee for Medicinal Products for Human Use (“CHMP”), conducts the initial assessment of a product. The CHMP is also responsible for several post-authorization and maintenance activities, such as the assessment of modifications or extensions to an existing MA. The maximum timeframe for the evaluation of an MA Application under the centralized procedure is 210 days, excluding clock stops when additional information or written or oral explanation is to be provided by the applicant in response to questions of the CHMP.</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(excluding clock stops). The CHMP can, however, revert to the standard time limit for the centralized procedure if it considers that it is no longer appropriate to conduct an accelerated assessment.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Decentralised Procedures – Human for review. The subsequent decision of the European Commission is binding on all EU Member States.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MA has, in principle,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 year renewal period for the MA. Once subsequently definitively renewed, the MA shall be valid for an unlimited period. Any authorization which is not followed by the actual placing of the medicinal product on the EU market (for a centralized MA) or on the market of the authorizing EU Member State within three years after authorization ceases to be valid (the so-called sunset clause).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United States PRIME is a voluntary scheme aimed at enhancing the EMA’s support for the development of medicinal products that target unmet medical needs. Eligible products must target conditions for which there is an unmet medical need (there is no satisfactory method of diagnosis, prevention or treatment in the EU or, if there is, the new medicinal product will bring a major therapeutic advantage) and they must demonstrate the potential to address the unmet medical need by introducing new methods of therapy or improving existing ones. Benefits accrue to sponsors of product candidates with PRIME designation, including but not limited to, early and proactive regulatory dialogue with the EMA, frequent discussions on clinical trial designs and other development program elements, and potentially accelerated MA Application assessment once a dossier has been submitted.</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EU, a “conditional” MA may be granted in cases where all the required safety and efficacy data are not yet available. The European Commission may grant a conditional MA for a medicinal product if it is demonstrated that all of the following criteria are met:</w:t>
      </w:r>
    </w:p>
    <w:p>
      <w:pPr>
        <w:jc w:val="both"/>
        <w:ind w:firstLine="8"/>
        <w:spacing w:after="0" w:line="252" w:lineRule="auto"/>
        <w:tabs>
          <w:tab w:leader="none" w:pos="2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benefit-risk balance of the medicinal product is positive; (ii) it is likely that the applicant will be able to provide comprehensive data post-authorization; (iii) the medicinal product fulfils an unmet medical need; and (iv) the benefit of the immediate availability to patients of the medicinal product is greater than the risk inherent in the fact that additional data are still required.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and approved by the European Commission, the MA will cease to be renewed.</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applicant does not hold a complete data set that is required for the grant of a standard MA. However, unlike the conditional MA, an applicant for authorization in exceptional circumstances is not subsequently required to provide the missing data. Although the MA “under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exceptional circumstances” is granted definitively, the risk-benefit balance of the medicinal product is reviewed annually, and the MA will be withdrawn if the risk-benefit ratio is no longer favorable.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Post-authorization Requirements in the EU</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31F20"/>
        </w:rPr>
        <w:t>Where an MA is granted in relation to a medicinal product in the EU, the holder of the MA is required to comply with a range of regulatory requirements applicable to the manufacturing, marketing, promotion and sale of medicinal products. 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(“QPPV”) who is responsible for oversight of that system. Key obligations include expedited reporting of suspected serious adverse reactions and submission of periodic safety update reports (“PSURs”).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31F20"/>
        </w:rPr>
        <w:t>All new MA Applications must include a risk management plan, describing the risk management system that the company will put in place and documenting measures to prevent or minimize the risks associated with the product. The regulatory authorities may also impose specific obligations as a condition of the MA. Such risk- minimization measures or post-authorization obligations may include additional safety monitoring, more frequent submission of PSURs, or the conduct of additional clinical trials or post-authorization safety studies.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231F20"/>
        </w:rPr>
        <w:t xml:space="preserve">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w:t>
      </w:r>
      <w:r>
        <w:rPr>
          <w:rFonts w:ascii="Times New Roman" w:cs="Times New Roman" w:eastAsia="Times New Roman" w:hAnsi="Times New Roman"/>
          <w:sz w:val="18"/>
          <w:szCs w:val="18"/>
          <w:color w:val="000000"/>
        </w:rPr>
        <w:t>General requirements for advertising and promotion of medicinal products, such as direct-to-consumer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advertising of prescription medicinal products are established in EU law. However, the details are governed by regulations in individual EU Member States and can differ from one country to another. For example, applicable laws require that medicinal product promotional materials and advertising comply with the product’s Summary of Product Characteristics (“SmPC”) and may require approval by the competent national authorities in connection with an MA. The SmPC is the document that provides information to physicians </w:t>
      </w:r>
      <w:r>
        <w:rPr>
          <w:rFonts w:ascii="Times New Roman" w:cs="Times New Roman" w:eastAsia="Times New Roman" w:hAnsi="Times New Roman"/>
          <w:sz w:val="18"/>
          <w:szCs w:val="18"/>
          <w:color w:val="231F20"/>
        </w:rPr>
        <w:t>and other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healthcare professionals </w:t>
      </w:r>
      <w:r>
        <w:rPr>
          <w:rFonts w:ascii="Times New Roman" w:cs="Times New Roman" w:eastAsia="Times New Roman" w:hAnsi="Times New Roman"/>
          <w:sz w:val="18"/>
          <w:szCs w:val="18"/>
          <w:color w:val="000000"/>
        </w:rPr>
        <w:t>concerning the safe and effective use of the product. Promotional activity that does not comply with the SmPC 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considered off-label and is prohibited in the EU.</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in the EU</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 are subject to significant regulatory controls.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EU, clinical trials are governed by the Clinical Trials Regulation (EU) No 536/2014 (“CTR”), which entered into application on January 31, 2022 repealing and replacing the former Clinical Trials Directive 2001/20.</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CTR is intended to harmonize and streamline clinical trial authorizations, simplify adverse-event reporting procedures, improve the supervision of clinical trials and increase transparency. Specifically, the Regulation, which is directly applicable in all EU Member States, introduces a streamlined application procedure through a single-entry point, the "EU portal", the Clinical Trials Information System; a single set of documents to be prepared and submitted for the application; as well as simplified reporting procedures for clinical trial sponsors. A harmonized procedure for the assessment of applications for clinical trials has been introduced and is divided into two parts. Part I assessment is led by the competent authorities of a reference Member State selected by the trial sponsor and relates to clinical trial aspects that are considered to be scientifically harmonized across EU Member States. This assessment is then submitted to the competent authorities of all concerned Member States in which the trial is to be conducted for their review. Part</w:t>
      </w:r>
    </w:p>
    <w:p>
      <w:pPr>
        <w:spacing w:after="0" w:line="1" w:lineRule="exact"/>
        <w:rPr>
          <w:sz w:val="20"/>
          <w:szCs w:val="20"/>
          <w:color w:val="auto"/>
        </w:rPr>
      </w:pPr>
    </w:p>
    <w:p>
      <w:pPr>
        <w:ind w:right="20" w:firstLine="8"/>
        <w:spacing w:after="0" w:line="260" w:lineRule="auto"/>
        <w:tabs>
          <w:tab w:leader="none" w:pos="1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assessed separately by the competent authorities and Ethics Committees in each concerned EU Member State. Individual EU Member States retain the power to authorize the conduct of clinical trials on their territory.</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CTR foresaw a three-year transition period that ended on January 31, 2025. Since this date, all new or ongoing trials are subject to the provisions of the CTR.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Care Laws and Regulations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Health care providers, including physicians,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183" w:lineRule="exact"/>
        <w:rPr>
          <w:sz w:val="20"/>
          <w:szCs w:val="20"/>
          <w:color w:val="auto"/>
        </w:rPr>
      </w:pPr>
    </w:p>
    <w:p>
      <w:pPr>
        <w:jc w:val="both"/>
        <w:ind w:left="1000" w:hanging="317"/>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58"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directly or indirectly,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183"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79"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(“FCPA”) which prohibits companies and their intermediaries from making, or offering or promising to make improper payments to non-U.S. officials for the purpose of obtaining or retaining business or otherwise seeking favorable treatment;</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56"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known as the federal Physician Payments Sunshine Act, enacted as part of the Patient Protection and Affordable Health Care Act, as amended by the Health Care and Education Reconciliation Act (collectively, the “ACA”), which requires certain manufacturers of drugs, devices, biologics and medical supplies to report annually to the Centers for Medicare &amp; Medicaid Services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87"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Pharmaceutical Insurance Coverage and Health Care Reform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drug products approved by the FDA and other government authorities. Thus, even if a product candidate is approved, sales of such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drug product may be separate from the process for setting the price or reimbursement rate that the payor will pay for the drug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candidate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candidate could reduce physician utilization once the product candidate is approved. Additionally, a payor’s decision to provide coverage for a drug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drug products. Adoption of price controls and cost-containment measures, and adoption of more restrictive policies in jurisdictions with existing controls and measures, could further limit a company’s revenue generated from the sale of any approved drug products. Coverage policies and third-party reimbursement rates may change at any time. Even if favorable coverage and reimbursement status is attained for one or more drug products for which a company or its collaborators receive marketing approval, less favorable coverage policies and reimbursement rates may be implemented in the future.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March 2010, the United States Congress enacted the ACA, which, among other things, included changes to the coverage and payment for drug products under government health care programs. The ACA effected the following changes of importance to our potential product candidates:</w:t>
      </w:r>
    </w:p>
    <w:p>
      <w:pPr>
        <w:spacing w:after="0" w:line="176" w:lineRule="exact"/>
        <w:rPr>
          <w:sz w:val="20"/>
          <w:szCs w:val="20"/>
          <w:color w:val="auto"/>
        </w:rPr>
      </w:pPr>
    </w:p>
    <w:p>
      <w:pPr>
        <w:jc w:val="both"/>
        <w:ind w:left="1000" w:hanging="317"/>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an annual, nondeductible fee on any entity that manufactures or imports specified branded prescription drugs and biologic agents, apportioned among these entities according to their market share in certain government healthcare programs;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75" w:lineRule="exact"/>
        <w:rPr>
          <w:rFonts w:ascii="Times New Roman" w:cs="Times New Roman" w:eastAsia="Times New Roman" w:hAnsi="Times New Roman"/>
          <w:sz w:val="18"/>
          <w:szCs w:val="18"/>
          <w:color w:val="auto"/>
        </w:rPr>
      </w:pPr>
    </w:p>
    <w:p>
      <w:pPr>
        <w:jc w:val="both"/>
        <w:ind w:left="1000" w:right="20" w:hanging="317"/>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drugs that are inhaled, infused, instilled, implanted or injected;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types of entities eligible for the 340B drug discount program;</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00" w:hanging="317"/>
        <w:spacing w:after="0" w:line="266"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70% point-of-sale discount off of the negotiated price of applicable brand drugs to eligible beneficiaries during their coverage gap period as a condition for the manufacturers’ outpatient drugs to be covered under Medicare Part D; and</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These changes include aggregate reductions to Medicare payments to providers of 2% per fiscal year pursuant to the Budget Control Act of 2011, which began in 2013 and, due to subsequent legislative amendments to the statute, including the Infrastructure Investment and Jobs Act, will remain in effect until 2032 unless additional Congressional action is taken.</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have been judicial and Congressional challenges and amendments to certain aspects of the ACA. For example, on August 16, 2022, the Inflation Reduction Act of 2022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by creating a new manufacturer discount program. It is possible that the ACA will be subject to judicial or Congressional challenges in the future. It is unclear how such challenges and healthcare reform measures of the current U.S. federal government administration will impact the ACA.</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Further, there has been heightened governmental scrutiny in the United States of pharmaceutical pricing practices in light of the rising cost of prescription drugs and biologics. Such scrutiny has resulted in several recent Congressional inquiries and federal and state legislative activity designed to, among other things, bring more transparency to product pricing, review the relationship between pricing and manufacturer patient programs, and reform government program reimbursement methodologies for products. For example, the IRA, among other things, (i) directs the Secretary of the U.S. Department of Health and Human Services (“HHS”) to negotiate the price of certain high-expenditure, single-source drugs that have been on the market for at least 7 years covered under Medicare Part B and Medicare Part D, and subjects drug manufacturers to civil monetary penalties and a potential excise tax by offering a price that is not equal to or less than the negotiated “maximum fair price” under the law (the “Medicare Drug Price Negotiation Program”), and (ii) imposes rebates under Medicare Part B and Medicare Part D to penalize price increases that outpace inflation.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Patent Term Restoration and Marketing Exclusivity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a biological product, some of a sponsor’s U.S. patents may be eligible for limited patent term extension under the Hatch-Waxman Act. The Hatch-Waxman Act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composed of a “testing phase” and a “review phase” (also referred to as an “approval phase”). The testing phase begins on the effective date of an IND and ends on the date a BLA or a New Drug Application (“NDA”) is initially submitted to FDA. The review phase is the period between the initial submission of the BLA or NDA and approval. The term of a patent may be extended for a period of time that is the sum of one-half of the time in the testing phase, plus all the time in the review</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phase, and minus any of the regulatory review period that occurs prior to the patent grant or where the sponsor did not act with due diligence. Only one patent applicable to an approved biological product is eligible for the extension and the application for the extension must be submitted prior to the expiration of the patent. In addition, a patent can only be extended once and only for a single product. The United States Patent and Trademark Office (“USPTO”), in consultation with the FDA, reviews and approves the application for any patent term extension or restoration. In the future, where possible we intend to apply for restoration of patent term for a patent covering the ZB Assets to add, if possible, patent life beyond its current expiration date. The ability to do this will depend on the length of the clinical trials and other factors involved in the filing of the relevant BLA.</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Similar provisions for supplementary protection to compensate applicants for regulatory delays also exist in a number of territories, including Europe and Japan. Where possible we intend to apply for supplementary protection for the ZB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and Market Exclusivity</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ACA includes a subtitle called the BPCIA which created an abbreviated approval pathway for biological products shown to be biosimilar to, or interchangeable with, an FDA-licensed reference biological product.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present time, the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12 years after the date of first licensure of the reference product.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“First licensure” typically means the initial date the particular product at issue was licensed in the United States. The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implementation and impact of the BPCIA is subject to significant uncertainty.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the European Economic Area (the “EEA”), upon receiving marketing authorization, innovative medicinal products generally receive eight years of data exclusivity and an additional two years of market exclusivity. If granted, data exclusivity prevents generic or biosimilar applicants from referencing the innovator’s pre-clinical and clinical trial data contained in the dossier of the reference product when applying for a generic or biosimilar marketing authorization in the EEA, during a period of eight years from the date on which the reference product was first authorized in the EEA. During the additional two-year period of market exclusivity, a generic or biosimilar marketing authorization application can be submitted, and the innovator’s data may be referenced, but no generic or biosimilar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There is no guarantee that a product will be considered by the EMA to be an innovative medicinal product, and products may not qualify for data exclusivity.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Another company may market another version of the product if such company obtained a marketing authorization based on a Marketing Authorization Application with a completely independent data package of pharmaceutical tests, preclinical tests and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Pediatric Development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biological product can obtain pediatric market exclusivity in the United States Pediatric exclusivity, if granted, adds six months to existing exclusivity periods, including some regulatory exclusivity periods. This six-month exclusivity, which runs from the end of other exclusivity protection or patent term, may be granted based on the voluntary completion of a pediatric study in accordance with an FDA-issued “Written Request” for such a study. Similar provisions are also available in other territories, such as Europe. In the EEA, companies developing a new medicinal product must agree upon a Pediatric Investigation Plan (“PIP”), with the EMA’s pediatric committee (“PDCO”), and must conduct pediatric clinical trials in accordance with that PIP, unless a waiver applies (e.g., because the relevant disease or condition occurs only in adults). The PIP sets out the timing and measures proposed to generate data to support a pediatric indication of the drug for which marketing authorization is being sought. The marketing authorization application for the product must include the results of pediatric clinical trials conducted in accordance with the PIP, unless a waiver applies, or a deferral has been granted by the PDCO of the obligation to implement some or all of the measures of the PIP until there are sufficient data to demonstrate the efficacy and safety of the product in adults, in which case the pediatric clinical trials must be completed at a later date.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Products that are granted a marketing authorization with the results of the pediatric clinical trials conducted in accordance with the PIP are eligible for a six-month extension of the protection under a supplementary protection certificate (if any is in effect at the time of approval) even where the trial results are negative.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development and commercialization of new product candidates in the biopharmaceutical industry is highly competitive and is subject to technological advancements resulting in numerous assets within drug classes. The immunology market field is characterized by strong and increasing competition.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competitive landscape encompasses a spectrum of entities, ranging from startups to large-cap biopharmaceutical, specialty pharmaceutical, and biotechnology companies. These competitors are dedicated to developing diverse therapeutic modalities tailored for autoimmune diseases, including small molecules, antibodies, and cytotherapy. We believe the key competitive factors that will affect the development and commercial success of the ZB Assets and any future product candidates include safety and efficacy, reliability, dosing and administration convenience, scope of marketing approval, successful protection of intellectual property, reimbursement, and price.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are a number of large companies that currently market products or are pursuing the development of product candidates for the treatment of the indications that we are pursuing. More established companies may have a competitive advantage over us due to their greater size, resources, and institutional experience. These companies have greater experience and expertise in securing reimbursement, government contracts, relationships with key opinion leaders, conducting testing and clinical trials, obtaining and maintaining regulatory approvals and distribution relationships to market products, and marketing approved drugs. These companies also have significantly greater research and marketing capabilities than we do.</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Some of these companies also have greater financial resources, and greater research, development and marketing capabilities than we do. They may also have products that are in similar product stages of development and have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Tibulizumab</w:t>
      </w:r>
      <w:r>
        <w:rPr>
          <w:rFonts w:ascii="Times New Roman" w:cs="Times New Roman" w:eastAsia="Times New Roman" w:hAnsi="Times New Roman"/>
          <w:sz w:val="18"/>
          <w:szCs w:val="18"/>
          <w:color w:val="auto"/>
        </w:rPr>
        <w:t>. If tibulizumab is approved, competition may arise from approved and non-approved generic immunosuppressive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There may be competition from newly approved or non-approved advanced-line agents in. Currently a variety of therapies are used, including but not limited to, methotrexate, mycophenalate, OFEV® (nintedanib), ACTEMRA® (tocilizumab), brodalumab, BENLYSTA® (belimumab), UPLINZA® (inebilizumab-cdon), and RITUXAN® (rituximab).</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Currently, two advanced-line drugs have been FDA-approved for the treatment of SSc-ILD: OFEV® (nintedanib) and ACTEMRA® (tocilizumab). There are multiple additional product candidates in development for SSc and/or SSc-ILD.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Currently, three biologics have been FDA-approved for the treatment of moderate to severe HS in adults: HUMIRA® (adalimumab), COSENTYX® (secukinumab) and BIMZELX® (bimekizumab-bkzx). There are multiple additional product candidates in development for HS.</w:t>
      </w:r>
    </w:p>
    <w:p>
      <w:pPr>
        <w:spacing w:after="0" w:line="174"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Crebankitug</w:t>
      </w:r>
      <w:r>
        <w:rPr>
          <w:rFonts w:ascii="Times New Roman" w:cs="Times New Roman" w:eastAsia="Times New Roman" w:hAnsi="Times New Roman"/>
          <w:sz w:val="18"/>
          <w:szCs w:val="18"/>
          <w:color w:val="auto"/>
        </w:rPr>
        <w:t>. If crebankitug is approved, competition may arise from various companies and partnerships currently engaged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studies. There are multiple assets in active clinical development targeting the IL-7 or TSLP pathways, including but not limited to: lusvertikimab, bempikibart, verekitug, SAR443765, BSI-045B, and tezepelumab.</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Torudokimab. </w:t>
      </w:r>
      <w:r>
        <w:rPr>
          <w:rFonts w:ascii="Times New Roman" w:cs="Times New Roman" w:eastAsia="Times New Roman" w:hAnsi="Times New Roman"/>
          <w:sz w:val="18"/>
          <w:szCs w:val="18"/>
          <w:color w:val="auto"/>
        </w:rPr>
        <w:t>If torudokimab is approved, competition may arise from various companies and partnerships actively engaged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studies targeting IL-33, including but not limited to itepekimab, tozorakimab, astegolimab, MT-2990, 9MW-1911, SSGJ-621, FB-918, QX-007-N and QX-008-N. Other potential competitors include academic institutions, government agencies, and other public and private entities that conduct research, seek patent protection, and establish collaborative arrangements for research development, manufacturing, and commercialization.</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drugs, non-pharmaceutical therapies, and alternative approaches to indications we may pursue for our drug candidates will compete with us both in the United States and elsewhere in the world.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also numerous other drugs and product candidates in development for indications for which we might develop our product candidates. Competition may also arise from off-label use of products approved for other indications, products accessed through gray markets, or product candidates available through clinical trials or expanded access.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 and Culture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global team, headquartered in Henderson, Nevada, comprises highly experienced members who have actively participated in drug development, commercialization, business development, capital formation, and investor engagement across various industries. For detailed information and biographies of our management team, please refer to the "</w:t>
      </w:r>
      <w:r>
        <w:rPr>
          <w:rFonts w:ascii="Times New Roman" w:cs="Times New Roman" w:eastAsia="Times New Roman" w:hAnsi="Times New Roman"/>
          <w:sz w:val="18"/>
          <w:szCs w:val="18"/>
          <w:i w:val="1"/>
          <w:iCs w:val="1"/>
          <w:color w:val="auto"/>
        </w:rPr>
        <w:t>Directors, Executive Officers,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Governance</w:t>
      </w:r>
      <w:r>
        <w:rPr>
          <w:rFonts w:ascii="Times New Roman" w:cs="Times New Roman" w:eastAsia="Times New Roman" w:hAnsi="Times New Roman"/>
          <w:sz w:val="18"/>
          <w:szCs w:val="18"/>
          <w:color w:val="auto"/>
        </w:rPr>
        <w:t>" section.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we had 30 full-time employees, consisting of clinical development, general and administrative, and technical operations. None of our employees is represented by a labor union, and we believe that our relationships with them are good.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future success depends upon our continued ability to attract and retain highly skilled employees. We provide competitive salaries and bonuses, opportunities for equity ownership, and an employment package that promotes well-being across all aspects of their lives, including health care and retirement planning. As part of our promotion and retention efforts, we also invest in ongoing employee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In the ordinary course of business, we are subject to legal proceedings, claims, and litigation.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Section 2(a)(19) of the Securities Act, as modified by the Jumpstart Our Business Startups Act of 2012 (the “JOBS Act”). As such, we are eligible for and intend to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404(b) of the Sarbanes-Oxley Act of 2002 (the “Sarbanes-Oxley Act”), (ii) the exemptions from say-on-pay, say-on- frequency and say-on-golden parachute voting requirements and (iii) reduced disclosure obligations regarding executive compensation in our periodic reports and proxy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under the Securities Exchange Act of 1934, as amended (the “Exchange Act”), which would occur if the market value of our common equity held by non-affiliates exceeds $700.0 million as of the last business day of our most recently completed second fiscal quarter; or (ii) the date on which we have issued more than $1.0 billion in non-convertible debt securities during the prior three-year period.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JATT Acquisition Corp (“JATT”) was a Cayman Islands exempted company initially incorporated under the laws of the Cayman Islands on March 10, 2021. On July 13, 2021, JATT completed its IPO. On March 20, 2023 (the “Closing Date”), we consummated the previously-announced transactions contemplated by that certain Business Combination Agreement, dated June 16, 2022, as amended on September 20, 2022, November 14, 2022, and January 13, 2023 by and among Zura Bio Limited, a limited company incorporated under the laws of England and Wales (“Zura Bio UK”), JATT, JATT Merger Sub, a Cayman Islands exempted company and wholly owned subsidiary of JATT (“Merger Sub”), JATT Merger Sub 2, a Cayman Islands exempted company and wholly owned subsidiary of JATT (“Merger Sub 2”) and Zura Bio Holdings Ltd, a Cayman Islands exempted company (“Holdco”), following the approval at an extraordinary general meeting of JATT’s shareholders held on March 16, 2023.</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Business Combination Agreement, (a) before the closing of the Business Combination, Holdco was established as our new holding company and became a party to the Business Combination Agreement; and (b) on the closing date, in sequential order: (i) Merger Sub merged with and into Holdco, with Holdco continuing as the surviving company and a wholly owned subsidiary of JATT (the “Merger”); (ii) immediately following the Merger, Holdco merged with and into Merger Sub 2, with Merger Sub 2 continuing as the surviving company and a wholly owned subsidiary of JATT (the “Subsequent Merger”); and (iii) JATT, as the registrant, changed its name to “Zura Bio Limited”.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proxy statements and other information with the SEC. Our filings with the SEC are available on the SEC’s website at www.sec.gov. We also maintain a website at http://www.zurabio.com. We make available, free of charge, in the Investor Relations section of our website, documents we file with or furnish to the SEC, including our annual reports on Form 10-K, Quarterly Reports on Form 10-Q, Current Reports on Form 8-K and any exhibits and amendments to those reports. We make this information available as soon as reasonably practicable after we electronically file such materials with, or furnish such information to, the SEC. The other information found on our website is not part of this or any other report we file with, or furnish to, the SEC.</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use our website as a means of disclosing material non-public information and for complying with our disclosure obligations under Regulation Fair Disclosure promulgated by the SEC. These disclosures will be included on our website under the “Investors”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Careful consideration should be given to the following risk factors, in addition to the other information set forth in this Annual Report and in other documents that we file with the SEC, in evaluating the Company and our business. Investing in our Class A Ordinary Shares involves a high degree of risk. If any of the following risks and uncertainties actually occurs, our business, prospects, financial condition and results of operations could be materially and adversely affected. The risks described below are not intended to be exhaustive and are not the only risks that we face. New risk factors can emerge from time to time, and it is not possible to predict the impact that any factor or combination of factors may have on our business, prospects,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Financial Position and Capital Requirements</w:t>
      </w:r>
    </w:p>
    <w:p>
      <w:pPr>
        <w:spacing w:after="0" w:line="22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have not initiated, conducted, or completed any clinical trials, and have not taken a product through to commercialization.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 clinical-stage company with limited operating history. To be cash flow positive and viable, we must develop (alone or in partnership(s)) and eventually commercialize (alone or in partnership(s)) a product or products with significant market potential. This will require us to be successful in a range of challenging activities, including establishing our business model and key third-party relationships; completing preclinical studies and clinical trials of our product candidates; obtaining marketing approval for product candidates; manufacturing, marketing and selling those products for which we (either alone or in partnership(s)) may obtain marketing approval; satisfying any post-marketing requirements; and otherwise monetizing products, for example by licensing or selling assets or the Company.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products are not approved for commercial sale. Since our inception in January 2022, we have incurred significant operating losses and have utilized substantial resources to in-license and plan for development of the ZB Assets, organize and staff our company, and provide other general and administrative support. We have not conducted or completed clinical trials, including global late-stage clinical trials. As is widespread practice in the life sciences industry, we will engage third-party clinical trial organizations to conduct preclinical and clinical trials. We cannot be certain that our planned preclinical and clinical trials will begin or be completed on time or at all. Furthermore, we cannot be certain whether our planned preclinical studies and clinical trials will be on budget or have significant cost overruns. We cannot predict whether product candidates will have the desired activity in the clinical trials or whether any side effects will be tolerable. In addition, we have not yet demonstrated an ability to obtain marketing approvals, manufacture a product to commercial scale, or arrange for a third party to do so on our behalf, or conduct sales, marketing and distribution activities necessary for successful product commercialization.</w:t>
      </w:r>
    </w:p>
    <w:p>
      <w:pPr>
        <w:spacing w:after="0" w:line="19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ability to generate revenue depends on a number of factors, including, but not limited to, our ability to arrange for third-party contractors to, do the following with respect to our product candidates:</w:t>
      </w:r>
    </w:p>
    <w:p>
      <w:pPr>
        <w:spacing w:after="0" w:line="162" w:lineRule="exact"/>
        <w:rPr>
          <w:sz w:val="20"/>
          <w:szCs w:val="20"/>
          <w:color w:val="auto"/>
        </w:rPr>
      </w:pPr>
    </w:p>
    <w:p>
      <w:pPr>
        <w:ind w:left="68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 and gain acceptance of investigational new drug applications to commence planned clinical trials or future clinical trials;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initiate preclinical studies and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enroll patients in clinical trials;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all safety and efficacy studies (preclinical and clinical) required to obtain U.S. and foreign regulatory approval;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 additional clinical trials or other studies beyond those planned to support the approval and commercialization;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appropriate human doses for clinical trials and commercial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manage the prevalence, duration, and severity of potential side effects or other safety issues, if any;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positive readout from the clinical trials regarding therapeutic activity;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demonstrate safety and efficacy to the satisfaction of the FDA, EMA, or similar foreign regulatory;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timely receipt of necessary marketing approvals from the FDA, EMA, and similar foreign regulatory authorities;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volume and quality of clinical trial materials to enable the completion of our planned clinical trials;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manufacturing capabilities or make arrangements with third-party manufacturers for future clinical supply and commercial manufacturing;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commercial sales of our products, if and when approved, whether alone or in collaboration with others;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acceptance of the products, if and when approved, by patients, the medical community, and third-party payors;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our products to effectively compete with other therapies;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coverage and reimbursement for our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continued acceptable safety profile following approval;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regulatory exclusivity;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patent and trade secret protection;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and defend our intellectual property rights and claims.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third parties may allege that they have intellectual property rights that could block our commercial activities and we may need to seek a license, which may not be available or may not be available at a reasonable price. We may also have a contractual dispute, such as a dispute related to patent inventorship or ownership, which may take significant resources, including the management team’s time, to resolve.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Due to the uncertainties and risks associated with these activities, we are unable to accurately and precisely predict the timing and amount of revenues, if any, the extent of any further losses or if or when we might achieve profitability. Consequently, any predictions we make about our future success or viability may not be as accurate as they could be if we had a longer operating history or track record of relative success. We may never succeed in these activities and, even if we succeed in commercializing the ZB Assets, we may never generate revenue that is significant enough to justify the investment in development, achieve profitability or otherwise successfully monetize product candidates. If we do achieve profitability, we may not be able to sustain or increase profitability on a quarterly or annual basis and we may continue to incur substantial research and development and other expenditures to develop and market additional product candidates. Our failure to become and remain profitable or otherwise successfully monetize the products could decrease the value of our shares and impair our ability to raise capital, reduce or eliminate our research and development efforts, or prevent the expansion of our business, or discontinue our operations. Further, we may encounter unexpected expenses, challenges and complications from known and unknown factors such as a global pandemic.</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losses since inception, and we expect to incur significant losses for the foreseeable future and may not be able to achieve or sustain profitability in the future. We have not generated any revenue from the ZB Assets and may never generate revenue or become profitable.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Investment in biopharmaceutical product development is a highly speculative undertaking and entails substantial upfront costs and capital expenditures over a multi-year timeframe, and ultimately involve a risk that any product candidate will fail to demonstrate adequate efficacy or an acceptable safety profile, gain regulatory approval or become commercially viable. We have no products approved for commercial sale, we have not generated any revenue to date, and we continue to incur research and development and other expenses related to our ongoing operations. We do not expect to generate product revenue unless or until we successfully complete clinical development and obtain regulatory approval from the FDA, EMA and similar foreign regulatory authorities of, and then successfully commercialize, the ZB Assets in one or more indications in one or more territories. We may never succeed in these activities and, even if we do, may never generate revenues that are significant enough to achieve profitability. If we are unable to raise further capital in the near-term, or partner with third parties that fund all or the vast majority of our costs and capital expenditures, then we may be unable to continue operations. We do not expect to generate sufficient revenue through any means to fully fund our operations in the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near-term. We cannot assure you that any additional financing that we are able to raise would not have a dilutive impact on your ownership interest in the Company.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incurred net loss of $52.4 million for the fiscal year ended December 31, 2024. We expect to continue to incur significant losses for the foreseeable future. Even after finding a means to fund the foreseeable, and unforeseeable, costs to develop our product candidates, thereafter, the progress of our development, and the clinical results achieved, will affect, positively or negatively, the value of our company and accordingly our ability to raise capital. Favorable results may increase the value of the company, increasing our ability to raise capital. Unfavorable results are likely to decrease the value of the company and could impair our ability to raise more capital, which is necessary to maintain our research and development efforts, expand our business and/or continue our operations. A decline in the value of our company could also cause you to lose all or part of your investment.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recurring losses from operations and financial condition could raise substantial doubt about our ability to continue.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fund our operations from existing proceeds as well as through the future sale of equity, debt, borrowing under credit facilities or through potential collaborations with other companies or other strategic transactions.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need to raise additional capital and are unable to do so, we could be forced to delay, reduce, suspend or cease our research and development programs or any future commercialization efforts, which would have a negative impact on our business, prospects, operating results and financial condition. In the future, in our own required quarterly assessments, we may conclude that there is a going concern, and future reports from our independent registered public accounting firm may also contain statements expressing substantial doubt about our ability to continue.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raise capital when needed, or on acceptable terms, we may be forced to delay, reduce and/or eliminate one or more of our development programs or future commercialization efforts.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conduct clinical trials of, and seek marketing approval from the FDA, EMA, and similar foreign regulatory authorities for, the ZB Assets. Even if one or more of the ZB Assets are approved for commercial sale, we anticipate incurring costs associated with sales, marketing, manufacturing and distribution activities to launch the ZB Assets. Our expenses could increase beyond expectations if we are required by the FDA, EMA or other regulatory agencies to perform preclinical studies or clinical trials in addition to those that we currently anticipate. Because the design and outcome of our planned and anticipated clinical trials are highly uncertain, we cannot reasonably estimate the actual amount of funding that will be necessary to successfully complete the development and commercialization of the ZB Assets. Our future capital requirements depend on many factors, including factors that are not within our control. Based on our current operating plan, we believe our existing cash, cash equivalents and short-term marketable securities, will be sufficient to fund our operations through 2027. This estimate is based on assumptions that may prove to be wrong, and we could use our available capital resources sooner than we currently expect.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have any committed external sources of funds and adequate additional financing may not be available to us on acceptable terms, or at all. We may be required to seek additional funds sooner than planned through public or private equity offerings, debt financing, collaborations and licensing arrangements or other sources. Such financing may dilute our shareholders or the failure to obtain such financing may restrict our operating activities. To the extent that we raise additional capital through the sale of equity or convertible debt securities, your ownership interest will be diluted, and the terms may include liquidation or other preferences and anti-dilution protections that adversely affect your rights as a shareholder. Debt financing may result in the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the ZB Assets, or grant licenses on terms that are not favorable to us. Our ability to raise additional capital may be adversely impacted by potential worsening global economic and political conditions and volatility in the credit and financial markets in the United States and worldwide.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certain rights licensed from Pfizer and Lilly that can be terminated in certain circumstances. If we breach the agreements, or if we are unable to satisfy our obligations under which we license rights to the ZB Assets, we could lose the ability to develop and commercialize one or more of the ZB Assets.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develop and commercialize the ZB Assets is dependent on the use of certain intellectual property and regulatory rights licensed to us from Pfizer (for crebankitug) and Lilly (for torudokimab and tibulizumab). The licenses set forth certain terms and conditions for maintaining the licenses. In the event that the terms and conditions are not met or we become insolvent or bankrupt, the licenses may be terminated and we will no longer be able to develop and commercialize one or more of the ZB Assets. See “</w:t>
      </w:r>
      <w:r>
        <w:rPr>
          <w:rFonts w:ascii="Times New Roman" w:cs="Times New Roman" w:eastAsia="Times New Roman" w:hAnsi="Times New Roman"/>
          <w:sz w:val="18"/>
          <w:szCs w:val="18"/>
          <w:i w:val="1"/>
          <w:iCs w:val="1"/>
          <w:color w:val="auto"/>
        </w:rPr>
        <w:t>Business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License Agreements — Lilly-Z33 License” and “Business — License Agreements — Lilly-ZB17 License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 — License Agreements — Pfizer Agreement</w:t>
      </w:r>
      <w:r>
        <w:rPr>
          <w:rFonts w:ascii="Times New Roman" w:cs="Times New Roman" w:eastAsia="Times New Roman" w:hAnsi="Times New Roman"/>
          <w:sz w:val="18"/>
          <w:szCs w:val="18"/>
          <w:color w:val="auto"/>
        </w:rPr>
        <w:t>”. Further, a wholly owned Pfizer subsidiary is the owner of certain intellectual property licensed to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Pfizer for crebankitug. The confirmatory three-way license agreement provides Pfizer the necessary rights to give effect to the Pfizer License. See “</w:t>
      </w:r>
      <w:r>
        <w:rPr>
          <w:rFonts w:ascii="Times New Roman" w:cs="Times New Roman" w:eastAsia="Times New Roman" w:hAnsi="Times New Roman"/>
          <w:sz w:val="18"/>
          <w:szCs w:val="18"/>
          <w:i w:val="1"/>
          <w:iCs w:val="1"/>
          <w:color w:val="auto"/>
        </w:rPr>
        <w:t>Business — License Agreements — Pfizer Agreement.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there is any dispute with Pfizer or Lilly regarding our rights under the Pfizer Agreement or the Lilly Licenses, including if we are unable to meet our milestone obligations or become insolvent or bankrupt, our ability to develop and commercialize one or more of the ZB Assets may be adversely affected. Any uncured, material breach by us under the Pfizer Agreement or the Lilly Licenses could result in our loss of exclusive rights to one or more of the ZB Assets and may lead to a complete termination of our product development efforts for one or more of the ZB Assets.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the ZB Assets, we must prioritize the pursuit of treatments for certain indications. We may expend our limited resources to pursue a particular indication and fail to capitalize on indications that may be more profitable or for which there is a greater likelihood of success.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intend to develop treatments for patients with serious immune system disorders. Due to financial or other constraints, we may be required to limit the scope of our development plans. In the event that we are required to limit our development plans for one or more of the ZB Assets, we may be unable to initiate clinical trials with the same scope that we otherwise intended to pursue, or the geographies in which we initiate such trials.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decisions concerning the allocation of research, development, collaboration, management, and financial resources toward particular indications may not lead to the development of any viable commercial product and may divert resources away from other opportunities (including other indications) that later prove to have greater commercial potential or a greater likelihood of success. Even if the primary endpoints of such trials are met for one or more of the ZB Assets, there is no guarantee that such findings will justify initiation of Phase 3 trials. Even if the ZB Assets successfully conclude Phase 3 and other necessary clinical trials, and thereafter receive(s) marketing approval, they may not achieve market acceptance or commercial success. If we do not accurately evaluate the commercial potential or target market for the ZB Assets, we may relinquish valuable rights through future collaboration, licensing, or other royalty arrangements in cases in which it would have been more advantageous for us to retain sole development and commercialization rights. We may make incorrect determinations regarding the viability or market potential of the ZB Assets or misread trends in our industry. Finally, our contractual obligations to make milestone payments to Pfizer and Lilly may impact our ability to fund the development of one or more of the ZB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 the future license additional assets, which may require us to expend additional resources and raise additional capital.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execute additional transactions to add to our pipeline. We have not yet entered into any agreements for any such in-licensing transactions. In the event that we do enter into any additional in-license agreements, it is likely that we will need to expend additional resources and raise additional capital. The ability to do so,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fund our needs.</w:t>
      </w:r>
    </w:p>
    <w:p>
      <w:pPr>
        <w:spacing w:after="0" w:line="183" w:lineRule="exact"/>
        <w:rPr>
          <w:sz w:val="20"/>
          <w:szCs w:val="20"/>
          <w:color w:val="auto"/>
        </w:rPr>
      </w:pPr>
    </w:p>
    <w:p>
      <w:pPr>
        <w:ind w:right="62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Risks Related to Anticipated Timing for Initiation, Enrollment, and Completion of Any Planned or Future Clinical Trials </w:t>
      </w:r>
      <w:r>
        <w:rPr>
          <w:rFonts w:ascii="Times New Roman" w:cs="Times New Roman" w:eastAsia="Times New Roman" w:hAnsi="Times New Roman"/>
          <w:sz w:val="18"/>
          <w:szCs w:val="18"/>
          <w:b w:val="1"/>
          <w:bCs w:val="1"/>
          <w:i w:val="1"/>
          <w:iCs w:val="1"/>
          <w:color w:val="auto"/>
        </w:rPr>
        <w:t>We may not be able to initiate clinical trials if drug product is not timely available at clinical trial sites.</w:t>
      </w: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initiate clinical trials if drug product is not timely available at clinical trial sites. We may not be able to initiate or continue clinical trials for our product candidates if we are unable to locate and enroll a sufficient number of eligible participants to participate in these trials to conclude as required by the FDA or foreign regulatory authorities. Additionally, certain</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clinical trials for our product candidates may be focused on indications with relatively small patient populations, which may further limit enrollment of eligible participants or may result in slower enrollment than we anticipate. The eligibility criteria of our clinical trials, once established, may further limit the pool of available trial participants.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Participant enrollment is a significant factor in the timing of clinical trials, and the timing of our clinical trials depends, in part, on the speed at which we can recruit participants. Participant enrollment and retention in clinical trials depends on many factors, including the size and nature of the patient population, the severity of the disease under investigation, the nature of the trial protocol, the existing body of safety and efficacy data for the product candidate, the number and nature of competing treatments and ongoing clinical trials of competing therapies for the same indication, the proximity of participants to clinical sites, the eligibility criteria for the trial, the ability to adequately monitor participants during a clinical trial, clinicians’ and participants’ perceptions as to the potential advantages of the product candidate being studied, and the risk that participants will drop out of a trial before completing all site visits. There are limited patient pools from which to draw in order to complete our clinical trials in a timely and cost-effective manner, particularly for any rare diseases we are pursuing.</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Furthermore, a number of factors could delay or prevent potential participants from participating in our clinical trials. For example, our efforts to build relationships with health care providers or patient communities may not succeed, which could result in delays in participant enrollment in our clinical trials. Delays or failures in planned participant enrollment or retention may result in increased costs, program delays or both, which could have a harmful effect on our ability to develop our product candidates, or could render further development impossible. In addition, natural disasters or public health epidemics may delay or prevent participants from enrolling or from receiving treatment in accordance with the protocol and the required timelines, which could delay our clinical trials, or prevent us or our partners from completing our clinical trials at all, and harm our ability to obtain approval. Further, if participants drop out of our clinical trials, miss scheduled doses or follow-up visits, or otherwise fail to follow clinical trial protocols, the integrity of data from our clinical trials may be compromised or not accepted by the FDA or other regulatory authorities, which would represent a significant setback for the applicable program. In addition, we may rely on CROs and clinical trial sites to ensure proper and timely conduct of our clinical trials and, while we intend to enter into agreements governing their services, we will be limited in our ability to compel their actual performance.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Clinical Development and Commercialization of Our Product Candidates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successfully completed the regulatory approval process for any product candidates and we may be unable to do so for any product candidates we develop.</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not yet demonstrated our ability to obtain regulatory approvals or arrange for a third party to do so on our behalf. If we are required to conduct additional preclinical studies or clinical trials of the ZB Assets beyond those that we currently contemplate, if we are unable to successfully complete preclinical studies or clinical trials of the ZB Assets, or if the corresponding results are not positive or are only modestly positive or if there are safety concerns, we may:</w:t>
      </w:r>
    </w:p>
    <w:p>
      <w:pPr>
        <w:spacing w:after="0" w:line="180" w:lineRule="exact"/>
        <w:rPr>
          <w:sz w:val="20"/>
          <w:szCs w:val="20"/>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regulatory approval from the FDA, EMA or other regulatory authorities for our product candidates;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regulatory approval at all and lose our right and ability under our license from Pfizer to further develop and commercialize the ZB Assets;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for indications or patient populations that are not as broad as intended or desired;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be subject to post-marketing testing requirements from the FDA, EMA or other regulatory authorities; or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regulatory approval.</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the ZB Assets, and our anticipated clinical trials of the ZB Assets may not be successful.</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successfully develop the ZB Assets for future marketing approval, and then successful commercialization.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2015, crebankitug was placed on clinical hold (an order issued by the United States FDA to the sponsor of an investigational new drug application to delay or to suspend a clinical investigation) due to concern regarding IL- 7Rα expression on certain cell types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within the lung and “insufficient information to address the potential risk that RN168 treatment poses to the respiratory system in humans.” The clinical hold was not the result of any adverse events or safety findings emerging from the ongoing clinical studies. Pfizer’s response to the clinical hold included conducting additional non-clinical experiments, a review of IL- 7Rα expression in the lung, and proposed pulmonary monitoring plans for future clinical trials, and a detailed assessment of adverse events in the clinical trials conducted to date. The clinical hold was lifted in 2016 with the following conditions/requirements: before enrolling children in studies with crebankitug, data should be submitted supporting that the potential benefits justify the potential risks. We have subsequently received FDA written responses in September 2023, to our pre-IND application, acknowledging that the completed non-clinical studies appear reasonable to support moving forward to a phase 2 study in alopecia areata.</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ZB Assets will require additional clinical development, evaluation of clinical, preclinical and manufacturing activities, marketing approval in multiple jurisdictions, substantial investment, and significant marketing efforts before we generate any revenues from product sales. We are not permitted to market or promote the ZB Assets before we receive marketing approval from the FDA, EMA and comparable foreign regulatory authorities, and we may never receive such marketing approvals.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success of the ZB Assets will depend on a variety of factors. We do not have complete control over many of these factors, including certain aspects of clinical development and the regulatory submission process, the manufacturing, marketing, distribution and sales efforts of any third parties with whom we choose to collaborate in the future. Accordingly, we cannot assure you that we will ever be able to generate revenue through the sale of the ZB Assets, even if approved. If we are not successful in commercializing the ZB Assets, or are significantly delayed in doing so, our business will be materially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If we experience delays or difficulties in the enrollment of patients in clinical trials, our successful completion of clinical trials, our receipt of marketing approvals could be delayed or prevented.</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the ZB Assets if we are unable to locate and enroll a sufficient number of eligible patients to participate in trials. Patient enrollment may be affected by various factors, including if our competitors have ongoing clinical trials for product candidates that are under development for the same indications as the ZB Assets, and patients instead enroll in such clinical trials. Our inability to enroll a sufficient number of patients would result in significant delays in completing clinical trials or receipt of marketing approvals and increased development costs or may require us to abandon one or more clinical trials altogether.</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studies and early clinical trials of the ZB Assets may not be predictive of the success of our later clinical trials, and the results of our clinical trials may not satisfy the requirements of the FDA, EMA, or other foreign regulatory authorities.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be required to demonstrate with substantial evidence through well-controlled clinical trials that the ZB Assets are safe and effective before we can seek marketing approval. Demonstrations of efficacy or an acceptable safety profile in prior preclinical studies of the ZB Assets do not mean that future clinical trials will yield the same results, and the translational work that we need to conduct may fail. For instance, we do not know whether the ZB Assets will perform in future preclinical studies or clinical trials as the ZB Assets have performed in preclinical studies and early clinical trials conducted by Pfizer and/or Lilly, as applicable.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ZB Assets may fail to demonstrate in later-stage clinical trials sufficient safety and efficacy to the satisfaction of the FDA, EMA, and other foreign regulatory authorities despite having progressed through preclinical studies and earlier stage clinical trials. Regulatory authorities may also limit the scope of later-stage trials until we have demonstrated satisfactory safety or efficacy results in preclinical studies or earlier-stage trials, which could prevent us from conducting the clinical trials we currently anticipate. There is no guarantee that the FDA, EMA, and other foreign regulatory authorities will consider the data obtained from prior trials sufficient to allow us to initiate clinical trials within the timelines we anticipate, or at all. Even if we are able to initiate our planned clinical trial on schedule, there is no guarantee that we will be able to complete such trial on the timelines we anticipate or that such trial will produce positive results. Any limitation on our ability to conduct clinical trials could delay or prevent regulatory approval or limit the size of the patient population that can be treated by the ZB Assets, if approved.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clinical trials may not be conducted as planned or completed on schedule, if at all, and a failure of one or more clinical trials can occur at any stage. The outcome of preclinical studies and early-stage clinical trials may not be predictive of the success of later clinical trials, and the outcome of preclinical studies and early-stage clinical trials for a product candidate for a particular indication may not be predictive of the success of preclinical studies and early-stage clinical trials for the same product candidate for a different</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indication. Unexpectedly favorable results for the standard of care in any Phase 2 or Phase 3 trial could lead to unfavorable comparisons to the ZB Assets.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cannot guarantee that any clinical trials will be initiated or conducted as planned or completed on schedule, if at all. We also cannot be sure that submission of an IND or similar application will result in the FDA, EMA, or other regulatory authority, as applicable, allowing clinical trials to begin in a timely manner, if at all. Moreover, even if these trials begin, issues may arise that could cause regulatory authorities to suspend or terminate such clinical trials. Events that may prevent successful or timely initiation or completion of clinical trials include: inability to generate timely or sufficient preclinical, toxicology or other in vivo or in vitro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institutional review board (“IRB”) approval at each clinical trial site; failure to requalify drug substance or drug product for use in clinical trials; failure to demonstrate comparability of drug substance or drug product for regulatory authorization; delays in manufacturing, testing, releasing, validating or importing/exporting sufficient stable quantities of the ZB Assets for use in clinical trials, or the inability to do any of the foregoing; failure by our CROs, other third parties or us to adhere to clinical trial protocols; failure to perform in accordance with the FDA’s or any other regulatory authority’s GCPs or applicable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 processes to larger-scale facilities operated by a contract manufacturing organization (“CMO”) and delays or failure by our CMOs or us to make any necessary changes to such manufacturing process; delays or failure in completing technology transfer for the ZB Assets; delays or failure in obtaining or releasing drug substance or drug product from licensors or third parties; licensors or third parties being unwilling or unable to perform quality control testing of drug substance or drug product; licensors or third parties being unwilling or unable to provide a right of reference to preclinical, manufacturing or clinical data for the ZB Assets; and licensors or third parties being unwilling or unable to satisfy their contractual obligations to us.</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EMA, or other regulatory authorities resulting in the imposition of a clinical hold, unforeseen safety issues or adverse side effects, failure to demonstrate a benefit from the ZB Assets, changes in governmental regulations or administrative actions or lack of adequate funding to continue the clinical trial. If we are required to conduct additional clinical trials or other testing of the ZB Assets beyond those that we currently contemplate, if we are unable to successfully complete clinical trials of the ZB Assets, if the results of these trials are not positive or are only moderately positive or if there are safety concerns, our business and results of operations may be adversely affected and we may incur significant additional costs.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interim data from our clinical trials that we announce or publish may change as more patient data become available and are subject to audit and verification procedures.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publicly disclose preliminary data from our preclinical studies and clinical trials, which are based on a preliminary analysis of then-available data, and the results and related findings and conclusions are subject to change following a more comprehensive review of the data. We might also make assumptions, estimations, calculations and conclusions as part of our analyses of these data without the opportunity to fully and carefully evaluate complete data. As a result, the preliminary results that we report may differ from future results of the same studies, or different conclusions or considerations may qualify such results, once additional data have been received and fully evaluated or subsequently made subject to audit and verification procedures.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are subject to the risk that one or more of the clinical outcomes may materially change as patient enrollment continues and more patient data become available or as patients from our clinical trials continue other treatments.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ZB Assets and our company in general. In addition, the information we choose to publicly disclose regarding a particular preclinical study or clinical trial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 based on what is typically extensive information, and you or others may not agree with what we determine is material or otherwise appropriate information to include in our disclosure. If the preliminary or interim data that we report differ from actual results, or if others, including regulatory authorities, disagree with the conclusions reached, our ability to obtain approval for, and commercialize, the ZB Assets may be harmed, which could harm our business, operating results, prospects or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develop the ZB Assets in combination with other therapies, which exposes us to additional risks related to other agents or active pharmaceutical or biological ingredients used in combination with our product candidates.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future, we may develop the ZB Assets to be used with one or more approved therapies. Even if any product candidate we develop were to receive marketing approval or be commercialized for use in combination with other existing therapies, we would continue to be subject to the risks that the FDA or other regulatory authorities could revoke approval of the therapy used in combination with our product candidates or that safety, efficacy, intellectual property, manufacturing or supply issues could arise with these existing therapies. This could result in our own products being removed from the market or being less successful commercially.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other regulatory authorities revoke their approval of these other therapies or revoke their approval of, or if safety, efficacy, manufacturing or supply issues arise with, the therapies we choose to evaluate in combination with any product candidate we develop, we may be unable to obtain approval.</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also evaluate our future product candidates in combination with one or more other therapies that have not yet been approved for marketing by the FDA or other regulatory authorities. We will not be able to market any product candidate we develop in combination with any such unapproved therapies that do not ultimately obtain marketing approval. In addition, unapproved therapies face the same risks described with respect to our product candidates, including the potential for serious adverse effects, delays in clinical trials and lack of FDA approval.</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ZB Assets may have a safety profile that could prevent regulatory approval, marketing approval or market acceptance, or limit commercial potential.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Patients in previous trials for the ZB Assets experienced adverse events. If the ZB Assets are associated with undesirable side effects or have unexpected characteristics in preclinical studies or clinical trials when used alone or in combination with other approved products or INDs, we may need to interrupt, delay or abandon development or limit development to more narrow uses or subpopulations in which such potential undesirable side effects or other characteristics may be less prevalent, less severe or more acceptable from a risk-benefit perspective. Treatment-related side effects could also affect patient recruitment or the ability of enrolled patients to complete the trials or result in potential product liability claims. Any of these occurrences may prevent us from achieving or maintaining market acceptance of the ZB Assets and may adversely affect our business, financial condition and prospects significantly.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if the ZB Assets receive marketing approval, we or others may later identify undesirable side effects or adverse events caused by the ZB Assets. In such cases, regulatory authorities may suspend, limit or withdraw approvals of or seek an injunction against their manufacture or distribution, require additional warnings on the label, including “boxed” warnings, or issue safety alerts, require press releases or other communications containing warnings or other safety information, require us to change the way the ZB Assets is administered or conduct additional clinical trials or post-approval studies, require us to create a risk evaluation and mitigation strategy (“REMS”) which could include a medication guide outlining the risks of such side effects for distribution to patients or impose fines, injunctions or criminal penalties. We could also be sued and held liable for harm caused to patients, and our reputation may suffer. Any of these events could prevent us from achieving or maintaining market acceptance of the ZB Assets, if approved, and could seriously harm our business.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ZB Assets are protein therapeutics and thus carry the risk of provoking immune responses. For example, the formation of anti-drug antibodies (“ADA”) were observed in the majority of patients who were dosed with crebankitug in a phase 1b trial in T1D mellitus, including 54.5% of patients who developed neutralizing ADA. Although these ADAs did not appear to affect drug concentrations based on visual inspection, there can be no assurance that ADAs will not develop in future studies that may reduce exposure or lead to adverse safety events. The development of ADA could also trigger hypersensitivity reactions that manifest as serious adverse events for the ZB Assets, including but not limited to anaphylaxis. If patients experience adverse events, including anaphylaxis, our trials could be delayed or stopped and our development programs may be halted entirely if this is observed during clinical development. Even if ADAs are not detected in early clinical trials, they may be detected after product launch and may significantly reduce the commercial potential or even result in the product being pulled from the market.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 or Their Actions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conduct, supervise, and monitor our preclinical studies and clinical trials, and if those third parties perform in an unsatisfactory manner, it may harm our business.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currently have the ability to independently conduct preclinical studies or clinical trials required to develop our product candidates. We intend to rely on CROs, clinical trial sites, and other third parties to ensure the proper and timely conduct of our preclinical studies and clinical trials, and we expect to have limited influence over their actual performance. We intend to rely upon CROs and others to monitor, manage, and report data for our clinical trials, which includes biostatistical analysis and programming. Our reliance on the CROs and others will not relieve us of our regulatory responsibilities.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our CROs, and other third parties we might engage will be required to comply with GLPs and GCPs, which are regulations and guidelines enforced by the FDA and comparable foreign regulatory authorities in the form of International Conference on Harmonization guidelines for any of our product candidates that are in preclinical and clinical development. The regulatory authorities enforce GCPs through periodic inspections of trial sponsors, principal investigators, and clinical trial sites. Although we will rely on CROs and others to conduct GCP-compliant clinical trials, we remain responsible for ensuring that each of our GLP preclinical studies and clinical trials is conducted in accordance with our investigational plan and protocol and applicable laws and regulations, and our reliance on the CROs and others does not relieve us of our regulatory responsibilities. If we, CROs and other third parties we engage fail to comply with GCPs, the clinical data generated in our clinical trials may be deemed unreliable and the FDA or comparable foreign regulatory authorities may require us to perform additional clinical trials for approval. Accordingly, if our CROs or others fail to comply with these regulations or fail to recruit a sufficient number of participants, we may be required to repeat clinical trials, which would delay the regulatory approval process.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will have agreements governing their activities, CROs and other third parties we engage will not be our employees, and we will not control whether or not they devote sufficient time and resources to our programs. These CROs and others may also have relationships with other commercial entities, including our competitors, for whom they may also be conducting clinical trials, or other product development activities which could harm our business. We face the risk of potential unauthorized disclosure or misappropriation of our intellectual property by CROs and others, which may reduce our trade secret protection and allow our potential competitors to access and exploit our proprietary technology. In addition, certain of our agreements with CROs or other third parties provide for monetary and other limitations on their liability.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product candidates.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our relationships with any CROs terminate, we may not be able to enter into arrangements with alternative CROs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an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product approval.</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do not have our own manufacturing capabilities and will rely on third parties to produce clinical and commercial supplies of our product candidates. Reliance on third parties increases the risk that we will not have sufficient quantities of our product candidates or such quantities at an acceptable cost.</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or limited experience in drug formulation or manufacturing as a company, and we do not own or operate, and we do not expect to own or operate, facilities for drug manufacturing, storage and distribution, or testing. We will be dependent on third parties to manufacture the clinical supplies of our product candidates.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Further, we also will rely on third-party manufacturers to supply us with sufficient quantities of our product candidates, to be used, if approved, for commercialization. We do not have long-term supply agreements or commitments with a manufacturer to produce raw materials, active pharmaceutical ingredients or the finished products of our product candidates or the associated packaging.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adverse macroeconomic or geopolitical developments such as a health epidemic or pandemic, or the ongoing conflicts in Ukraine and the Middle East, could impact our ability to procure sufficient supplies for the development of our products and product candidates.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reliance on third-party manufacturers entails various risks, some of which we would not be subject to if we manufactured product candidates ourselves, including:</w:t>
      </w:r>
    </w:p>
    <w:p>
      <w:pPr>
        <w:spacing w:after="0" w:line="162" w:lineRule="exact"/>
        <w:rPr>
          <w:sz w:val="20"/>
          <w:szCs w:val="20"/>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drug specifications and quality requirements consistently;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inability to procure or expand sufficient manufacturing capacity;</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related to scale-up of manufacturing;</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validation of new equipment and facilities required for scale-up;</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cGMP or similar foreign standards;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manufacturing agreements with third parties under commercially reasonable terms, if at all;</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single sources for drug components or finished drug product;</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qualified backup suppliers for components or finished drug product purchased from a sole or single source supplier;</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proprietary information, including our trade secrets and know-how;</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e.g., in the wrong dose amounts being supplied or study drug or placebo not being properly identified;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of our third-party manufacturers or suppliers being disrupted by conditions unrelated to our business or operations, including the bankruptcy of the manufacturer or supplier;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 disruptions or increased costs that are beyond our control.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is inherent risk, based on the complex relationships among the United States and the countries in which we conduct our business, that political, diplomatic and national security factors could lead to global trade restrictions and changes in trade policies and regulations that may adversely affect our business and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certain licensing rights from Pfizer for crebankitug that can be terminated in certain circumstances. If we breach the agreement, or if we are unable to satisfy our obligations under which we license rights to torudokimab from Pfizer, we could lose the ability to develop and commercialize crebankitug.</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party to a license agreement with Pfizer under which we were granted rights to certain patents, know-how and technology that are important and necessary to our business, including for crebankitug. Our rights to use these patents and employ the inventions claimed therein, as well as the exploitation of licensed technology and know-how, are subject to the continuation of, and our compliance with, the terms of our license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license agreement with Pfizer imposes upon us various diligence, payment and other obligations, including as described in the section entitled “</w:t>
      </w:r>
      <w:r>
        <w:rPr>
          <w:rFonts w:ascii="Times New Roman" w:cs="Times New Roman" w:eastAsia="Times New Roman" w:hAnsi="Times New Roman"/>
          <w:sz w:val="18"/>
          <w:szCs w:val="18"/>
          <w:i w:val="1"/>
          <w:iCs w:val="1"/>
          <w:color w:val="auto"/>
        </w:rPr>
        <w:t>Business — License Agreements — Pfizer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fail to comply with any of our obligations under the Pfizer Agreement, or we are subject to a bankruptcy or dissolution, Pfizer may have the right to terminate the license agreement, in which event we would not be able to market any crebankitug product.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heavily reliant upon the license from Pfizer to certain patent rights that are important or necessary to the development of crebankitug. Pfizer retains all rights not expressly granted by the license as well as retaining rights to make, have made, use and import crebankitug or any products containing crebankitug for all internal research, development and regulatory purposes, except that Pfizer does not have the right to conduct clinical trials to develop crebankitug or any products containing crebankitug.</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responsible for filing, prosecuting (including in connection with any reexaminations, oppositions and the like) and maintaining the licensed patent rights and to provide Pfizer a reasonable opportunity to review and comment on proposed submissions to any patent office and reasonably consider any comments provided by Pfizer. We must notify Pfizer prior to permitting any patent right to go abandoned. Pfizer may then choose at its option to continue prosecution or maintenance of said patent right and the license granted to us will become nonexclusive as to that right. The patents and patent applications licensed by Pfizer were not drafted by us or our attorneys, and we have not controlled or had any input into the prosecution of these patents and patent applications. We cannot be certain that drafting or prosecution of those patents and patent applications were conducted in compliance with applicable laws and regulations or will result in valid and enforceable patents.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Pfizer Agreement, we are required to prepare a development plan and use Commercially Reasonable Efforts (as that term is defined in the Pfizer Agreement) to develop and seek regulatory approval for crebankitug in several countries and then to commercialize each product where regulatory approval is obtained. If we fail to comply with the obligations under our license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agreement, or if we use the licensed intellectual property in an unauthorized manner, we may be required to pay damages and Pfizer may have the right to terminate the license. If our license agreement is terminated, we may not be able to develop, manufacture, market or sell the product candidate covered by our agreement and those being tested or approved in combination with such product. Such an occurrence could materially adversely affect the value of the product candidate being developed under any such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the Pfizer Agreement, we have the first right, but not the obligation, to enforce the licensed patents at our expense. Without Pfizer’s consent, we may not settle any such initiated litigation that would (i) adversely affect the validity, enforceability or scope of any of the licensed patent rights, (ii) give rise to liability of Pfizer or its Affiliates, (iii) admit non-infringement of any licensed patent rights, or (iv) otherwise impair Pfizer’s rights in any licensed technology or the license agreement. If we decide not to enforce the licensed patents, our licensor has the option to enforce them and may determine not to pursue litigation against other companies that are infringing these patents, or may pursue such litigation less aggressively than is desirable. Without protection for the intellectual property we license, other companies might be able to offer substantially identical products for sale, which could adversely affect our competitive business position and harm our business prospects.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certain licensing rights from Lilly for torudokimab that can be terminated in certain circumstances. If we breach the agreement, or if we are unable to satisfy our obligations under which we license rights to torudokimab from Lilly, we could lose the ability to develop and commercialize torudokimab.</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continue to develop and commercialize torudokimab is dependent on the use of certain intellectual property that is licensed to us from Lilly. The license sets forth certain terms and condition for maintaining the license. In the event that the terms and conditions are not met or we become insolvent or bankrupt, the license may be terminated and we will no longer be able to develop and commercialize torudokimab.</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Lilly-Z33 License Agreement imposes upon us various diligence, payment and other obligations, as described in the section entitled “</w:t>
      </w:r>
      <w:r>
        <w:rPr>
          <w:rFonts w:ascii="Times New Roman" w:cs="Times New Roman" w:eastAsia="Times New Roman" w:hAnsi="Times New Roman"/>
          <w:sz w:val="18"/>
          <w:szCs w:val="18"/>
          <w:i w:val="1"/>
          <w:iCs w:val="1"/>
          <w:color w:val="auto"/>
        </w:rPr>
        <w:t>Business — License Agreements — Lilly-Z33 License.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we fail to comply with any of our obligations under the Lilly-Z33 License, Lilly may have the right to terminate the license agreement, in which event we would not be able to market any torudokimab product.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there is any dispute with Lilly regarding our rights under the Lilly-Z33 License, including if we are unable to meet our milestone obligations or become insolvent or bankrupt, our ability to develop and commercialize torudokimab may be adversely affected. Any uncured, material breach by us under the Lilly-Z33 License could result in our loss of exclusive rights to torudokimab and may lead to a complete termination of our product development efforts for torudokimab.</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certain licensing rights from Lilly for tibulizumab that can be terminated in certain circumstances. If we breach the agreement, or if we are unable to satisfy our obligations under which we license rights to tibulizumab from Lilly, we could lose the ability to develop and commercialize tibulizumab.</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continue to develop and commercialize tibulizumab is dependent on the use of certain intellectual property that is licensed to us from Lilly. The license sets forth certain terms and conditions for maintaining the license. In the event that the terms and conditions are not met or we become insolvent or bankrupt, the license may be terminated and we will no longer be able to develop and commercialize tibulizumab.</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license agreement with Lilly for tibulizumab imposes upon us various diligence, payment and other obligations, as described in the section entitled “</w:t>
      </w:r>
      <w:r>
        <w:rPr>
          <w:rFonts w:ascii="Times New Roman" w:cs="Times New Roman" w:eastAsia="Times New Roman" w:hAnsi="Times New Roman"/>
          <w:sz w:val="18"/>
          <w:szCs w:val="18"/>
          <w:i w:val="1"/>
          <w:iCs w:val="1"/>
          <w:color w:val="auto"/>
        </w:rPr>
        <w:t>Business — License Agreements — Lilly-ZB17 License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fail to comply with any of our obligations under the Lilly-ZB17 License, Lilly may have the right to terminate the license agreement, in which event we would not be able to market any tibulizumab product.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there is any dispute with Lilly regarding our rights under the Lilly-ZB17 License, including if we are unable to meet our milestone obligations or become insolvent or bankrupt, our ability to develop and commercialize tibulizumab may be adversely affected. Any uncured, material breach by us under the Lilly-ZB17 License could result in our loss of exclusive rights to tibulizumab and may lead to a complete termination of our product development efforts for tibulizumab.</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disputes may impact our business and/or our ability to develop and commercialize the ZB Assets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Disputes may arise regarding intellectual property subject to, and any of our rights and obligations under, any license or other strategic agreement, including:</w:t>
      </w:r>
    </w:p>
    <w:p>
      <w:pPr>
        <w:spacing w:after="0" w:line="162" w:lineRule="exact"/>
        <w:rPr>
          <w:sz w:val="20"/>
          <w:szCs w:val="20"/>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misappropriate or violate the intellectual property of the licensor that is not subject to the license agreement;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to third parties under any such agreement or collaborative relationships;</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license intellectual property or technology to or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also would suffer if any current or future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misappropriating or otherwise violating the licensor’s rights.</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 addition, if we are unable to successfully obtain rights to required third-party intellectual property rights or maintain the existing intellectual property rights we have, we may have to seek alternative options, such as developing new product candidates with design-around technologies, which may require more time and investment, or abandon development of the relevant research programs or product candidates and our business, financial condition, results of operations and prospects could suffer.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protect our patents and other proprietary rights is uncertain, exposing us to the possible loss of competitive advantage.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for the ZB Assets and their uses, components, formulations, methods of manufacturing and methods of treatment, as well as our ability to operate without infringing on or violating the proprietary rights of others. We have licensed rights, including composition of matter patent families, related to the ZB Assets. Licensing assets from third parties involves technical and scientific due diligence to assess the opportunity, the strength of the intellectual property protection for the asset and the ability to commercialize the asset. This due diligence is usually conducted over a relatively short period of time. It can be difficult to identify all the issues relevant to the assessment. Failure to identify all the relevant issues can impact negatively on the value of the asset.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intellectual property strategy is, where appropriate, to file new patent applications on inventions, including improvements to existing products/ candidates and processes to improve our competitive edge or to improve business opportunities. We continually assess and refine our intellectual property strategy to ensure appropriate protection and rights are secured. Thus, we may be able to file patent applications in the United States and abroad related to our novel discoveries and technologies, for example new uses/methods of treatment, new formulations and improvements to manufacturing methods, that are important to our business, as opportunities arise.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Identifying and seeking patent protection is expensive and time consuming and we may not be able to file and prosecute all necessary or desirable patent applications at a reasonable cost, in a timely manner or in all jurisdictions where protection may be commercially advantageous, or we may financially not be able to protect our proprietary rights at all. Despite our efforts to protect our proprietary rights, unauthorized parties may be able to obtain and use information we regard as proprietary. Where possible, we seek to file for patent protection in commercial jurisdictions relevant to the product or technology; however, this is assessed on a case-by-case basis.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future patent applications may not result in patents being issued which protect our technology or product candidates or which do not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you that all of the potentially relevant prior art relating to our patents and patent applications has been found. If such prior art exists, it can invalidate a patent or prevent a patent application or certain patent claims from being issued.</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issuance of a patent does not ensure that it is valid or enforceable. Therefore, even if we are issued a patent, it may not be valid or enforceable against third parties. Issued patents may be challenged, narrowed, invalidated or circumvented. In addition, court decisions may introduce uncertainty in the enforceability or scope of patents owned by pharmaceutical and biotechnology companies. Thus, any of our patents, including patents that we may rely on to protect our market for approved products, may be held invalid or unenforceable by a court.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patent applications in the United States, Europe and many other jurisdictions are typically not published until 18 months after filing, and because publications of discoveries in scientific literature lag behind actual discoveries, we cannot be certain that we or our licensors were the first to make the inventions claimed in our issued patents or future patent applications, or that we or our licensors were the first to file for protection of the corresponding inventions. As a result, we may not be able to obtain or maintain protection for certain inventions. Such patent protection may be of insufficient scope to achieve our business objectives.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issuance of a patent does not necessarily give us the right to practice the patented invention. Third parties may have blocking patents that prevent marketing of our products or working our own technology. We endeavor to identify early third-party patents and patent applications which may be block a product or technology, to minimize this risk. However, relevant patents or patent applications may be overlooked or missed, which may in turn impact our ability to commercialize the ZB Assets.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 of a patent depends upon the laws of the country in which it is issued. In most jurisdictions, including the United States, Europe, China and Japan, the basic patent term is 20 years from the earliest filing date of a non-provisional patent application, subject to the payment of renewal fees. Some jurisdictions, including the United States, Europe and Japan, provide for up to an additional five years as a patent term extension for therapeutic products that require marketing approval. The requirements for this supplementary protection are set by the relevant authorities in the given jurisdiction. Products approved before the expiry of the basic patent term may benefit from such a patent term extension. It is our strategy to apply for such supplementary protection, where possible.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patent protection, statutory provisions in the United States, Europe and other jurisdictions may provide a period of clinical data exclusivity which may be followed by an additional period of market exclusivity to compensate for the time required for regulatory approval of our product candidates. Once the relevant criteria are satisfied, the protection applies. The length of protection depends on the jurisdiction and may also depend on the type of therapy.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Third parties may seek to market “similar” versions of our approved products, if any. Alternatively, third parties may seek approval to market their own products, similar or otherwise, that compete with our products. We may not be able to block the commercialization of these products, which may erode our commercial position in the marketplace.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and other rights that we have licensed, own in the future or co-own in the future prevent or impair our ability to maintain our licensing or exclusivity arrangements on acceptable terms, we may be unable to successfully develop and commercialize the affected product candidate.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geographical protection with respect to our licensed patents and may not be able to protect our intellectual property rights throughout the world.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protect our intellectual property rights throughout the world and the legal systems in certain countries may not favor enforcement or protection of patents, trade secrets and other intellectual property. Filing, prosecuting and defending patents worldwide can be prohibitively expensive and our intellectual property rights in some foreign jurisdictions may be less extensive than those in the United States.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For example, in the United States, if all maintenance fees are timely paid, the natural expiration of a patent is generally 20 years from its earliest U.S. non-provisional filing date. In Europe, the expiration of an invention patent is 20 years from its filing date. Certain U.S. patents have a longer patent term pursuant to patent term adjustment (35 U.S.C. §154(b)).</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competitors may operate in countries where we do not have patent protection and can freely use our technologies and discoveries. For example, we may lack patent protection or pending patent applications in manufacturing countries such as China, India, and Singapore.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Even if patents are granted, they may be difficult to enforce in certain countries, for example, in China. Many countries have compulsory licensing laws under which a patent owner may be compelled to grant licenses to third parties. If we or any of our licensors is forced to grant a license to third parties with respect to any patents relevant to our business, our competitive position may be impaired, and our business and financial condition may be adversely affected. Many countries also limit the enforceability of patents against government agencies or government contractors. In these countries, the patent owner may have limited remedies, which could materially diminish the value of such patent.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over the lifetime of a patent. In addition, the USPTO and other foreign patent agencies require compliance with a number of procedural, documentary, and other similar provisions during the patent application process. While an inadvertent failure to make payment of fees or to comply with such provisions can in many cases be cured by payment of a late fee or by other means in accordance with the applicable rules, there are situations in which such non-payment or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one or more of our product candidates could be found invalid or unenforceable.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Any issued patents that we may license or own covering the ZB Assets could be narrowed or found invalid or unenforceable if challenged in court or before administrative bodies in the United States or abroad, including the USPTO. We may be subject to claims challenging the inventorship, validity, or enforceability of our patents and/or other intellectual property. Finally, changes in U.S. patent law, or laws in other countries, could diminish the value of patents in general, thereby impairing our ability to protect the ZB Assets. Further, if we encounter delays in our clinical trials or delays in obtaining regulatory approval, the period of time during which we could market the ZB Assets under patent protection would be reduced. Thus, the patents that we own and license may not afford us any meaningful competitive advantage.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we or our licensors may be subject to a third-party pre-issuance submission of prior art to the USPTO or become involved in opposition, derivation, revocation, reexamination, inter partes review, post-grant review or interference proceedings. An adverse determination in any such submission, proceeding or litigation could reduce the scope of, or invalidate, our patent rights, allow third parties to commercialize our technology or the ZB Assets and compete directly with us, or result in our inability to manufacture or commercialize drugs without infringing third-party patent rights. If the breadth or strength of protection provided by our patents and</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patent applications is threatened, regardless of the outcome, it could dissuade companies from collaborating with us to license, develop or commercialize the ZB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or enforce trade secret protection for our product candidates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seeking patents, we may also rely on trade secrets, including unpatented know-how, technology and other proprietary information, to maintain our competitive position. Any disclosure, either intentional or unintentional, by our employees, the employees of third parties with whom we share our facilities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order to protect our proprietary technology and processes, we rely in part on confidentiality agreements with our collaborators, employees, consultants, outside scientific collaborators and sponsored researchers and other advisors. These agreements may not effectively prevent disclosure of confidential information and may not provide an adequate remedy in the event of unauthorized disclosure.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In addition, while we undertake efforts to protect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confidential information of our competitors or are in breach of non-competition or non-solicitation agreements with our competitors.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Class A Ordinary Shares.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Uncertainties resulting from the initiation and continuation of patent litigation or other intellectual property related proceedings could adversely affect our ability to compete in the marketplace.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not protect our competitive position with respect to the ZB Assets for an adequate amount of time.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life of a patent, and the protection it affords, is limited. Once patents covering the ZB Assets have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licensed and owned patent portfolio may not provide us with sufficient rights to exclude others from commercializing products similar or identical to ours.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in the United States under the Hatch-Waxman Act and in foreign countries under similar legislation, our business may be materially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However, a patent extension cannot extend the remaining term of a patent beyond a total of 14 years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the date of product approval, only one patent applicable to an approved drug may be extended and only those claims covering the approved drug or its use it may be extended. Similar provisions are available in Europe and certain other non-United States jurisdictions to extend the term of a patent that covers an approved drug.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and when the ZB Assets receive FDA approval, we expect to apply for patent term extension on patents covering those ZB Assets, there is no guarantee that the applicable authorities will agree with our assessment of whether such extension should be granted, and even if granted, the length of such extension.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It is possible that we will not obtain patent term extension for a U.S. patent covering one or more of the ZB Assets even where that patent is eligible for patent term extension, or if we obtain such an extension, it may be for a shorter period than we had sought.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requirements regarding the patents that may be submitted to the FDA for listing in the Licensed Biological Products with Reference Product Exclusivity and Biosimilarity or Interchangeability Evaluations (also known as the “Purple Book”), an online database that contains information about biological products approved by the FDA under the PHSA. We may be unable to obtain patents covering those ZB Assets that contain one or more claims that satisfy the requirements for listing in the Purple Book. Even if we submit a patent for listing in the Purple Book, the FDA may decline to list the patent, or a manufacturer of biosimilar or interchangeable drugs may challenge the listing. If the ZB Assets are approved and patents covering the ZB Assets are not listed in the Purple Book, a manufacturer of biosimilar or interchangeable drugs would not have to provide advance notice to us of any abbreviated new drug application filed with the FDA to obtain permission to sell a biosimilar or interchangeable version of either of the ZB Assets.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to patent laws in the United States and other jurisdictions could diminish the value of patents in general, thereby impairing our ability to protect the ZB Assets.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Changes in either the patent laws or interpretation of patent laws in the United States, including patent reform legislation such as the Leahy-Smith America Invents Act (the “Leahy-Smith Act”) could increase the uncertainties and costs surrounding the prosecution of our future owned and in-licensed patent applications and the maintenance, enforcement or defense of our owned and in-licensed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challenge the validity of a patent at USPTO-administered post-grant proceedings, including post-grant review, inter partes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patents, all of which could have a material adverse effect on our business, financial condition, results of operations and prospects.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altered the rights of patent owners in certain situations. This combination of events has created uncertainty with respect to the validity and enforceability of patents once obtained. Depending on future legislation by the U.S. Congress, decisions by the federal courts and the USPTO, the laws and regulations governing patents could change in unpredictable ways that could have a material adverse effect on our patent rights and our ability to protect, defend and enforce our patent rights in the future. For example, in the case Amgen v. Sanofi, the Supreme Court held broad functional antibody claims invalid for lack of enablement. Similarly, in the case Juno v. Kite, the Federal Circuit held genus claims directed to CAR-T cells invalid for lack of written description for failing to provide disclosure commensurate with the scope of the claims. While we do not believe that any of the patents licensed or owned by us will be found wholly invalid based on these decisions, we cannot predict how future decisions by the courts, Congress or the USPTO</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may impact the value of our patents. Similarly, changes in the patent laws of other jurisdictions could adversely affect our ability to obtain and effectively enforce our patent rights, which would have a material adverse effect on our business and financial condition.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Europe, a new unitary patent system came into effect on June 1, 2023. Under the unitary patent system, European patent applications and patents may be subjected to the jurisdiction of the Unified Patent Court (UPC). European applications will have the option, upon grant of a patent, of becoming a Unitary Patent which will be subject to the jurisdiction of the UPC. As the UPC is a new court system, there is no precedent for the court, increasing the uncertainty of any litigation.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the ZB Assets.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third-party patents, the scope of said patent claims or the expiration of relevant patents, are complete, accurate or thorough, nor can we be certain that we have identified each and every third-party patent and pending application in the United States and abroad that is relevant to or necessary for the commercialization of the ZB Assets. The scope of a patent claim is determined by an interpretation of the law, the written disclosure in a patent and the patent’s prosecution history. Our interpretation of the relevance or the scope of a patent or a pending application may be incorrect. Our determination of the expiration date of any patent that we consider relevant may be incorrect. Our failure to identify and correctly interpret relevant patents may negatively impact our ability to develop and market the ZB Assets.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patents or our pending applications, or that we were the first to invent the technology. Our competitors may have filed, and may in the future file, patent applications covering the ZB Assets or technology similar to ours. Any such patent application may have priority over our patent applications or patents, which could require us to obtain rights to patents covering such technologies.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generally enter into confidentiality and intellectual property assignment agreements with our employees, consultants, and contractors. These agreements generally provide that inventions conceived by the party in the course of rendering services to us will be our exclusive property. However, those agreements may not be honored and may not effectively assign intellectual property rights to us. Moreover, there may be some circumstances where we are unable to negotiate such ownership rights.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the ZB Assets or as a result of questions regarding co-ownership of potential joint inventions. Arbitration or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arbitration or litigation could result in substantial costs and be a distraction to management and other employees.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patent infringement claims or may need to file claims to protect our intellectual property, which could result in substantial costs and liability and prevent us from commercializing the ZB Assets.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the intellectual property landscape in the biotechnology industry is rapidly evolving and is interdisciplinary, it is difficult to conclusively assess our freedom to operate without infringing on or violating third-party rights. If a third party successfully brings a claim against us, we may be required to pay substantial damages, be forced to abandon the ZB Assets and/or seek a license from the patent holder. In addition, any intellectual property claims (e.g., patent infringement or trade secret theft) brought against us, whether or not successful, may cause us to incur significant legal expenses and divert the attention of our management and key personnel</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other business concerns. We cannot be certain that patents owned or licensed by us will not be challenged by others in the course of litigation. Some of our competitors may be able to sustain the costs of complex intellectual property litigation more effectively than we can. In addition, any uncertainties resulting from the initiation and continuation of any litigation could have a material adverse effect on our ability to raise funds at a particular market price.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we infringe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sufficient.</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we may be required to protect our patents through procedures created to challenge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if any of the ZB Assets is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a license.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 from Pfizer is subject to retained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Pfizer retains certain rights under its license agreement with us, including (a) the right to make, have made, use and import the underlying technology for all internal research, development and regulatory purposes; provided, that Pfizer shall not have the right to conduct clinical trials to develop the underlying technology in the treatment, diagnosis or prevention of diseases in humans, (b) the right to use the licensed patent rights and know-how for purposes other than those exclusively license to us under the Pfizer Agreement and</w:t>
      </w:r>
    </w:p>
    <w:p>
      <w:pPr>
        <w:spacing w:after="0" w:line="3" w:lineRule="exact"/>
        <w:rPr>
          <w:sz w:val="20"/>
          <w:szCs w:val="20"/>
          <w:color w:val="auto"/>
        </w:rPr>
      </w:pPr>
    </w:p>
    <w:p>
      <w:pPr>
        <w:jc w:val="both"/>
        <w:ind w:firstLine="8"/>
        <w:spacing w:after="0" w:line="255" w:lineRule="auto"/>
        <w:tabs>
          <w:tab w:leader="none" w:pos="2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that have been provided by Pfizer to (i) a reagent supplier to make or sell the underlying technology or (ii) a non-commercial entity to use the underlying technology, in each case in the form of non- cGMP samples of the underlying technology in milligram quantities solely as a research reagent.</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Pfizer may also use for any purpose information in non-tangible form which may be retained by persons who have had access to crebankitug and the licensed know-how, including ideas, concepts or techniques contained therein.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difficult to monitor whether Pfizer limits its use of the technology to these uses, and we could incur substantial expenses to enforce our rights to our licensed technology in the event of misuse.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licenses from Lilly are subject to retained rights.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Lilly retains certain rights under its license agreement with us, including the right to use the underlying technology for internal research, development and regulatory purposes. It is difficult to monitor whether Lilly limits its use of the technology to these uses, and we could incur substantial expenses to enforce our rights to our licensed technology in the event of misuse.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secure first-tier technologies when competing against other companies or investors.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future success may require that we acquire patent rights and know-how to new or complementary technologies. However, we compete with a substantial number of other companies that may also compete for technologies we desire. In addition, many venture capital firms and other institutional investors, as well as other biotechnology companies, invest in companies seeking to commercialize various types of emerging technologies. Many of these companies have greater financial, scientific and commercial resources than us. Therefore, we may not be able to secure the technologies we desire. Furthermore, should any commercial undertaking by us prove to be successful, there can be no assurance competitors with greater financial resources will not offer competitive products and/or technologies.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Numerous factors may limit any potential competitive advantage provided by our intellectual property rights.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whether licensed or owned,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factors that may limit any potential competitive advantage provided by our intellectual property rights include:</w:t>
      </w:r>
    </w:p>
    <w:p>
      <w:pPr>
        <w:spacing w:after="0" w:line="183" w:lineRule="exact"/>
        <w:rPr>
          <w:sz w:val="20"/>
          <w:szCs w:val="20"/>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that we may file or license may not lead to issued patents;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should they issue, that we own or license, may not provide us with any competitive advantages, or may be challenged and held invalid or unenforceable;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is not covered by the claims of any of our owned or in-licensed patents, should any such patents issue;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compete with us in jurisdictions where we do not pursue and obtain patent protection;</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might not have been the first to make the inventions covered by a pending patent application that we own or license;</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 might not have been the first to file patent applications covering a particular invention;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and/or maintain necessary licenses on reasonable terms or at all;</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the confidentiality of our trade secrets or other proprietary information;</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and results of operation.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candidates that are regulated as biologics may face competition from biosimilars or interchangeables approved through an abbreviated regulatory pathway.</w:t>
      </w:r>
    </w:p>
    <w:p>
      <w:pPr>
        <w:spacing w:after="0" w:line="11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BPCIA was enacted as part of the ACA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 12-year period of exclusivity, another company may still develop and receive approval of a competing biologic, so long as their BLA does not rely on the reference product, sponsor’s data or submit the application as a biosimilar application. Any new policies or processes adopted by the FDA could have a material adverse effect on the future commercial prospects for our biological products.</w:t>
      </w:r>
    </w:p>
    <w:p>
      <w:pPr>
        <w:spacing w:after="0" w:line="15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if any of the ZB Assets is approved in the United States as a biological product under a BLA it would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the extent to which a biosimilar, once approved, will be substituted for any one of the reference products in a way that is similar to traditional generic substitution for non-biological products will depend on a number of marketplace and regulatory factors that are still developing. The approval of a biosimilar or interchangeable of our product candidates could have a material adverse impact on our business due to increased competition and pricing pressure.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Legal Compliance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EMA, and other foreign regulatory authorities are complex, time-consuming and inherently unpredictable. If we are not able to obtain, or if there are delays in obtaining, required regulatory approvals for the ZB Assets, we may not be able to commercialize, or may be delayed in commercializing, the ZB Assets, and our ability to generate revenue will be materially impaired.</w:t>
      </w:r>
    </w:p>
    <w:p>
      <w:pPr>
        <w:spacing w:after="0" w:line="14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 process of obtaining regulatory approvals in the U.S., E.U. and other jurisdictions is complex, expensive and typically takes many years following commencement of clinical trials, if approval is obtained at all, and can vary substantially based upon a variety of factors, including the type, complexity and novelty of the product candidates involved. We cannot commercialize the ZB Assets without first obtaining regulatory approval from the FDA in the United States and comparable foreign regulatory authorities outside of the United States. Before obtaining regulatory approvals for the commercial sale of the ZB Assets, we must demonstrate through complex and expensive preclinical studies and clinical trials that the ZB Assets are both safe and effective for each targeted indication. Securing regulatory approval also requires the submission of information about the drug manufacturing process to, and inspection of manufacturing facilities by, the relevant regulatory authorities. Further, the ZB Assets may not be effective, may be only moderately effective or may prove to have undesirable or unintended side effects, toxicities or other characteristics that may preclude our obtaining marketing approval. The FDA, EMA, and comparable foreign regulatory authorities have discretion in the approval process and may refuse to accept any application or may decide that our data are insufficient for approval and require additional preclinical, clinical or other data. Any of the ZB Assets could be delayed in receiving, or fail to receive, regulatory approval for many reasons, including: the FDA, EMA, or comparable foreign regulatory authorities may disagree with the design or implementation of our clinical trials; we may be unable to demonstrate to the satisfaction of the FDA, EMA, or comparable foreign regulatory authorities that is the ZB Assets are safe and effective for their proposed indications; the results of clinical trials may not meet the level of statistical significance required by the FDA, EMA, or comparable foreign regulatory authorities for approval; serious and unexpected drug-related side effects may be experienced by participants in our clinical trials or by individuals using products similar to the ZB Assets; we may be unable to demonstrate that the clinical and other benefits of the ZB Assets outweigh their safety risks; the FDA, EMA or comparable foreign regulatory authorities may disagree with our interpretation of data from preclinical studies or clinical trials; the data collected from clinical trials of the ZB Assets may not be acceptable or sufficient to support the submission of a BLA or other submission or to obtain regulatory approval in the United States or elsewhere, and we may be required to conduct additional clinical trials; the FDA, EMA, or the applicable foreign regulatory authority may disagree regarding the formulation, labeling and/or the specifications of the ZB Assets; the FDA, EMA, or comparable foreign regulatory authorities may fail to approve the manufacturing processes or facilities of third-party manufacturers with which we contract for clinical or commercial supplies; and the approval policies or regulations of the FDA, EMA, or comparable foreign regulatory authorities may significantly change in a manner rendering our clinical data insufficient for approval. Further, the approval requirements for the ZB Assets are likely to vary by jurisdiction such that success in one jurisdiction is not necessarily predicative of success elsewhere.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Of the large number of products in development, only a small percentage successfully complete the FDA, EMA, or foreign regulatory approval processes and are commercialized. The lengthy approval process as well as the unpredictability of future clinical trial results may result in our failing to obtain regulatory approval to market the ZB Assets, which would significantly harm our business, results of operations and prospects.</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we were to obtain approval, regulatory authorities may approve the ZB Assets for fewer or more limited indications than we request, including failing to approve the most commercially promising indications, may grant approval contingent on the performance of costly post-marketing clinical trials, or may approve the ZB Assets with a label that does not include the labeling claims necessary or desirable for the successful commercialization of the ZB Assets. If we are not able to obtain, or if there are delays in obtaining, required regulatory approvals for the ZB Assets, we may not be able to commercialize, or may be delayed in commercializing, the ZB Assets and our ability to generate revenue could be materially impaired.</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extensive ongoing regulatory obligations and continued regulatory review, which may result in significant additional expense and we may be subject to penalties if we fail to comply with regulatory requirements or experience unanticipated problems with the ZB Assets.</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regulatory approvals that we may receive for the ZB Assets will require the submission of reports to regulatory authorities and surveillance to monitor the safety and efficacy of the ZB Assets, may contain significant limitations related to use restrictions for specified age groups, warnings, precautions or contraindications, and may include burdensome post-approval study or risk management requirements. In addition, if the FDA, EMA, or comparable foreign regulatory authorities approve the ZB Assets, the ZB Assets and the activities associated with their respective development and commercialization, including their design, testing, manufacture, safety, efficacy, recordkeeping, labeling, storage, approval, advertising, promotion, sale, distribution, import and export will be subject to comprehensive regulation by the FDA, EMA, and comparable foreign regulatory authorities. These requirements include submissions of safety and other post-marketing information and reports, registration, as well as ongoing compliance with current good manufacturing practices (“cGMPs”) and GCPs for any clinical trials that we conduct following approval. In addition, manufacturers of drug products and their facilities are subject to continual review and periodic, unannounced inspections by the FDA, EMA, and other regulatory authorities for compliance with cGMPs.</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or a regulatory authority discover previously unknown problems with the ZB Assets, such as adverse events of unanticipated severity or frequency, or problems with the facilities where the ZB Assets are manufactured, a regulatory authority may impose restrictions on the ZB Assets, the manufacturing facility or us, including requiring recall or withdrawal of the ZB Assets from the market or suspension of manufacturing,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herein may inhibit our ability to commercialize the ZB Assets and generate revenue and could require us to expend significant time and resources to respond and could generate negative publicity.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FDA’s, EMA’s and other regulatory comparable authorities’ policies may change and additional government regulations may be enacted that could prevent, limit, delay, increase the cost or risks of obtaining regulatory approval of our product candidates, including if as a result new or more costly or difficult to achieve clinical trial or manufacturing quality requirements are imposed.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7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unfavorable pricing regulations and/or third-party coverage and reimbursement policies, we may not be able to offer the ZB Assets at competitive prices which would seriously harm our business.</w:t>
      </w:r>
    </w:p>
    <w:p>
      <w:pPr>
        <w:spacing w:after="0" w:line="1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our product candidates in the United States, if approved, will depend, in part, on the extent to which such products will be covered by third-party payors, such as government health care programs, commercial insurance and managed healthcare organizations. These third-party payors are increasingly limiting coverage and/or reducing reimbursements for medical products and services. A third-party payor’s decision to provide coverage for a drug product does not imply that an adequate reimbursement rate will be approved. Further, one payor’s determination to provide coverage for a drug product does not ensure that other payors will also provide coverage for the drug product. Coverage policies and third-party payor reimbursement rates may change at any time.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revenue and results. Decreases in third-party payor reimbursement or a decision by a third-party payor to not cover any of our product candidates, if approved, could have a material adverse effect on our sales, results of operations and financial condition. If we are unable to obtain adequate levels of reimbursement, our ability to successfully market and sell any product candidates if approved will be harmed.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EMA and other regulatory agencies actively enforce the laws and regulations prohibiting the promotion of off-label uses.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one or more of the ZB Assets is approved and we are found to have improperly promoted off-label uses, we may become subject to significant liability. If we cannot successfully manage the promotion of the ZB Assets, if approved, we could become subject to significant liability, which would materially adversely affect our business and financial condition.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acting for or on our behalf may engage in misconduct or other improper activities. We have adopted a Code of Conduct applicable to all employees of the Company,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the ZB Assets, if approved. See the section titled “Business — Government Regulation” for a more detailed description of the laws that may affect our ability to operate.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Healthcare providers, physicians and third-party payors play a primary role in the recommendation and prescription of any product candidates for which we obtain regulatory approval. Our future arrangements with third-party payors may expose us to broadly applicable fraud and abuse and other healthcare laws and regulations that may constrain the business or financial arrangements and relationships through which we market, sell and distribute any product candidates for which we obtain regulatory approval.</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size of the potential market for the ZB Assets is difficult to estimate and, if any of our assumptions are inaccurate, the actual markets for our product candidates may be smaller than our estimates.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current and future target patient populations are based on our beliefs and estimates regarding the incidence or prevalence of certain types of the indications that may be addressable by the ZB Assets, which is derived from a variety of sources, including scientific literature and surveys of clinics. Our estimations may prove to be incorrect and the number of potential patients may turn out to be lower than expected. 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the success of competing therapies and product pricing and reimbursement. Even if we obtain significant market share for our product candidates, because the potential target populations could be small, we may never achieve profitability without obtaining regulatory approval for additional indications.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Certain current and future relationships with customers and third party payors as well as certain of our business operations may be subject, directly or indirectly, to federal and state healthcare fraud and abuse laws, false claims laws, health information privacy and information security laws and other privacy and information security laws. If we are unable to comply, or have not fully complied or are perceived to have not fully complied, with such laws, we could face significant penalties, including criminal sanctions, civil penalties, contractual damages, reputational harm and diminished profits and future earnings.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operations may be directly, or indirectly through our relationships with customers, third party payors, healthcare providers, and others subject to various federal and state fraud and abuse laws, including, without limitation, the federal Anti-Kickback Statute and the federal False Claims Act. These laws may impact, among other things, our proposed sales, marketing and education programs. The laws and regulations that may affect our ability to operate include, but may not be limited to:</w:t>
      </w:r>
    </w:p>
    <w:p>
      <w:pPr>
        <w:spacing w:after="0" w:line="180" w:lineRule="exact"/>
        <w:rPr>
          <w:sz w:val="20"/>
          <w:szCs w:val="20"/>
          <w:color w:val="auto"/>
        </w:rPr>
      </w:pPr>
    </w:p>
    <w:p>
      <w:pPr>
        <w:jc w:val="both"/>
        <w:ind w:left="1000" w:hanging="317"/>
        <w:spacing w:after="0" w:line="261"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receiving, offering or paying remuneration, directly or indirectly, to induce, or in return for, either the referral of an individual, or the purchase or recommendation of an item or service for which payment may be made under a federal healthcare program, such as the Medicare and Medicaid programs;</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civil False Claims Act, and civil monetary penalty laws, which prohibit, among other things, individuals or entities from knowingly presenting, or causing to be presented, claims for payment to the federal government, including Medicare or Medicaid, that are false or fraudulent;</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created additional federal criminal statutes that prohibit, among other things, executing a scheme to defraud any healthcare benefit program and making false statements relating to healthcare matters;</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which also imposes certain obligations, including mandatory contractual terms, with respect to safeguarding the privacy and security of individually identifiable health information of covered entities subject to the rule, such as health plans, healthcare clearinghouses and certain healthcare providers, as well as their business associates, independent contractors of a covered entity that perform certain services involving the use or disclosure of individually identifiable health information on their behalf and their subcontractors that use, disclose, access, or otherwise process individually identifiable health information, and their covered subcontractors;</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5"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("CMS") information related to payments or other transfers of value made to physicians (defined to include doctors, dentists, optometrists, podiatrists and chiropractors), other healthcare professionals (such as physician assistants and nurse practitioners), and teaching hospitals, and further requires applicable manufacturers and applicable group purchasing organizations to report annually to CMS ownership and investment interests held by physicians and their immediate family members; and</w:t>
      </w:r>
    </w:p>
    <w:p>
      <w:pPr>
        <w:spacing w:after="0" w:line="188" w:lineRule="exact"/>
        <w:rPr>
          <w:rFonts w:ascii="Times New Roman" w:cs="Times New Roman" w:eastAsia="Times New Roman" w:hAnsi="Times New Roman"/>
          <w:sz w:val="18"/>
          <w:szCs w:val="18"/>
          <w:color w:val="auto"/>
        </w:rPr>
      </w:pPr>
    </w:p>
    <w:p>
      <w:pPr>
        <w:jc w:val="both"/>
        <w:ind w:left="1000" w:hanging="317"/>
        <w:spacing w:after="0" w:line="254" w:lineRule="auto"/>
        <w:tabs>
          <w:tab w:leader="none" w:pos="10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 party payor, including commercial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state laws that require the reporting of information related to drug pricing; and state and local laws that require the registration of pharmaceutical sales representatives, many of which differ from each other in significant ways and may not have the same effect, thus complicating compliance efforts.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operations are found to be in violation (or perceived to be in violation) of any of the laws described above or any other governmental regulations that apply to us, we may be subject to penalties, including, without limitation, litigation, significant civil, criminal and administrative penalties, damages, fines, possible exclusion from Medicare, Medicaid and other government healthcare programs, disgorgement, imprisonment, additional reporting requirements and/or oversight if we become subject to a corporate integrity agreement or similar agreement to resolve allegations of non-compliance with these laws, contractual damages, reputational harm, diminished profits and future earnings, and curtailment or restructuring of our operations, any of which could adversely affect our ability to operate our business, including interrupting or stopping clinical trials, and our results of operations. Ensuring that our business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arrangements with third parties comply with applicable healthcare laws and regulations, including building out a compliance program, will likely be costly.</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Healthcare legislative and regulatory reform discourse and potential or enacted measures may have a material adverse impact on our business and results of operations and legislative or political discussions surrounding the desire for and implementation of pricing reforms may adversely impact our business.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healthcare systems that could prevent or delay marketing approval of product candidates, restrict or regulate post-approval activities, and affect our ability to profitably sell any product candidates for which we obtain marketing approval.</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In both the United States and certain foreign jurisdictions, there have been a number of legislative and regulatory changes that could impact our ability to sell our products profitably. In particular, in 2010, the Patient Protection and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9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There has been heightened governmental scrutiny recently over the manner in which drug manufacturers set prices for their marketed products, which have resulted in several U.S. presidential executive orders, Congressional inquiries, proposed and enacted federal and state legislation, and other regulatory actions designed to, among other things, bring more transparency to product pricing, review the relationship between pricing and manufacturer patient programs, reform government program reimbursement methodologies for drug products, and otherwise reduce drug prices. For example, the Inflation Reduction Act of 2022 (“IRA”), among other things, (1) extends enhanced subsidies for individuals purchasing health insurance coverage through plan year 2025 in the Patient Protection and ACA marketplaces, (2) eliminates the “donut hole” under the Medicare Part D program beginning in 2025 by significantly lowering the beneficiary maximum out-of-pocket cost and through a newly established manufacturer discount program, (3) directs HHS to negotiate the price of certain single-source drugs covered under Medicare that have been on the market for at least 7 years and (4) imposes rebates under Medicare Part B and Medicare Part D to penalize price increases that outpace inflation. These provisions began to take effect progressively in fiscal year 2023. On August 15, 2024, HHS announced the agreed-upon price of the first ten drugs that were subject to price negotiations, although the Medicare Drug Price Negotiation Program is currently subject to legal challenges. On January 17, 2025, HHS selected fifteen additional products covered under Part D for price negotiation in 2025. Each 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predict what healthcare reform initiatives may be adopted in the future, particularly in light of the recent change in administration. We expect that these and other healthcare reform measures that may be adopted may result in more rigorous coverage criteria and in additional downward pressure on the price that we receive for any approved product. Reform measures that result in decreased physician reimbursement may adversely affect our business.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Since its enactment, there have been numerous judicial, administrative, executive, and legislative challenges to certain aspects of the ACA. It is unclear how other healthcare reform measures of the current U.S. federal government administration or future administrations or other efforts, if any, to amend or challenge the ACA, will impact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have been judicial and Congressional challenges and amendments to certain aspects of the ACA. For example, on August 16, 2022, the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by creating a new manufacturer discount program. It is possible that the ACA will be subject to judicial or Congressional challenges in the future. It is unclear how such challenges and healthcare reform measures of the current U.S. federal government administration will impact the ACA.</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Infrastructure Investment and Jobs Act, will remain in effect until 2032 unless additional Congressional action is taken. Additionally, on March 11, 2021, the American Rescue Plan Act of 2021 was signed into law, which eliminates the statutory Medicaid drug rebate cap, previously set at 100% of a drug’s average manufacturer price, for single source and innovator multiple source drugs, effective January 1, 2024.</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and our external partners are subject to complex environmental, health and safety laws and regulations, including those governing laboratory procedures, the handling, use, storage, treatment and disposal of hazardous materials and wastes, and the rehabilitation of contaminated sites. Our operations, including those performed by our external partners, may involve the use of hazardous and flammable materials, including chemicals and biological and radioactive materials. In addition, we and/or our external partners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and regulations related to privacy, data protection, information security and consumer protection across different markets where we conduct our business. Our actual or perceived failure to comply with such obligations could harm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laws and regulations related to, among other things, privacy, data protection, information security and consumer protection across different markets where we conduct our business. Such laws and regulations are constantly evolving and changing and are likely to remain uncertain for the foreseeable future. Our actual or perceived failure to comply with such obligations could have an adverse effect on our business, operating results and financial operations. Complying with these numerous, complex, and often changing regulations is expensive and difficult, and failure to comply with any privacy laws or data security laws or any security incident or breach involving the potential or actual misappropriation, loss or other unauthorized processing, use or disclosure of sensitive or confidential patient, consumer or other personal information, whether by us, one of our collaborators or another third 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European data collection is also governed by restrictive regulations governing the use, processing and cross-border transfer of personal information. The collection, use, storage, disclosure, transfer, or other processing of personal data regarding individuals in Europe, including personal health data, is subject to the E.U. General Data Protection Regulation (“GDPR”) and similar requirements in the United Kingdom (“UK GDPR”) (hereinafter the GDPR and UK GDPR are collectively referred to as “GDPR”), which impose strict requirements for processing the personal data of individuals within the EEA, such as Norway, Iceland, Liechtenstein and the United Kingdom. The GDPR is directly applicable in each E.U. member state and is extended to the EEA, while the UK GDPR applies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 the United Kingdom of Great Britain and Northern Ireland.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implements more stringent operational requirements than its predecessor legislation.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For example, the GDPR applies extraterritorially, requires us to make more detailed disclosures to data subjects, requires disclosure of the legal basis on which we can process personal data, makes it harder for us to obtain valid consent for collecting and processing personal data (including data from clinical trials), requires the appointment of data protection officers, such as when sensitive personal data, such as health data, is processed on a large scale, provides more robust rights for data subjects, including far reaching information rights and the right to erasure, introduces mandatory data breach notification through the E.U., imposes additional obligations on us when contracting with service providers and requires us to adopt appropriate privacy governance, including policies, procedures, training, and data audit. The GDPR provides that E.U. member states and EEA countries may establish their own laws and regulations that go beyond the GDPR in certain areas, such as regarding the mandatory appointment of data protection officers or further limiting the processing of personal data, including genetic, biometric, or health data, which could limit our ability to use and share personal data or could cause our costs to increase. Among other requirements, the GDPR regulates transfers of personal data subject to the GDPR to third countries that have not been found to provide adequate protection to such personal data, including the United States.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In the ordinary course of business, we transfer personal data from Europe and other jurisdictions to the United States or other countries. Europe and other jurisdictions have enacted laws requiring data to be localized or limiting the transfer of personal data to other countries.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w:t>
      </w:r>
    </w:p>
    <w:p>
      <w:pPr>
        <w:spacing w:after="0" w:line="20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assure you that our third-party service providers with access to our or our customers’, suppliers’, trial patients’ and employees’ personally identifiable and other sensitive or confidential information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Employee Matters, and Managing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anticipate hiring additional key personnel. If we are not successful in attracting and retaining qualified personnel, including consultants, we may not be able to successfully implement our business strategy.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qualified managerial, scientific and medical personnel. We are dependent on our managerial, scientific and medical personnel, including our Chief Executive Officer, Chief Operating Officer, Chief Medical Officer, Chief Financial Officer and Chief Technology Officer. If we do not succeed in attracting and retaining qualified personnel,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 We have relied upon and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plan to continue to rely upon third parties, including consultants, to act in management roles for the Company. While we have agreements with such third parties, we do not have the same ability to influence their time commitment to the Company as we would if they were employees. Furthermore, we are dependent on our ability to attract, hire, relocate and retain qualified managerial, scientific and medical personnel from various jurisdictions. Therefore, immigration requirements may have a significant influence on our human resources planning. Immigration applications can take several months or more to be finalized. If we are unable to complete the requisite visa applications, either as a result of changing requirements or otherwise, our ability to successfully implement our business strategy could suffer, which could have a material adverse effect on our business, financial condition, results of operations and prospects.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including consultants, independent clinical investigators and CROs to conduct and sponsor some of the clinical trials of our product candidates. Any failure by a third party to meet its obligations with respect to the clinical development of our product candidates may delay or impair our ability to obtain regulatory approval for our product candidates.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academic partners, medical institutions, regulatory affairs consultants and third-party CROs, to conduct our preclinical studies and clinical trials, including in some instances sponsoring such clinical trials, and to engage with regulatory authorities and monitor and manage data for our ongoing preclinical and clinical programs. While we have, or will have, agreements governing the activities of such third parties, we will control only certain aspects of their activities and have limited influence over their actual performance.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contract research organization begins work. As a result, delays would likely occur, which could negatively impact our ability to meet our expected clinical development timelines and harm our business, financial condition and prospects.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remain responsible for ensuring that each of our preclinical studies and clinical trials is conducted in accordance with the applicable protocol and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the Competent Authorities of the Member States of the EEA and other regulatory authorities for all of our products in clinical development. Regulatory authorities enforce these GCP requirements through periodic inspections of trial sponsors, principal investigators and trial sites. If we fail to exercise adequate oversight over any of our academic partners or CROs or if we or any of our academic partners or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the clinical data generated in our clinical trials may be deemed unreliable and the FDA, the EMA or other regulatory authorities may require us to perform additional clinical trials before approving our marketing applications. We cannot assure you that upon a regulatory inspection of us, our academic partners or our CROs or other third parties performing services in connection with our clinical trials, such regulatory authority will determine that any of our clinical trials complies with GCP regulations. In addition, our clinical trials must be conducted with product produced under applicable cGMP regulations. Our failure to comply with these regulations may require us to repeat clinical trials, which would delay the regulatory approval process.</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marketing approvals for our product candidates. If that occurs, we will not be able to, or may be delayed in our efforts to, successfully commercialize our product candidates.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with respect to investigator-sponsored trials that may be conducted, we do not control the design or conduct of these trials, and it is possible that the FDA or EMA will not view these investigator- 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the ability to obtain a license to obtain access to use and reference the data, including for our own regulatory submissions, resulting from the investigator-sponsored trials. However, we do not have control over the timing and reporting of the data from investigator-sponsored trials, nor do we own the data from the investigator-sponsored trials. If we are unable to confirm or replicate the results from the investigator-sponsored trials or if negative results are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Additionally, the FDA or EMA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or EMA may require us to obtain and submit additional preclinical, manufacturing, or clinical data.</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and/or number of consultants as well as the scope of our operations, particularly in the areas of drug development, clinical operations, regulatory affairs and, potentially, others. To manage our anticipated future growth, we must continue to implement and develop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the third parties with whom we work (including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in an effort to protect systems that store our information, given their size and complexity and the increasing amounts of information maintained on our internal information technology systems and those of the third-parties with whom we work, such as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traditional computer “hackers,” threat actors, “hacktivists,” organized criminal threat actors, sophisticated nation states, and nation-state supported actors), which may compromise our system infrastructure or lead to the loss, destruction, alteration or dissemination of, or damage to, our data.</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Such cyber-attacks may include, but are not limited to, social-engineering attacks (including through deep fakes, which are increasingly more difficult to identify as fake, and phishing attacks), malicious code (such as viruses and worms), malware (including as a result of advanced persistent threat intrusions), denial-of-service attacks, credential stuffing attacks, credential harvesting, ransomware attacks, supply-chain attacks, software bugs, server malfunctions, software or hardware failures, loss of data or other information technology assets, adware, attacks enhanced or facilitated by AI, and other similar threats.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rely on third parties to operate critical business systems to process sensitive information in a variety of contexts.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with whom we work have not been compromised.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the ZB Assets could be delayed. . For example, we have been the target of unsuccessful phishing attempts in the past, and expect such attempts will continue in the future. A security incident or other interruption could disrupt our ability (and that of third parties with whom we work) to provide our services.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Further, 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the ZB Assets.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plan to utilize and depend upon independent investigators and collaborators, such as medical institutions, CROs, CDMOs and strategic partners, to conduct and support our preclinical studies and clinical trials under agreements with us.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regulations, which are regulations and guidelines enforced by the FDA and comparable foreign regulatory authorities for product candidates in clinical development. If we or any of these third parties fail to comply with applicable GCP regulations,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even if responsibilities have been outlined in agreements with external partners, such as CROs. In addition, our clinical trials must be conducted with product produced under cGMP regulations. Our failure to comply with these regulations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9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third parties conducting our clinical trials will not be our employees and, except for remedies available to us under our agreements with such third parties, we cannot control whether they devote sufficient time and resources to the ZB Assets.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the ZB Assets.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intend to rely on third parties to manufacture the ZB Assets. There can be no assurance that we will successfully negotiate future agreements with third-party manufacturers for the ZB Assets on acceptable terms or at all. Our business could be adversely affected if the third-party manufacturers are unable to produce the ZB Assets, fail to provide us with sufficient quantities of the ZB Assets or fail to do so at acceptable quality levels or prices.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currently own or operate any facility that may be used to manufacture the ZB Assets (including any drug substance or finished drug product) and must rely on CDMOs to produce them for us. We have not yet validated the commercial scale and may not be able to do so for the ZB Assets for approval. For tibulizumab, we do not currently own any cGMP compliant drug product and will not be able to conduct any clinical trials until we do. There can be no assurance that we will successfully negotiate agreements with CDMOs to manufacture future ZB Assets on acceptable terms or at all.</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not participated in the manufacturing process of, and are completely dependent on, our contract manufacturing partners for manufacture of the ZB Assets and for compliance with cGMP requirements and any other regulatory requirements of the FDA or other regulatory authorities for the manufacture of the ZB Assets. If our partners do not successfully carry out their contractual duties, meet expected deadlines, or manufacture the ZB Assets in accordance with regulatory requirements, or if there are disagreements between us and our CDMO, we will not be able to complete, or may be delayed in completing, the clinical trials required to support approval of the ZB Assets or the FDA, EMA or other regulatory agencies may refuse to accept our clinical or preclinical data. If the FDA, EMA, or a comparable foreign regulatory authority does not approve these facilities for the manufacture of the ZB Assets or if it withdraws any approval in the future, we may need to find alternative manufacturing facilities, which would require the incurrence of significant additional costs and materially and adversely affect our ability to develop, obtain regulatory approval for or market the ZB Assets, if approved. Similarly, our failure, or the failure of our CDMOs, to comply with applicable regulations could result in sanctions being imposed on us, including fines, injunctions, civil penalties, delays, suspension or withdrawal of approvals, license revocation, seizures or recalls of the ZB Assets, operating restrictions and criminal prosecutions, any of which could significantly and adversely affect supplies of the ZB Assets and harm our business and results of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Moreover, if any CDMO on which we will rely are unable to produce the ZB Assets at all, or fail to manufacture quantities of the ZB Assets at quality levels necessary to meet our clinical requirements, or regulatory requirements at a scale sufficient to meet anticipated demand, and at a cost that allows us to continue development and to achieve profitability, our business, financial condition and prospects could be materially and adversely affected. Our business could be similarly affected by business disruptions to our third-party providers with potential impacts on our future revenue and financial condition and our costs and expenses. If any CDMOs we contract with are unable to meet our timelines or cost and quantity demands, we may need to find additional CDMOs and negotiate new manufacturing agreements. We may also incur substantial fees if we contract with a CDMO to access a cell-line and may incur substantial fees if we ultimately decide not to use that cell-line or that CDMO for the manufacturing of the ZB Assets and need to obtain resources elsewhere. Each of these risks could delay or prevent the commencement as well as the completion of our clinical trials or the approval of the ZB Assets by the FDA, including by causing us to have to rerun clinical studies, which would result in higher costs and could adversely impact the commercialization of the ZB Assets.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some third party CDMOs have intellectual property, such as patents and/or know-how for which they require an annual fee, milestones and/or royalties. These financial obligations increase the overall cost of goods and can reduce profitability or reduce the valuation of the product. We have such agreements in place, and may need additional agreements in the future.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the ZB Assets and/or the Company more broadly. Any of these relationships may require us to increase our near and long-term expenditures, issue securities that dilute our existing shareholders or disrupt our management and business.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 Further, collaborations involving our product candidates are subject to numerous risks, which may include the following:</w:t>
      </w:r>
    </w:p>
    <w:p>
      <w:pPr>
        <w:spacing w:after="0" w:line="187" w:lineRule="exact"/>
        <w:rPr>
          <w:sz w:val="20"/>
          <w:szCs w:val="20"/>
          <w:color w:val="auto"/>
        </w:rPr>
      </w:pPr>
    </w:p>
    <w:p>
      <w:pPr>
        <w:ind w:left="1000" w:hanging="317"/>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179"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7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protect our intellectual property or proprietary information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7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17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 and</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1"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such intellectual property or may require a license from the collaborator for such intellectual property in order to commercialize the product candidate and/or discourage generic competition.</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Furthermore, if conflicts arise between our future corporate or academic collaborators or strategic partners and us, the other party may act in a manner adverse to us and could limit our ability to implement our strategies.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biotechnology and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and heightened scrutiny by the FDA, the SEC and other regulators. For example, patients may use social media channels to comment on their experience in an ongoing blinded clinical trial or to report an alleged adverse event. If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In addition, we may encounter attacks on social media regarding our company, management, product candidate or products. If any of these events were to occur or we otherwise fail to comply with applicable regulations, we could incur liability, face regulatory actions or incur other harm to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we could fail to recognize actual or potential conflicts arising from the relationship or arrangement that our directors or executive officers have with another company.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identify material weaknesses in our internal control over financial reporting in the future or fail to maintain an effective system of internal control over financial reporting, which may result in material misstatements of our consolidated financial statements or cause us to fail to meet periodic reporting obligations.</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 public company, we are required to comply with SEC rules that implement Section 404 of the Sarbanes-Oxley Act and make an ongoing, formal assessment of the effectiveness of our internal controls over financial reporting.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cannot assure you that the measures we have taken to date, and actions we may take in the future, will prevent or avoid control deficiencies that could lead to material weaknesses in our internal control over financial reporting in the future. Our current controls, and any new controls that we develop, may become inadequate because of changes in conditions in our business. Further, deficiencies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performed a formal evaluation of our internal control over financial reporting under the supervision and with the participation of management, including our principal executive officer and principal financial officer, as required by Section 404 of the Sarbanes-Oxley Act. We have not engaged an independent registered public accounting firm to perform an audit of our internal control over financial reporting as of any balance sheet date or for any period reported in our financial statements. We are required to evaluate and disclose changes made in our internal controls and procedures on a quarterly basis. Failure to comply with the Sarbanes-Oxley Act could potentially subject us to sanctions or investigations by the SEC, the applicable stock exchange or other regulatory authorities, which would require additional financial and management resources.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Zura and, as a result, the market price of our ordinary shares.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public company, we are required to comply with the requirements of the Sarbanes-Oxley Act of 2002, or the Sarbanes-Oxley Act, including, among other things, that we maintain effective disclosure controls and procedures and internal control over financial reporting. We continue to develop and refine our disclosure controls and other procedures that are designed to ensure that information we are required to disclose in the reports that we will file with the SEC are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have expended, and anticipate that we will continue to expend, significant resources, including dedicated to internal resources. We may also need to engage outside consultants and adopt a detailed work plan to assess and document the adequacy of our internal control over financial reporting. If any of these new or improved controls and systems do not perform as expected, we may experience material weaknesses in our controls. Moreover, our testing, or the subsequent testing by our independent registered public accounting firm, may reveal additional deficiencies in our internal control over financial reporting that are deemed to be material weaknesses.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ordinary shares. In addition, we could be subject to sanctions or investigations by the stock exchange on which our ordinary shares are listed, the SEC and other regulatory authorities.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Increasing regulatory focus on privacy and security issues and expanding laws and regulatory requirements could impact our business models and expose us to increased liability.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global data protection, privacy and security laws, regulations and codes of conduct that relate to our business activities, which may include sensitive, confidential, and personal information. These laws, regulations and codes are inconsistent across jurisdictions and are subject to evolving and differing (sometimes conflicting) interpretations. Government officials and regulators, privacy advocates and class action attorneys are increasingly scrutinizing how companies collect, process, use, store, share and transmit personal data. This scrutiny can result in new and shifting interpretations of existing laws, thereby further impacting our business. For example, the GDPR in the European Economic Area, and the United Kingdom continues to be interpreted by European and U.K. courts in novel ways leading to shifting requirements, country specific differences in application and uncertain enforcement priorities. Under the GDPR, companies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 recently enacted laws globally, and new and emerging state laws in the United States on privacy, data and related technologies, such as the California Consumer Privacy Act (“CCPA”), the California Privacy Rights Act, the Colorado Privacy Act and the Virginia Consumer Data Protection Act, as well as industry self-regulatory codes and regulatory requirements, create new privacy and security compliance obligations and expand the scope of potential liability, either jointly or severally with our customers and suppliers. For example,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security example, pursuant to the U.S. Securities and Exchange Commission’s Rules on Cybersecurity Risk Management, Strategy, Governance, and Incident Disclosure we are required to make certain disclosures related to material cybersecurity incidents and the reasonably likely impact of such an incident on Form 8-K and will be required to make certain other cybersecurity disclosures on Form 10-K. Determining whether a cybersecurity incident is notifiable or reportable may not be straightforward and any such mandatory disclosures could be costly and lead to negative publicity, loss of customer confidence in the effectiveness of our security measures, diversion of management’s attention and governmental investigations. We publish privacy policies and other statements, such as statements related to compliance with certain certifications or self-regulatory principles, concerning data privacy, and security.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we made certain investments in readiness to comply with applicable requirements, the dynamic and evolving nature of these laws, regulations and codes, as well as their interpretation by regulators and courts, may affect our ability to implement our business models effectively and to adequately address disclosure requirements. These laws, regulations and codes may also impact our innovation and business drivers and may force us to bear the burden of more obligations. Perception of our practices, products, services or solutions, even if unfounded, as a violation of individual privacy, data protection rights or cybersecurity requirements, subjects us to public criticism, lawsuits (including class-action claims), government enforcement actions (e.g., fines, penalties, audits, inspections, investigations, audits), additional reporting requirements and/or oversight, bans or restrictions on processing personal data (including clinical trial data), orders to destroy or not use personal data (including clinical trial data), claims and other proceedings by regulators, industry groups or other third parties, all of which could disrupt or adversely impact our business and reputation and expose us to increased liability, fines and other punitive measures including interruptions or stoppages in our business operations (including clinical trials), inability to process personal data in certain jurisdictions, prohibition on sales of our products, services or solutions, restrictive judicial orders and disgorgement of data.</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licensing or commercializing products before or more successfully than we do.</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Furthermore, pharmaceutical companies that develop and/or market products for the indications we are pursuing are likely to represent substantial competition. These include companies actively developing and/or marketing IL-7R inhibitors (such as Q32 Bio Inc. and OSE Immunotherapeutics SA); as well as TSLPR inhibitors (such as Upstream Bio, Inc.), IL-33 inhibitors (such as Regeneron/Sanofi and AstraZeneca), ST2 inhibitors (such as Roche/Genentech), IL-17A inhibitors (such as MoonLake, Novartis, and Acelryin), and BAFF inhibitors (such as GSK). The above mechanisms may be of potential therapeutic use in one or more of the indications we plan to pursue in the Phase 2 program. If the ZB Assets do not offer sustainable advantages over competing products, we may otherwise not be able to successfully compete against current and future competitors.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may or may obtain patent protection or other intellectual property rights that limit our ability to develop or commercialize the ZB Assets. Our competitors may also develop drugs that are more effective, more convenient, more widely used or less costly or have a better safety profile than the ZB Assets and these competitors may also be more successful than us in manufacturing and marketing their products.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Furthermore, we also face competition more broadly across the market for existing cost-effective and reimbursable treatments for T-cell and B-cell mediated diseases, autoimmune diseases, and inflammatory diseases. The ZB Assets, if approved, may compete with these existing drug and other therapies but may not be competitive with them in price. We expect that if the ZB Assets are approved, they will be priced at a significant premium over generic, including branded generic, products. As a result, obtaining market acceptance of, and gaining significant share of the market for the ZB Assets will pose challenges.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Public health crises such as pandemics or similar outbreaks have affected and could continue to seriously and adversely affect our preclinical studies and anticipated clinical trials,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pandemics, related “shelter in place” orders and other public health guidance measures, we may experience disruptions that could seriously harm our business. Potential disruptions include but are not limited to: delays or difficulties in enrolling patients in, initiating or expanding our clinical trials, including delays or difficulties with clinical site initiation and recruiting clinical site investigators and clinical site staff; increased rates of patients withdrawing from our clinical trials following enrollment as a result of contracting health conditions or being forced to quarantine; interruption of key clinical trial activities, such as clinical trial site data monitoring and efficacy, safety and translational data collection, processing and analyses, due to limitations on travel imposed; recommendations by federal, state or local governments, employers and others or interruptions of clinical trial subject visits, which may impact the collection and integrity of subject data and clinical trial endpoints; diversion of healthcare resources away from the conduct of clinical trials, including the diversion of hospitals serving as our clinical trial sites and hospital staff supporting the conduct of our</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clinical trials; delays or disruptions in preclinical experiments and IND-enabling studies due to restrictions of on-site staff and unforeseen circumstances at CROs and vendors; interruption or delays in the operations of the FDA, EMA, and comparable foreign regulatory authorities including delays in receiving approval from local regulatory authorities to initiate our planned clinical trials; interruption of, or delays in receiving, supplies of the ZB Assets due to staffing shortages, raw materials shortages, production slowdowns or stoppages and disruptions in delivery systems; and limitations on employee or other resources that would otherwise be focused on the conduct of our clinical trials and preclinical work, including because of sickness of employees or their families, the desire of employees to avoid travel or contact with large groups of people, an increased reliance on working from home, school closures or mass transit disruptions.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Pandemics and other public health guided measures may also affect the ability of the FDA, EMA, and other regulatory authorities to perform routine functions. If global health concerns prevent the FDA, EMA, or other regulatory authorities from conducting their regular inspections, reviews or other regulatory activities, it could significantly impact the ability of the FDA, EMA, or other regulatory authorities to timely review and process our regulatory submissions, which could have a material adverse effect on our business.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extent to which pandemics evolve may affect our clinical trials, business, financial condition and results of operations will depend on future developments, which are highly uncertain and cannot be predicted, such as the duration of the pandemic, new or continued travel restrictions and actions to contain the outbreak or treat its impact, such as social distancing and quarantines or lock-downs, business closures or business disruptions. Future developments in these and other areas present material uncertainty and risk with respect to our clinical trials, business, financial condition and results of operations.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Pandemics and other similar disruptions may also have the effect of heightening many of the other risks described in this “Risk Factors” section.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financial position, and clinical development plans and timelines could be materially adversely affected by international conflict.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financial position and operations may be materially and adversely affected by international conflicts, including military action (e.g., in Ukraine and Israel) and economic sanctions imposed by certain governments. These conflicts may impact our ability to carry out clinical development activities in certain countries or regions. As our ability to continue to operate will be dependent on raising debt and equity finance, any adverse impact to those markets as a result of international conflict, including due to increased market volatility, decreased availability in third-party financing and/or a deterioration in the terms on which it is available (if at all), could negatively impact our business, operations or financial position. The extent of any potential impact is not yet determinable, however.</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Third-party manufacturers in other countries may be subject to U.S. legislation or investigations, including the proposed BIOSECURE Act, sanctions, trade restrictions, and other foreign regulatory requirements, which could increase the cost or reduce the supply of material available to us, delay the procurement or supply of such material, delay or impact clinical trials, and could adversely affect our financial condition and business prospects. For example, the current U.S. federal government administration has recently proposed tariffs on certain U.S. imports, and China and other countries have responded with and/or threatened retaliatory tariffs on certain U.S. exports. We cannot predict what effects these tariffs and potential additional tariffs will have on our business, including in the context of escalating trade tensions. However, these tariffs and other trade restrictions could increase our operating costs, reduce our gross margins or otherwise negatively impact our financial results.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WuXi Biologics (WuXi, PRC) has historically been our sole supplier of torudokimab. We have moved our existing product from WuXi to the U.K. When we require additional product, we may find a new manufacturing facility for torudokimab. There is a risk that supplies of torudokimab may be significantly delayed by, or may become unavailable as a result of finding a new manufacturer or business-related issues affecting WuXi Biologics, including manufacturing, equipment, process or regulatory issues. If we continue to have product manufactured at WuXi Biologics, we may also face additional manufacturing and supply-chain risks due to the regulatory and political structure of the PRC, or as a result of the international relationship with the PRC, including but not limited to sanctions and tariffs imposed by the U.S. government on WuXi. Although currently there has been no impact on our ability to obtain supply of torudokimab, there can be no assurance that operations would not be impacted in the future with a negative impact on the supply of, or use of, torudokimab.</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securities may be volatile and may decline in the future.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Since the consummation of the Business Combination, the market value of our securities has fluctuated. Future fluctuations in the price of our securities could contribute to the loss of all or part of a shareholder’s investment. The market prices for securities of biotechnology and pharmaceutical companies have historically been highly volatile, and the market has from time to time experienced significant price and volume fluctuations that are unrelated to the operating performance of particular companies. If an active market for our securities continues, the market price of our ordinary shares may fluctuate significantly in response to numerous factors, some of which are beyond our control, such as:</w:t>
      </w:r>
    </w:p>
    <w:p>
      <w:pPr>
        <w:spacing w:after="0" w:line="187" w:lineRule="exact"/>
        <w:rPr>
          <w:sz w:val="20"/>
          <w:szCs w:val="20"/>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the ZB Assets, if approved;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and cost of our marketing commitments for the ZB Assets;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regarding results of any clinical trials relating to our product candidates;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the ZB Assets;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the ZB Assets, including but not limited to clinical trial requirements for approvals;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disputes or other developments relating to proprietary rights, including patents, litigation matters and our ability to obtain patent protection for the ZB Assets, government investigations and the results of any proceedings or lawsuits, including, but not limited to, patent or shareholder litigation;</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initiate a clinical trial or to terminate an existing clinical trial;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the introduction of new products by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and trends in the pharmaceutical and biotechnology sectors;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concerning product development results or intellectual property rights of others;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ordinary shares or other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any financial guidance or expectations regarding product development milestones that we may provide to the public;</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or exceed the estimates and projections of the investment community;</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and other factors that may be unrelated to our operating performance or the operating performance of our competitors, including changes in market valuations of similar companies;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securities analysts who might cover our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of the market values of any of our potential strategic investments;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debt or equity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contractual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Zura Class A Ordinary Shares by us or our shareholders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Zura Class A Ordinary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natural or man-made catastrophic events;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public health crises, pandemics and epidemics;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the equity markets in general have recently experienced extreme price and volume fluctuations. Continued market fluctuations could result in extreme volatility in the price of Zura Class A Ordinary Shares, which could cause a decline in the value of Zura Class A Ordinary Shares. Price volatility of Zura Class A Ordinary Shares might worsen if the trading volume of Zura Class A Ordinary Shares is low. In the past, shareholders have initiated class action lawsuits against pharmaceutical and biotechnology companies following periods of volatility in the market prices of these companies’ share. Such litigation, if instituted against Zura, could cause it to incur substantial costs and divert management’s attention and resources from our business. The realization of any of the above risks or any of a broad range of other risks, including those described in these “Risk Factors,” could have a dramatic and material adverse impact on the market price of Zura Class A Ordinary Shares.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paid cash dividends in the past and we do not expect to pay cash dividends in the foreseeable future. Any return on investment may be limited to the capital appreciation, if any, of Zura Class A Ordinary Shares.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paid cash dividends on our Class A Ordinary Shares and we do not anticipate paying cash dividends on our Class A Ordinary Shares in the foreseeable future. The payment of dividends on our shares will depend on our ability to comply with relevant legal requirements as well as our earnings, financial condition and other business and economic factors affecting us at such time as the Zura Board may consider relevant. Since we do not intend to pay dividends, a shareholder’s ability to receive a return on such shareholder’s investment will depend on any future appreciation in the market value of our Class A Ordinary Shares. There is no guarantee that Zura Class A Ordinary Shares will appreciate or even maintain the price at which our shareholders have purchased it.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and/or issuances of our securities could result in additional dilution of the percentage ownership of our existing shareholders and could cause our share price to fall.</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we or any of our existing shareholders sell our Class A Ordinary Shares, convertible securities or other equity securities, investors may be materially diluted by subsequent sales. Such sales may also result in material dilution to our existing shareholders, and new investors could gain rights, preferences, and privileges senior to existing holders of our securities. Sales of a substantial number of our Class A Ordinary Shares in the public market, including the resale of the Class A Ordinary Shares held by our shareholders, could occur at any time. These sales, or the perception in the market that the holders of a large number of Class A Ordinary Shares intend to sell shares, could reduce the market price of our Class A Ordinary Shares. Pursuant to our Amended and Restated Registration and Shareholder Rights Agreement, dated March 20, 2023, by and among us and the shareholders party thereto (the “A &amp; R Registration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Rights Agreement”), certain shareholders are entitled to have a registration statement kept effective for a prolonged period of time such that registered resales of their Class A Ordinary Shares can be made.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Pursuant to our obligations under the A&amp;R Registration Rights Agreement, we filed a resale shelf registration statement, which the SEC declared effective on September 14, 2023, as amended (the “Resale Registration Statement”), covering the resale of up to an aggregate of 21,248,364 Class A Ordinary Shares, 3,782,000 2023 Pre-Funded Warrants (as defined herein) and 3,782,000 Class A Ordinary Shares issuable upon the exercise of the 2023 Pre-Funded Warrants. Until such time that it is no longer effective, the Resale Registration Statement permits the resale of these shares for a significant period of time, the precise duration of which cannot be predicted. The resale, or expected or potential resale, of a substantial number of shares of our Class A Ordinary Shares in the public market could adversely affect the market price for our Class A Ordinary Shares and make it more difficult for you to sell your holdings at times and prices that you determine are appropriate. Accordingly, the adverse market and price pressures resulting from an offering pursuant to the registration statement may continue for an extended period of time.</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we currently have on file with the SEC a shelf registration statement on Form S-3 which allows us to offer and sell our ordinary shares, preference shares, debt securities, warrants and or units from time to time pursuant to one or more offerings at prices and terms to be determined at the time of sale. In September 2024, we entered into a Sales Agreement (the “Sales Agreement”) with Leerink Partners (“Leerink”), pursuant to which, from time to time, we may offer and sell through Leerink up to $125.0 million of Zura Class A Ordinary Shares registered under the shelf registration statement pursuant to one or more “at the market” offerings. From time to time, we have issued and sold Zura Class A Ordinary Shares pursuant to this agreement and as of the date of this filing, we have $114.0 million of Zura Class A Ordinary Shares remaining available for sale under the Sales Agreement. Sales of Zura Class A Ordinary Shares under the Sales Agreement with Leerink could be subject to business, economic or competitive uncertainties and contingencies, many of which may be beyond our control, and which could cause actual results from the sale of Zura Class A Ordinary Shares to differ materially from expectations.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extent additional capital is raised through the sale and issuance of shares or other securities convertible into shares, the ownership interest of our shareholders will be diluted. Future issuances of Zura Class A Ordinary Shares or other equity securities, or the perception that such sales may occur, could adversely affect the trading price of Zura Class A Ordinary Shares and impair our ability to raise capital through future offerings of shares or equity securities. No prediction can be made as to the effect, if any, that future sales of Zura Class A Ordinary Shares or the availability of Zura Class A Ordinary Shares for future sales will have on the trading price of our shares.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certain holders of our Class A Ordinary Shares sell a significant portion of their securities, it may negatively impact the market price of the shares of our Class A Ordinary Shares and such holders still may receive significant proceeds.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of the date of this Annual Report, the market price of our Class A Ordinary Shares is below $10.00 per share, which was the price per unit sold in the initial public offering of our predecessor, JATT, and the per-share price of the 2,009,950 JATT Class A Ordinary Shares it sold to certain investors in connection with our Business Combination in a private placement for an aggregate amount of $20,099,500 (the “PIPE Financing”). However, certain of our shareholders who hold shares of our Class A Ordinary Shares that were (i) originally purchased by JATT’s sponsor, JATT Ventures, L.P, in a private placement prior to JATT’s initial public offering at an effective purchase price of $0.007 per share (the “Founder Shares”) or (ii) originally issued by JATT in a private placement in connection with certain forward purchase agreement and backstop arrangement (the “FPA Shares”) between JATT and certain investors at an effective purchase price of $6.32, may nonetheless be inclined to sell such Founder Shares or FPA Shares as they were originally purchased at an effective price significantly less than $10.00 per share. The currently outstanding 3,450,000 Founder Shares were purchased at an effective price of $0.007 per share. Holders of the FPA Shares obtained (i) an aggregate of 3,000,000 Class A Ordinary Shares at a purchase price of $10.00 per share for $30,000,000; an aggregate of 1,301,633 Class A Ordinary Shares at purchase price of $10.00 per share for $13,016,330 as public share redemptions were greater than 90% at the time of the Business Combination (backstop redemption); and (iii) an additional 2,500,000 Class A Ordinary Shares at no additional cost in consideration for the holders entering into the latest amendment to the forward purchase agreements JATT and the holders entered into on August 5, 2021, as amended and restated on January 27, 2022 and as amended on March 8, 2023, resulting in an effective purchase price for the currently outstanding 6,801,633 FPA Shares of approximately $6.32 per share. Accordingly, holders of the Founder Shares and FPA Shares could sell their securities at a per-share price that is less than $10.00 and still realize a significant profit from the sale of those securities that could not be realized by our other shareholders. The public securityholders may not experience a similar rate of return on the securities they purchase due to differences in the purchase prices and the current trading price.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Founder Shares are currently subject to restrictions on transfer under applicable lock-up agreements; however, these restrictions are due to expire on March 20, 2025, resulting in these shares becoming eligible for public sale on March 21, 2025 pursuant to the Resale Registration Statement, if then in effect, or if they qualify for an exemption from registration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have and may continue to fluctuate significantly.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and possibly annual, fluctuations. Our net loss and other operating results will be affected by numerous factors, including:</w:t>
      </w:r>
    </w:p>
    <w:p>
      <w:pPr>
        <w:spacing w:after="0" w:line="162" w:lineRule="exact"/>
        <w:rPr>
          <w:sz w:val="20"/>
          <w:szCs w:val="20"/>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level of expenses related to our development programs;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termination of clinical trials;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intellectual property infringement lawsuit in which we may become involved;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the ZB Assets, regulatory approvals, and the level of underlying demand for such products and purchasing patterns; 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execution of any collaborative, licensing or similar arrangements, and the timing of payments we may make or receive under these arrangements.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ordinary shares could decline substantially. Furthermore, any quarterly or annual fluctuations in our operating results may, in turn, cause the price of our ordinary shares to fluctuate substantially.</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opinion regarding our share, our share price and trading volume could decline.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trading market for Zura Class A Ordinary Shares will be influenced by the research and reports that industry or securities analysts publish about us or our business. We do not currently have and may never obtain research coverage by securities and industry analysts. Since we became public through a merger, securities analysts of major brokerage firms may not provide coverage of us since there is no incentive to brokerage firms to recommend the purchase of our ordinary shares. If no or few securities or industry analysts commence coverage of us, the trading price for our shares would be negatively impacted. In the event we obtain securities or industry analyst coverage, if any of the analysts who cover it issues an adverse opinion regarding us, our business model, our intellectual property or our share performance, or if our clinical trials and operating results fail to meet the expectations of analysts, our share price would likely decline. If one or more of these analysts cease coverage of us or fail to publish reports on us regularly, we could lose visibility in the financial markets, which in turn could cause our share price or trading volume to decline.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it to relinquish rights to the ZB Assets.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additional equity securities to fund future expansion and pursuant to equity incentive or employee benefit plans. It may also issue additional equity for other purposes. These securities may have the same rights as Zura Class A Ordinary Shares or, alternatively, may have dividend, liquidation or other preferences to Zura Class A Ordinary Shares. The issuance of additional equity securities will dilute the holdings of existing shareholders and may reduce the share price of Zura Class A Ordinary Shares.</w:t>
      </w:r>
    </w:p>
    <w:p>
      <w:pPr>
        <w:spacing w:after="0" w:line="18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Pursuant to the EIP, which became effective the day prior to the Closing, we are authorized to grant equity awards to our employees, directors and consultants. In addition, pursuant to the 2023 Employee Stock Purchase Plan (“ESPP”), which became effective the day prior to the Closing, we are authorized to sell shares to our employees. As of December 31, 2024, a total of 9,594,213 and 4,029,898 Zura Class A Ordinary Shares have been reserved for future issuance under the EIP and the ESPP, respectively. In addition, the EIP and ESPP provide for annual automatic increases in the number of shares reserved thereunder on January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unless our board of directors, or the appropriate committee thereof, elects not to increase the number of shares underlying the EIP and ESPP each year. Accordingly, on January 1, 2025, the shares reserved for future issuances under each of the EIP and ESPP were increased by 3,264,877 shares. As a result of such annual increases, our shareholders may experience additional dilution, which could cause the price of Zura Class A Ordinary Shares to fall.</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we raise additional funds through collaboration, licensing or other similar arrangements, we may have to relinquish valuable rights to the ZB Assets, or grant licenses on terms unfavorable to us. If adequate funds are not available, our ability to achieve profitability or to respond to competitive pressures would be significantly limited and we may be required to delay, significantly curtail or eliminate the development of the product candidates.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Ordinary Shares.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requires management to make estimates and assumptions that affect the amounts reported in our financial statements and accompanying notes. We base our estimates on historical experience and on various other assumptions that it believes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Zura Class A Ordinary Shares.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the MAA and under Cayman Islands law could make an acquisition, which may be beneficial to our shareholders, more difficult and may prevent attempts by our shareholders to replace or remove our current management.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MAA and the Cayman Islands Companies Act contain provisions that could make it more difficult for a third party to acquire us, even if doing so might be beneficial to our shareholders. Among other things, these provisions:</w:t>
      </w:r>
    </w:p>
    <w:p>
      <w:pPr>
        <w:spacing w:after="0" w:line="162" w:lineRule="exact"/>
        <w:rPr>
          <w:sz w:val="20"/>
          <w:szCs w:val="20"/>
          <w:color w:val="auto"/>
        </w:rPr>
      </w:pPr>
    </w:p>
    <w:p>
      <w:pPr>
        <w:jc w:val="both"/>
        <w:ind w:left="680" w:hanging="321"/>
        <w:spacing w:after="0" w:line="26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Zura Board to authorize the issuance of preference shares, the terms of which may be established and the shares of which may be issued without shareholder approval, and which may include such preferred, deferred or other rights or restrictions, whether in regard to voting, dividends or other distributions, return of capital or other rights;</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(a) for cause by the vote of a majority of the other directors then in office or (b) by the affirmative vote of holders of at least two-thirds of the total voting power of all the then-outstanding Zura Class A Ordinary Shares entitled to vote thereon, voting together as a single class;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shareholder action by written resolution;</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extraordinary general meetings may only be called by or at the direction of (a) the Chairman of the Zura Board, the Zura Board or the Chief Executive Officer or (b) members holding not less than 10% in par value of the issued shares which as at the date of the requisition for a meeting carry the right to vote at general meetings;</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any alteration, amendment or repeal, in whole or in part, of any provision of the MAA by our shareholders will require the affirmative vote of the holders of at least two-thirds of the total voting power of all the then-outstanding shares of the Zura Class A Ordinary Shares entitled to vote thereon, voting together as a single class; and</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appointment of directors to the Zura Board and for proposing matters that can be acted upon by shareholders at general meetings.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These anti-takeover provisions and other provisions in the MAA and Cayman Islands law could make it more difficult for shareholders or potential acquirors to obtain control of the Zura Board or initiate actions that are opposed by our then-current board of directors and could also delay or impede a merger, tender offer or proxy contest involving us. The existence of these provisions could negatively affect the price of our Class A Ordinary Shares and limit opportunities for a shareholder to realize value in a corporate transaction. In addition, if prospective takeovers are not consummated for any reason, we may experience negative reactions from the financial markets, including negative impacts on the price of our Class A Ordinary Shares.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MAA designate the Cayman Islands as the exclusive forum for certain litigation that may be initiated by our shareholders and the federal district courts of the United States as the exclusive forum for litigation arising under the Securities Act, which could limit our shareholders’ ability to obtain a favorable judicial forum for disputes with us.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MAA, unless we contest in writing to the selection of an alternative forum, the Courts of the Cayman Islands and any appellate court therefrom, will, to the fullest extent permitted by law, be the sole and exclusive forum for any claim or dispute arising out of or in connection with the MAA or otherwise relating to each shareholder’s shareholding in Zura, including but not limited to (i) any derivative action or proceeding brought on our behalf; (ii) any action asserting a claim of breach of a fiduciary duty owed by any of our current or former directors, officers or other employees to us or our shareholders; (iii) any action asserting a claim arising pursuant to any provision of the Cayman Islands Companies Act, or the MAA; (iv) any action asserting a claim against us governed by the “internal affairs doctrine,” (as such concept is recognized under the laws of the United States of America);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for the avoidance of doubt, the foregoing forum selection provision will not apply to claims arising under the Securities Act, the Exchange Act or any other claim for which the federal district courts are, as a matter of the laws of the United States, the sole and exclusive forum for determination of such a claim.</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forum selection provisions in the MAA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it may incur additional costs associated with resolving such challenge. While we currently has no basis to expect any such challenge would be successful, if a court were to find its forum selection provisions to be inapplicable or unenforceable with respect to one or more of these specified types of actions or proceedings, we may incur additional costs associated with having to litigate in other jurisdictions, which could result in a diversion of the time and resources of our employees, management and Zura Board, and could have an adverse effect on our business, financial condition and results of operations.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it cannot be certain if the reduced reporting requirements applicable to emerging growth companies will make our securities less attractive to investors.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periodic reports and proxy statements and exemptions from the requirements of holding nonbinding advisory shareholder votes on executive compensation and shareholder approval of any golden parachute payments not previously approved. We cannot predict if investors will find our ordinary shares less attractive because we may rely on these exemptions. If some investors find Zura Class A Ordinary Shares less attractive as a result, there may be a less active trading market for Zura Class A Ordinary Shares and our share price may be more volatile.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closing of the IPO, (b) in which it has total annual gross revenue of at least $1.235 billion, or (c) in which it is deemed to be a large accelerated filer, which requires the market value of our ordinary shares that is held by non-affiliates to exceed $700 million as of the last business day of the second fiscal quarter of such year, and (2) the date on which we have issued more than $1 billion in non-convertible debt during the prior three-year period.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irrevocably elected not to avail itself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will continue to incur increased costs as a result of operating as a public company, and our management will devote substantial time to related compliance initiatives.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public company, we have and will continue to incur significant legal, accounting and other expenses that Legacy Zura did not incur as a private company, and these expenses may increase even more after it is no longer an “emerging growth company.” we are subject to the reporting requirements of the Exchange Act, the Sarbanes-Oxley Act, the Dodd-Frank Wall Street Reform and Consumer Protection Act (the “Dodd-Frank Act”), as well as rules and regulations adopted, and to be adopted, by the SEC and Nasdaq. Our management and other personnel will need to continue to devote a substantial amount of time to these compliance initiatives. Moreover, we expect these rules and regulations to substantially increase legal and financial compliance costs and to make some activities more time-consuming and costly, which will increase operating expenses. For example, we expect these rules and regulations to make it more difficult and more expensive to obtain directors’ and officers’ liability insurance and we may be required to incur substantial costs to maintain sufficient coverage. We cannot predict or estimate the amount or timing of additional costs it may incur to respond to these requirements. The impact of these requirements could also make it more difficult to attract and retain qualified persons to serve on the Zura Board, Zura Board committees or as executive officers. Advocacy efforts by shareholders and third parties may also prompt additional changes in governance and reporting requirements, which could further increase costs.</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addition, we are implementing an enterprise resource planning (“ERP”) system. The ERP system is intended to combine and streamline the management of our financial, accounting, human resources, sales and marketing and other functions, enabling it to manage operations and track performance more effectively. Any disruptions or difficulties in implementing or using the ERP system could adversely affect our controls and harm our business, financial condition and results of operations, including our ability to forecast and collect receivables. Moreover, such disruption or difficulties could result in unanticipated costs and diversion of management attention.</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to incur additional costs and obligations in order to comply with SEC rules that implement Section 404 of the Sarbanes-Oxley Act. Under these rules, we are required to make a formal assessment of the effectiveness of our internal control over financial reporting. To achieve compliance with Section 404 within the prescribed period, we are engaging in a process to document and evaluate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testing, our management may identify material weaknesses or deficiencies which may not be remedied in time to meet the deadline imposed by the Sarbanes-Oxley Act. See above for additional information regarding a previously identified material weakness. These reporting and other obligations place significant demands on our management and administrative and operational resources, including accounting resources.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there could be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failure to meet Nasdaq’s continued listing requirements could result in a delisting of ordinary shares.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continue to maintain the listing of our securities on Nasdaq, we are required to demonstrate ongoing compliance with Nasdaq’s continued listing requirements. If we fail to satisfy Nasdaq’s continued listing requirements, such as the minimum number of round-lot shareholders, the minimum dollar value of the public float, the total minimum capital, the corporate governance requirements or the minimum closing bid price requirement, Nasdaq may or take steps to delist Zura Class A Ordinary Shares. We cannot assure you that we will be able to meet all continued listing requirements.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of a delisting, we can provide no assurance that any action taken to restore compliance with listing requirements would allow our ordinary shares to become listed again, stabilize the market price or improve the liquidity of our ordinary shares, prevent our ordinary shares from dropping below the Nasdaq minimum bid price requirement or prevent future non-compliance with Nasdaq’s listing requirements.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we were a PFIC for U.S. federal income tax purposes for the taxable year ended December 31, 2024, which could result in adverse U.S. federal income tax consequences to U.S. Holders.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the Company is treated as a PFIC within the meaning of Section 1297 of the Code for any taxable year (or portion thereof) during which a U.S. Holder (as defined below) holds our Class A Ordinary Shares (regardless of whether the Company remains a PFIC for subsequent taxable years), certain adverse U.S. federal income tax consequences, such as taxation at the highest marginal ordinary income tax rates on capital gains and on certain actual or deemed distributions, and interest charges on certain taxes treated as deferred, may apply to such U.S. Holder and such U.S. Holder might be subject to additional reporting requirements. Under certain circumstances, certain elections may be available to U.S. Holders of Class A Ordinary Shares to mitigate some of the adverse tax consequences resulting from PFIC treatment.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the nature of our activities and the composition of our income and assets, we believe we were a PFIC for the taxable year ended December 31, 2024. Additionally, the Company may be a PFIC in the current taxable year or in any subsequent taxable year.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the total value of our assets for PFIC testing purposes may be determined in part by reference to the market price of our Class A Ordinary Shares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 offering. Accordingly, our U.S. counsel expresses no opinion with respect to our PFIC status.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were determined to be a PFIC, you may be unable to make certain advantageous elections with respect to your ownership of the Class A Ordinary Shares that could mitigate some of the adverse consequences of the Company’s PFIC status, or making such elections retroactively could have adverse tax consequences to you. The Company is not representing to you, and there can be no assurance, that the Company will or will not be treated as a PFIC for any past, current, or future taxable year. The Company has not sought and will not seek any rulings from the IRS or any opinion from any tax advisor as to such tax treatment. If we determine that we are a PFIC for any taxable year, upon written request by a U.S. Holder, we will endeavor to provide or make available to such U.S. Holder such information as the IRS may require to enable the U.S. Holder to make and maintain a “qualified electing fund” election, but there can be no assurance that we will timely provide such required information. U.S. Holders should consult with, and rely solely upon, their tax advisors to determine the application of the PFIC rules to them and any resultant tax consequences.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discussion, a “U.S. Holder” is a holder who, for U.S. federal income tax purposes, is a beneficial owner of our Class A Ordinary Shares and is (1) a citizen or individual resident of the United States; (2) a corporation, or other entity taxable as a corporation, created or organized in or under the laws of the United States, any state thereof or the District of Columbia; (3) an estate, the income of which is subject to U.S. federal income taxation regardless of its source; or (4) a trust that (a) is subject to the primary supervision of a U.S. court and the control of one or more “United States persons” (within the meaning of Section 7701(a)(30) of the Code) or (b) has a valid election in effect to be treated as a United States person for U.S. federal income tax purposes.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Class A Ordinary Shares, such holder may be subject to adverse U.S. federal income tax consequences.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a U.S. person is treated as owning (directly, indirectly or constructively) at least 10% of the value or voting power of our Class A Ordinary Shares, such U.S. person may be treated as a “United States shareholder” with respect to each “controlled foreign corporation” in our group (if any). We generally will be classified as a controlled foreign corporation if such United States shareholders own (directly, indirectly or constructively) more than 50% of the value or voting power of our Class A Ordinary Shares. Additionally, under certain “downward attribution” rules, because our group includes U.S. subsidiaries, our non-U.S. subsidiaries could be treated as controlled foreign corporations (regardless of whether we are treated as a controlled foreign corporation). A United States shareholder of a controlled foreign corporation may be required to report annually and include in its U.S. taxable income its pro rata share of “Subpart F income,” tested income for “global intangible low-taxed income” purposes and investments in U.S. property by controlled foreign corporations, regardless of whether we make any distributions. Subpart F income generally includes dividends, interest, rents, royalties, gains from the sale of securities and income from certain transactions with related parties, and “global intangible low-taxed income”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generally consists of net tested income of the controlled foreign corporation, other than Subpart F income and certain other types of income, in excess of certain thresholds, subject to certain adjustments. Failure to comply with these reporting obligations may subject you to significant monetary penalties and may prevent the statute of limitations from starting with respect to your U.S. federal income tax return for the year for which reporting was due. We cannot provide any assurances that we will assist holders in determining whether any of our non-U.S. subsidiaries is treated as a controlled foreign corporation or whether such holder is treated as a United States shareholder with respect to any of such controlled foreign corporations. Further, we cannot provide any assurances that we will furnish to any United States shareholders information that may be necessary to comply with the aforementioned reporting and tax payment obligations. U.S. holders of our Class A Ordinary Shares should consult their tax advisors regarding the potential application of these rules to their investment in our Class A Ordinary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jc w:val="center"/>
        <w:ind w:right="7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information technology (IT) department with the help of third-party service providers helps identify, assess and manage the Company’s cybersecurity threats and risks. Our IT department with the help of third-party service providers identifies and assesses the risks from cybersecurity threats by monitoring and evaluating our threat environment using various methods, including conducting scans of the threat environment, audits, and assessments. Our cybersecurity risk management processes have been designed to identify, assess, manage, mitigate, and respond to cybersecurity threats. This program will be integrated within the Company’s enterprise risk management system.</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Depending on the environment, systems, and data at issue, we implement and maintain various technical, physical, and organizational measures, processes, standards and policies designed to manage and mitigate material risks from cybersecurity threats to our information systems and data. For example, our cybersecurity risk management program is comprised of various components, such as:</w:t>
      </w:r>
    </w:p>
    <w:p>
      <w:pPr>
        <w:spacing w:after="0" w:line="180" w:lineRule="exact"/>
        <w:rPr>
          <w:sz w:val="20"/>
          <w:szCs w:val="20"/>
          <w:color w:val="auto"/>
        </w:rPr>
      </w:pPr>
    </w:p>
    <w:p>
      <w:pPr>
        <w:ind w:left="1000" w:hanging="317"/>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data backup, recovery and restoration procedures designed to ensure business continuity, as well as through certain IT controls, policies and infrastructure.</w:t>
      </w:r>
    </w:p>
    <w:p>
      <w:pPr>
        <w:spacing w:after="0" w:line="161"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network traffic and endpoints with Endpoint Detection and Response (EDR) tools, implementing a Security Operations Center (SOC) to detect &amp; respond to cybersecurity threats, and using encryption for certain data and Multi-Factor Authentication (MFA).</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periodic employee cybersecurity training to mitigate the risk of phishing and social engineering attacks.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risk assessment of protections to mitigate cybersecurity threats.</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 including for example, managed cybersecurity service providers, cybersecurity software providers, and dark web monitoring services.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contract research organizations and contract manufacturing organizations. We have a vendor management process to manage cybersecurity risks associate with our use of these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This process may include reviewing the vendor’s written security program and conducting security assessment calls with the vendor’s personnel.</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under Part 1. Item 1A. Risk Factors in this Annual Report on Form 10-K, including “Our internal computer systems, or those of any of the third parties with whom we work (including CROs, manufacturers, other contractors or consultants or potential future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and of mitigation of risks from cybersecurity threats.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including our Vice President of IT who stays informed about and oversees prevention, detection, mitigation, and remediation efforts through regular communication and reporting channels within our organization. The Chief Legal Officer oversees the information security function and receives regular updates about information security.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Vice President of IT is responsible for hiring appropriate personnel, helping to integrate cybersecurity risk considerations into the Company’s overall risk management strategy, and communicating key priorities to relevant personnel. Our Vice President of IT is also responsible for approving budgets, helping prepare for cybersecurity incidents, approving cybersecurity processes, and reviewing security assessments and other security-related reports.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cybersecurity incident processes are designed to escalate certain cybersecurity incidents to members of management depending on the circumstances, including our Chief Legal Officer. Our Chief Legal Officer works with the Vice President of IT to help the Company mitigate and remediate cybersecurity incidents of which they are notified. In addition, the Company’s incident response processes includes reporting to the Audit Committee of the board of directors for certain cybersecurity incidents. The Chief Legal Officer and Audit Committee oversees the IT department and receives periodic updates concerning the Company’s significant cybersecurity threats and risk and the processes the Company has implemented to address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own any real property. We currently lease executive offices at 1489 W. Warm Springs Rd., #110, Henderson, Nevada and 8-10 Hill Street, London, W1J 5NG. We consider our current office space adequate for our current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nor are we aware of any pending or threatened litigation. In the ordinary course of business, we may be subject to legal proceedings, claims, and litigation.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SHAREHOLDER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Class A Ordinary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Ordinary Shares are listed for trading on The Nasdaq Capital Market under the symbol “ZURA”.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there were approximately 27 shareholders of record of our ordinary shares. The actual number of shareholders is greater than this number of record holders and includes shareholders who are beneficial owners but whose shares are held in street name by brokers and other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shares. We do not intend to pay cash dividends to our shareholders in the foreseeable future. Investors should not purchase our Class A Ordinary Shares with the expectation of receiving cash dividends.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the Zura Board and will depend on our financial condition, operating results, capital requirements, general business conditions, and other factors that the Zura Board may deem relevant.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Persons</w:t>
      </w:r>
    </w:p>
    <w:p>
      <w:pPr>
        <w:spacing w:after="0" w:line="229" w:lineRule="exact"/>
        <w:rPr>
          <w:sz w:val="20"/>
          <w:szCs w:val="20"/>
          <w:color w:val="auto"/>
        </w:rPr>
      </w:pPr>
    </w:p>
    <w:p>
      <w:pPr>
        <w:jc w:val="center"/>
        <w:ind w:right="81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5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management believes is relevant to an assessment and understanding of our consolidated results of operations and financial condition. You should read the following discussion and analysis of our financial condition and results of operations in conjunction with our audited consolidated financial statements and notes thereto as of December 31, 2024, included elsewhere in this Annual Report.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discussion and analysis contains forward-looking statements. These forward-looking statements are subject to risks and uncertainties, including those discussed in the section titled “Risk Factors” in this Annual Report, that could cause actual results to differ materially from historical results or anticipated results. You should carefully read the information under “Cautionary Note Regarding Forward-Looking Statements” in this Annual Report. Unless the context otherwise requires, references in this “Management’s Discussion and Analysis of Financial Condition and Results of Operations” to “Zura,” “we,” “us,” and “our” refer to Zura Bio Limited, a Cayman Islands exempted company formerly known as JATT Acquisition Corp, and its consolidated subsidiaries. References to JATT Acquisition Corp or “JATT” refers to us prior to the consummation of the Business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clinical-stage, multi-asset immunology company dedicated to developing novel dual-pathway antibodies for a range of autoimmune and inflammatory diseases with unmet needs. Leveraging the extensive experience of our team, we identify relevant diseases and develop our differentiated assets in those diseases. Our strategic focus is to harness dual-pathway biology to provide broader and deeper clinical benefits to patients with autoimmune and inflammatory diseases.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currently developing one clinical-stage product candidate in ongoing Phase 2 trials while actively evaluating development opportunities for our pipeline of clinical-stage assets, focusing on indications with unmet needs and commercial potential.</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42424"/>
        </w:rPr>
        <w:t xml:space="preserve">We are currently developing tibulizumab (ZB-106), an immunoglobulin G (IgG)-single-chain variable fragment (scFv) bispecific dual-antagonist antibody engineered by the fusion of TALTZ® (ixekizumab) and tabalumab to neutralize interleukin-17A (IL-17A) and B-cell activating factor (BAFF). </w:t>
      </w:r>
      <w:r>
        <w:rPr>
          <w:rFonts w:ascii="Times New Roman" w:cs="Times New Roman" w:eastAsia="Times New Roman" w:hAnsi="Times New Roman"/>
          <w:sz w:val="18"/>
          <w:szCs w:val="18"/>
          <w:color w:val="000000"/>
        </w:rPr>
        <w:t>These cytokines play pivotal roles in various inflammatory and autoimmune disorders. By</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targeting IL-17A and BAFF, tibulizumab demonstrates potential in mitigating chronic inflammation while preserving the integrity of the immune system. Three Phase 1/1b clinical studies have been completed for tibulizumab, including studies involving participants with rheumatoid arthritis and Sjögren’s syndrome.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242424"/>
        </w:rPr>
        <w:t xml:space="preserve">In December 2024, we initiated TibuSURE, a global Phase 2 study evaluating tibulizumab in adults with systemic sclerosis (SSc). TibuSURE is a randomized, double-blind, placebo-controlled study designed to assess the safety, tolerability, and efficacy of tibulizumab in approximately 80 participants with early diffuse cutaneous systemic sclerosis (dcSSc). The study includes a 24-week efficacy period followed by a 28-week open-label extension (OLE). The primary endpoint is the modified Rodnan Skin Score (mRSS). Key efficacy endpoints include lung disease, assessed by </w:t>
      </w:r>
      <w:r>
        <w:rPr>
          <w:rFonts w:ascii="Times New Roman" w:cs="Times New Roman" w:eastAsia="Times New Roman" w:hAnsi="Times New Roman"/>
          <w:sz w:val="18"/>
          <w:szCs w:val="18"/>
          <w:color w:val="000000"/>
        </w:rPr>
        <w:t>quantitative high-resolution computed tomography (qHRCT) and forced vital</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capacity (FVC); physical function, measured by the Health Assessment Questionnaire-Disability Index (HAQ-DI); and the revised Combined Response Index in Systemic Sclerosis (rCRISS)</w:t>
      </w:r>
      <w:r>
        <w:rPr>
          <w:rFonts w:ascii="Times New Roman" w:cs="Times New Roman" w:eastAsia="Times New Roman" w:hAnsi="Times New Roman"/>
          <w:sz w:val="18"/>
          <w:szCs w:val="18"/>
          <w:color w:val="242424"/>
        </w:rPr>
        <w:t>. Topline data are expected to be available in the fourth quarter of 2026.</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242424"/>
        </w:rPr>
        <w:t>In September 2024, we engaged a third-party Contract Research Organization (“CRO”) to oversee and conduct the Phase 2 clinical program evaluating tibulizumab in hidradenitis suppurativa (HS). This study is expected to initiate in the second quarter of 2025.</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242424"/>
        </w:rPr>
        <w:t xml:space="preserve">Crebankitug </w:t>
      </w:r>
      <w:r>
        <w:rPr>
          <w:rFonts w:ascii="Times New Roman" w:cs="Times New Roman" w:eastAsia="Times New Roman" w:hAnsi="Times New Roman"/>
          <w:sz w:val="18"/>
          <w:szCs w:val="18"/>
          <w:color w:val="000000"/>
        </w:rPr>
        <w:t>(ZB-168) is a fully human, high affinity monoclonal antibody that binds and neutralizes the interleukin-7 receptor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(IL-7R) alpha chain. IL-7Rα sits at the nexus of two key immune pathways, IL-7 and thymic stromal lymphopoietin (TSLP), thus IL-7Rα has the potential to block activation through either of these pathways. As a result, we believe crebankitug could be therapeutically relevant in a broad set of indications where the IL-7 or TSLP pathways may be involved. Three Phase 1/1b clinical studies have been conducted to date. We are actively assessing the competitive landscape and evaluating potential therapeutic indications for crebankitug.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42424"/>
        </w:rPr>
        <w:t xml:space="preserve">Torudokimab </w:t>
      </w:r>
      <w:r>
        <w:rPr>
          <w:rFonts w:ascii="Times New Roman" w:cs="Times New Roman" w:eastAsia="Times New Roman" w:hAnsi="Times New Roman"/>
          <w:sz w:val="18"/>
          <w:szCs w:val="18"/>
          <w:color w:val="000000"/>
        </w:rPr>
        <w:t>(ZB-880) is a fully human, high affinity monoclonal antibody that neutralizes interleukin-33 (IL-33), preventing</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ST2-dependent and ST2-independent (e.g., RAGE) inflammation. The IL-33/ST2 axis stands as a validated therapeutic target for conditions such as chronic obstructive pulmonary disease (“COPD”) and asthma. Three Phase 1/2 clinical studies have been conducted to date. We are continuing to monitor external Phase 2 and Phase 3 IL-33/ST2 data releases from other companies related to asthma and COPD and are actively assessing the competitive landscape and evaluating potential therapeutic indications to guide our future development efforts for torudokimab.</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were incorporated as a Cayman Islands exempted company on March 10, 2021. Our wholly owned subsidiary, Zura Bio Limited (“Zura Bio UK”) was formed in the United Kingdom (“U.K.”), on January 18, 2022. Prior to March 20, 2023, our operations were conducted through Zura Bio UK.</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a limited operating history. Since our inception, our operations have focused on organizing and staffing our company, business planning, raising capital and entering into collaboration agreements for conducting manufacturing, and research and development activities. Our lead product candidates are in the clinical testing stage; however, prior to the initiation of TibuSURE in December 2024, we have not conducted any clinical tests ourselves, nor have any been conducted during the period since our inception. We do not have any product candidates approved for sale and have not generated any revenue from product sales. We have funded our operations through (i) the sale of equity, raising an aggregate of $10.0 million of gross proceeds from the sale of our convertible preferred shares of Zura Bio UK through March 31, 2023; (ii) the issuance of a promissory note, receiving net proceeds of $7.6 million in December 2022; (iii) proceeds from the Business Combination of $56.7 million in March 2023 (iv) the April 2023 Private Placement, raising an aggregate of $80.0 million of gross proceeds from the sale of Class A Ordinary Shares and 2023 Pre-Funded Warrants (as defined below) during the year ended December 31, 2023; (v) the April 2024 Private Placement, raising an aggregate of $112.5 million of gross proceeds from the sale of Class A Ordinary Shares and 2024 Pre-Funded Warrants (as defined below) in April 2024; (vi) the sale of 1,500,000 Class A Ordinary Shares at a price of $3.80 per share under the ATM (as defined below) for net proceeds of $5.5 million, after placement agent commissions, in September 2024; and (vii) the sale of 3,000,000 Class A Ordinary Shares at a price of $1.75 per share under the ATM for net proceeds of $5.1 million, after placement agent commissions, in the first quarter of 2025.</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 for the years ended December 31, 2024 and 2023 were $52.4 million and $60.4 million, respectively. As of December 31, 2024, we had an accumulated deficit of $155.9 million. We anticipate that our expenses will increase significantly in connection with our ongoing activities, as we:</w:t>
      </w:r>
    </w:p>
    <w:p>
      <w:pPr>
        <w:spacing w:after="0" w:line="176" w:lineRule="exact"/>
        <w:rPr>
          <w:sz w:val="20"/>
          <w:szCs w:val="20"/>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preclinical and clinical development of our product candidates;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planned preclinical studies and clinical trials for our product candidates, as well as initiate and complete additional trials of future potential product candidates;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our clinical and regulatory capabilities;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current good manufacturing practices, or cGMP, material for clinical trials or potential commercial sales;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regulatory, manufacturing, scientific and administrative personnel;</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commercialization infrastructure and scale up manufacturing and distribution capabilities to commercialize any product candidates for which we may obtain regulatory approval;</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our regulatory compliance efforts to incorporate requirements applicable to marketed products;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 and</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JATT Acquisition Corp (“JATT”) was a Cayman Islands exempted company initially incorporated under the laws of the Cayman Islands on March 10, 2021. On July 13, 2021, JATT completed its IPO. On March 20, 2023 (the “Closing Date”), we consummated the previously-announced transactions contemplated by that certain Business Combination Agreement, dated June 16, 2022, as amended on September 20, 2022, November 14, 2022 and January 13, 2023 by and among Zura Bio Limited, a limited company incorporated under the laws of England and Wales (“Zura Bio UK”), JATT, JATT Merger Sub, a Cayman Islands exempted company and wholly owned subsidiary of JATT (“Merger Sub”), JATT Merger Sub 2, a Cayman Islands exempted company and wholly owned subsidiary of JATT (“Merger Sub 2”) and Zura Bio Holdings Ltd, a Cayman Islands exempted company (“Holdco”), following the approval at an extraordinary general meeting of JATT’s shareholders held on March 16, 2023.</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the Business Combination Agreement, (a) before the closing of the Business Combination, Holdco was established as our new holding company and became a party to the Business Combination Agreement; and (b) on the closing date, in sequential order: (i) Merger Sub merged with and into Holdco, with Holdco continuing as the surviving company and a wholly owned subsidiary of JATT (the “Merger”); (ii) immediately following the Merger, Holdco merged with and into Merger Sub 2, with Merger Sub 2 continuing as the surviving company and a wholly owned subsidiary of JATT (the “Subsequent Merger”); and (iii) JATT, as the registrant changed its name to “Zura Bio Limited”.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and in accordance with, the terms and conditions of the Business Combination Agreement, at the Closing, (i) each JATT unit was (to the extent not previously separated) automatically separated and the holder thereof was deemed to hold one JATT Class A Ordinary Share and one-half of a JATT warrant; (ii) in consideration for the Merger, JATT issued to holders of Holdco’s issued and outstanding shares immediately prior to the Effective Time (as defined in the Business Combination Agreement) an aggregate of 14,558,067 JATT Class A Ordinary Shares (including 499,993 JATT Class A Ordinary Shares underlying restricted share units granted to Amit Munshi, our Non-Executive Chairman) plus 1,941,933 options to acquire JATT Class A Ordinary Shares for which outstanding options to acquire Holdco Class A Ordinary Shares were exchanged on Closing; and (iii) pursuant to the terms and conditions of JATT’s amended and restated memorandum and articles of association, all then-outstanding Class B Ordinary Shares, par value $0.0001 per share, were automatically converted into JATT Class A Ordinary Shares on a one-for-one basis.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the Closing Date, Ewon Comfortech Co., Ltd. (“Ewon”), an institutional accredited investor which is an indirect investor in us through its equity interest in Hana Immunotherapeutics LLC (“Hana”), purchased from JATT 2,000,000 JATT Class A Ordinary Shares and Eugene Investment &amp; Securities Co., Ltd (“Eugene”), an unaffiliated institutional credited investor, purchased from JATT 9,950 JATT Class A Ordinary Shares (Ewon, together with Eugene, the “PIPE Investors”), for an aggregate of 2,009,950 JATT Class A Ordinary Shares (the “PIPE Shares”) at a price of $10.00 per share, for an aggregate purchase price of $20,099,500 (the “PIPE Financing”), pursuant to the subscription agreement entered into by JATT and the Ewon as of June 16, 2022, as amended on November 25, 2022 (the “Ewon PIPE Subscription Agreement”) and the subscription agreement entered into by JATT and Eugene as of March 13, 2023 (the “Eugene PIPE Subscription Agreement” and, together with the Ewon PIPE Subscription Agreement, the “PIPE Subscription Agreements”).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the Closing of the Business Combination, Athanor Master Fund, LP and Athanor International Master Fund, LP (collectively, the “FPA Investors”), each of which is an unaffiliated institutional investor, purchased (i) an aggregate of 3,000,000 JATT Class A Ordinary Shares at $10 per share for $30,000,000; (ii) an aggregate of 1,301,633 JATT Class A Ordinary Shares at $10 per share for $13,016,330 (the “Redemption Backstop”) as public share redemptions were greater than 90% at the time of the Business Combination (the “Excess Redemptions”); and (iii) an additional 2,500,000 JATT Class A Ordinary Shares in consideration for the FPA Investors entering into the latest amendment, but for no additional monetary consideration, to the forward purchase agreements JATT and the FPA Investors entered into on August 5, 2021, as amended and restated on January 27, 2022 and as amended on March 8, 2023 (the “Forward Purchase Agreement”).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Business Combination, together with the PIPE financing, the Forward Purchase Agreement, and the Redemption Backstop, generated approximately $56.7 million in proceeds. On March 21, 2023, our Class A Ordinary Shares and public warrants began trading on the Nasdaq under the symbols “ZURA” and “ZURAW,” respectively. On August 27, 2024, the Public Warrants (as defined below) were no longer listed on the Nasdaq in connection with the completion of the Warrant Exchange (as defined below).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and ATM Program</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filed a shelf registration statement on Form S-3 (the “Shelf Registration Statement”), which was declared effective September 17, 2024. Pursuant to the Shelf Registration Statement, we may offer and sell ordinary shares, preference shares, debt securities, warrants and or units having an aggregate public offering price of up to $300.0 million. In connection with the filing of the Shelf Registration Statement, we also entered into a sales agreement (the “Sales Agreement”) with Leerink Partners LLC (“Leerink Partners”), relating to the sale of our Class A Ordinary Shares having an aggregate gross sales price of up to $125.0 million, from time to time through Leerink Partners, acting as sales agent (the “ATM”). We incurred $0.6 million of offering expenses in connection with establishing the ATM that reduced additional paid-in capital as of December 31, 2024. During the third quarter of 2024, we sold 1,500,000 Class A Ordinary Shares at a price of $3.80 per share under the ATM, for net proceeds of $5.5 million, after placement agent commissions. In the first quarter of 2025, we sold 3,000,000 Class A Ordinary Shares at a price of $1.75 per share under the ATM, for net proceeds of $5.1 million, after placement agent commissions. As of the date of this filing, we have $114.0 million of Class A Ordinary Shares remaining available for sale under the Sales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Exchange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12, 2024, we commenced an exchange offer (the “Exchange Offer”) and consent solicitation (the “Consent Solicitation”) relating to our outstanding warrants that we assumed in connection with the business combination, including (i) public warrants to purchase 5,910,000 Class A Ordinary Shares (the “Public Warrants”) that were held by JATT, and (ii) private placement warrants to purchase 6,899,996 Class A Ordinary Shares (the “Private Placement Warrants”) that were held by JATT shareholders (together with the Public Warrants, the “IPO warrants”). We offered to all holders of the IPO warrants the opportunity to receive 0.30 Class A ordinary shares in exchange for each outstanding IPO warrant tendered by the holder and exchanged pursuant to the Exchange Offer. Concurrently with the Exchange Offer, we also solicited consents from holders of the IPO warrants to amend that certain warrant agreement, dated as of July 16, 2021, by and between us and Continental Stock Transfer &amp; Trust Company (“CST”), as warrant agent (the “Warrant Agreement”) to permit the us to require that each IPO warrant outstanding upon the closing of the Exchange Offer be exchanged for 0.27 Class A ordinary shares, which is a ratio 10% less than the exchange ratio applicable to the Exchange Offer. Pursuant to the terms of the Warrant Agreement, all except certain specified modifications or amendments require the vote or written consent of holders of at least a majority of the outstanding public warrants and a majority of the outstanding private placement warrants.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12, 2024, we completed the Exchange Offer and Consent Solicitation and issued 3,235,184 Class A ordinary shares in exchange for 10,784,008 IPO warrants and entered into an amendment to the Warrant Agreement (the “Warrant Amendment”). Pursuant to the Warrant Amendment, we had the right to mandatorily exchange our remaining outstanding IPO warrants for Class A ordinary shares at an exchange ratio of 0.27 Class A ordinary shares for each IPO warrant. On August 27, 2024, we issued 547,006 Class A Ordinary Shares in exchange for the remaining 196,568 outstanding Public Warrants and 1,829,420 outstanding Private Placement Warrants. As a result, there were no outstanding IPO warrants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2024 Private Placement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18, 2024, we entered into subscription agreements (the “April 2024 Investor Agreements”) with certain institutional and other accredited investors (the “Investors”), whereby we issued 18,732,301 Class A Ordinary Shares, par value $0.0001 per share and pre-funded warrants (the “2024 Pre-Funded Warrants”) to purchase up to 16,102,348 Class A Ordinary Shares. Each Class A Ordinary Share was sold at a price of $3.108 per Class A Ordinary Share and each 2024 Pre-Funded Warrant was sold at a price of $3.107 per 2024 Pre-Funded Warrant for an aggregate purchase price of $108.3 million.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April 18, 2024, we also entered into subscription agreements (the “April 2024 Insider Agreements” and together with the April 2024 Investor Agreements, the “April 2024 Private Placement”) with certain of our officers, directors and affiliates (“Insiders” and together with the Investors, the “2024 Subscribers”), whereby we issued 1,357,827 Class A Ordinary Shares, par value $0.0001 per share sold a purchase price of $3.13 per Class A Ordinary Share for an aggregate purchase price of $4.2 million.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April 2024 Private Placement closed on April 22, 2024, from which we received gross proceeds of approximately $112.5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April 2023 Private Placement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26, 2023, we entered into its second PIPE subscription agreement (the “April 2023 Private Placement”) with certain accredited investors (the “Subscribers”), whereby we issued 15,041,530 Class A Ordinary Shares, par value $0.0001 per share and pre-funded warrants (the “2023 Pre-Funded Warrants” and, together with the 2024 Pre-Funded Warrants, the “Pre-Funded Warrants”) to purchase up to 3,782,000 Class A Ordinary Shares. Each Class A Ordinary Share was sold at a price of $4.25 per Class A Ordinary Share and each 2023 Pre-Funded Warrant was sold at a price of $4.249 per 2023 Pre-Funded Warrant for an aggregate purchase price of $80.0 million. We received net proceeds of approximately $75.8 million from the April 2023 Private Placement.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Concurrently with the April 2023 Private Placement, we agreed to, within six months of April 24, 2023, exercise its call option on 50% of the Z33 Series Seed Preferred Shares previously issued to Stone Peach. We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 We and Stone Peach subsequently renegotiated the settlement terms as discussed in the “—</w:t>
      </w:r>
      <w:r>
        <w:rPr>
          <w:rFonts w:ascii="Times New Roman" w:cs="Times New Roman" w:eastAsia="Times New Roman" w:hAnsi="Times New Roman"/>
          <w:sz w:val="18"/>
          <w:szCs w:val="18"/>
          <w:i w:val="1"/>
          <w:iCs w:val="1"/>
          <w:color w:val="auto"/>
        </w:rPr>
        <w:t>2022 Lilly License”</w:t>
      </w:r>
      <w:r>
        <w:rPr>
          <w:rFonts w:ascii="Times New Roman" w:cs="Times New Roman" w:eastAsia="Times New Roman" w:hAnsi="Times New Roman"/>
          <w:sz w:val="18"/>
          <w:szCs w:val="18"/>
          <w:color w:val="auto"/>
        </w:rPr>
        <w:t xml:space="preserve"> section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Lilly License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26, 2023, our consolidated subsidiary ZB17 LLC (“ZB17”) entered into a license agreement (the “2023 Lilly License” and, together with the 2022 Lilly License (as defined below), the “Lilly Licenses”) with Lilly, for an exclusive license to develop, manufacture and commercialize a certain bispecific antibody relating to IL-17 and BAFF (“tibulizumab”) in exchange for an upfront payment consisting of $5.8 million as well as 1,000,000 Class A Ordinary Shares issued at a fair value of $7.84 per Class A Ordinary Share. During 2024, ZB17 made an additional payment of $5.0 million to Lilly, in connection with the receipt of certain know-how, data, information and materials that Lilly is required to provide under the license agreement.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acquisition was accounted for as an asset acquisition, as substantially all of the fair value of the assets acquired is concentrated in a group of similar identifiable IPR&amp;D assets. On the acquisition date, the compound licensed had not yet received regulatory approval and the in-process research and development did not have an alternative use. Accordingly, we recorded the entire cost of the 2023 Lilly License as a component of research and development in the consolidated statement of operations during the year ended December 31, 2023.</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ZB17 granted Stone Peach the right, but not the obligation, to purchase 4.99% of the fully diluted equity of ZB17 for $1.0 million (the “Stone Peach Call Right”). The Stone Peach Call Right is not exercisable until after the last patient is dosed in any single next clinical trial with tibulizumab and expires one year from the date of first indication approval for tibulizumab by the United States Food and Drug Administration (“FDA”) or the European Medicines Agency (“EMA”). We recognized the Stone Peach Call Right at a grant-date fair value of $1.5 million as a component of research and development in the consolidated statement of operations during the year ended December 31, 2023. The Stone Peach Call Right represents noncontrolling interest in our consolidated subsidiary, ZB17. As of December 31, 2024 and 2023, the noncontrolling interest balance was $1.5 million in the consolidated balance sheets.</w:t>
      </w:r>
    </w:p>
    <w:p>
      <w:pPr>
        <w:spacing w:after="0" w:line="219"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As additional consideration, beginning on May 1, 2023, Stone Peach receives an annual payment of $0.6 million initially, and increasing by 10% annually, so long as we maintain our license for tibulizumab, to be paid on May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For the years ended December 31, 2024 and 2023, we recorded $0.7 million and $0.6 million, respectively, in research and development in the consolidated statement of operations for the annual payments.</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a one-time payment of $4.5 million for additional consideration due to Stone Peach upon approval from the FDA for our Investigational New Drug (“IND”) and commencement of our clinical trial for tibulizumab in research and development in the consolidated statement of operations for the years ended December 31, 2024 and in accounts payable and accrued expenses as of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7"/>
          <w:szCs w:val="17"/>
          <w:color w:val="auto"/>
        </w:rPr>
        <w:t>As a finder’s fee for arranging the acquisition of the 2023 Lilly License, we agreed to make a one-time milestone payment of $5.0 million to BAFFX17, Ltd (“BAFFX17”) upon the occurrence of either: (i) a change of control transaction, (ii) the closing of an issuance of equity or equity-linked securities by us of at least $100.0 million (iii) the consummation of a sale of assets resulting in net proceeds in excess of $100.0 million, or (iv) our fully diluted shares outstanding exceed 52,500,000 shares (on a split adjusted basis), as measured on April 24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of each year. As our fully diluted shares outstanding exceeded 52,500,000 shares prior to December 31, 2023, the $5.0 million fee was recorded in research and development in the consolidated statement of operations for the year ended December 31, 2023, and is included in accounts payable and accrued expenses in the consolidated balance sheets as of December 31, 2024 and 2023.</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consideration paid and/or earned in 2024 and 2023, we are also obligated to make payments (a) to Lilly for four (4) development milestone payments up to an aggregate of $155.0 million, and sales milestone payments up to an aggregate of $440.0 million based on respective thresholds of net sales of products developed from tibulizumab; (b) to Lilly over a multi-year period (twelve years, or upon the later expiration of regulatory exclusivity of tibulizumab in a country) for an annual earned royalty at a marginal royalty rate in the mid-single digits to low-double digits, with increasing rates depending on net sales in the respective calendar year, based on a percentage of sales within varying thresholds for a certain period of years; (c) to BAFFX17 for a fee equal to 3% of any milestone or royalty payments due to Lilly pursuant to the terms of either the 2022 Lilly License or the 2023 Lilly License; (d) to Stone Peach for a one-time milestone payment of $25 million upon either (i) certain equity-related transactions, or (ii) the receipt of regulatory approval from the applicable regulatory authority for any new indication in the applicable jurisdiction; and (e) to Stone Peach for a royalty of 2% of the aggregate net sales of any products developed from the Compound (collectively, the “2023 Lilly Contingent Payments”). As of December 31, 2024, none of the 2023 Lilly Contingent Payments are due and accordingly will not be recorded in our financial statements until they are due.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Lilly License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8, 2022, our consolidated subsidiary, Z33 Bio Inc.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consideration, we paid Lilly an upfront fee of $7.0 million during 2022 and issued Lilly 550,000 Class A Ordinary Shares at an aggregate fair value of $4.5 million upon the Closing Date of the Business Combination during the year ended December 31, 2023.</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a finder’s fee in connection with arranging the acquisition, Z33 issued to Stone Peach Properties, LLC (“Stone Peach”) 4,900,222 shares of Z33 Series Seed Preferred Shares, which was included in the measurement of the cost of the acquired asset. We have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us for a price per share of $2.040724 (the “Put Option”). In April 2023, we agreed to exercise our Call Option and we amended the settlement terms to settle the Call Option by issuing 2,000,000 Class A Ordinary Shares (the “Amended Terms”). In November 2023, the Amended Terms were voided and our rights and obligations under the Call Option reverted to those in the original agreement (the “Second Amended Terms”). In connection with the Second Amended Terms, we also provided Stone Peach with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 Each of the Amended Terms and the Second Amended Terms were considered an extinguishment and reissuance of the Z33 Series Seed Preferred Shares, and the Z33 Series Seed Preferred Shares are remeasured to the greater of the redemption value or the initial fair value, less noncontrolling shareholder’s interest in net loss of Z33, at each subsequent reporting period. The Z33 Series Seed Preferred Shares represent redeemable noncontrolling interest in our consolidated subsidiary, Z33.</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consideration paid in 2022 and shares issued in 2023, we are also obligated to make payments to Lilly for (a) $3.0 million upon the completion of a financing by Z33 with gross proceeds exceeding $100.0 million; (b) 10 commercial, development and regulatory milestone payments up to an aggregate of $155.0 million and sales milestone payments up to an aggregate of $440.0 million based on respective thresholds of net sales of products developed from the licensed compound; and (c) an annual earned royalty at a marginal royalty rate between in the mid-single to low-double digits (less than 20%), with increasing rates based on Net Sales in the respective calendar year, based on a percentage of sales within varying thresholds for a certain period of the year (collectively, “the “2022 Lilly Contingent Payments”). As of December 31, 2024, none of the 2022 Lilly Contingent Payments are due and accordingly will not be recorded in our financial statements until they are due.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Pfizer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On March 22, 2022, we entered into a license agreement and a Series A-1 Subscription and Shareholder’s Agreement (collectively, the “Pfizer Agreement”) with Pfizer. Under the Pfizer Agreement, we acquired a license for a compound initially developed by Pfizer, in exchange for $5.0 million in cash and 2,702,083 shares (as adjusted by the exchange ratio established in the Business Combination Agreement) of our Series A-1 convertible preferred shares, representing a 20% interest in us.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Pfizer Agreement is accounted for as an asset acquisition, as substantially all of the $7.5 million value transferred to us was allocated to in-process research and development. On the acquisition date, the compound licensed had not yet received regulatory approval and the in-process research and development did not have an alternative use.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consideration transferred during 2022, we are obligated to make payments to Pfizer for (a) twelve (12) development and regulatory milestone payments aggregating up to $70.0 million and sales milestone payments up to an aggregate of $525.0 million based on respective thresholds of net sales of products (developed from the licensed compound) (the “Products”); and (b) an annual earned royalty at a marginal royalty rate in the mid-single digits to low double digits (less than 20%), based on thresholds of nets sales of Products (collectively, the “Pfizer Contingent Payments”). Royalties are payable on a country-by-country basis for a certain period of years or upon the later expiration of regulatory exclusivity of our Products in a country.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recorded the first $1.0 million development milestone, included in the Pfizer Contingent Payments, as a component of research and development in the consolidated statement of operations during the year ended December 31, 2023. This amount was fully paid to Pfizer during the year ended December 31, 2024. As of December 31, 2024, no additional Pfizer Contingent Payments are due and accordingly no additional Pfizer Contingent Payments will be recorded in our financial statements until they are due.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Pfizer Agreement also had an anti-dilution provision to allow Pfizer to maintain an 18% interest in us. Immediately prior to the Closing Date of the Business Combination, additional share options and restricted share units were issued to certain employees, executives, and directors that would result in the dilution of Pfizer’s ownership in us. In accordance with the anti-dilution provision of the Pfizer Agreement, Pfizer was issued additional Series A-1 convertible preferred shares upon the closing of the Business Combination that were immediately converted to 267,939 Class A Ordinary Shares. Following the Business Combination, the anti-dilution provision is no longer in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Global Economic Trends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Macroeconomic conditions, including uncertainties associated with the changes to and by the U.S. federal government administration, the Israel-Hamas war, the ongoing conflict between Ukraine and Russia, international tariffs, economic slowdowns, public health crises, labor shortages, recessions or market corrections, supply chain disruptions, inflation and monetary policy shifts, liquidity concerns at, and failures of, banks and other financial institutions or other disruptions in the banking system or financing markets, rising interest rates and financial and credit market fluctuations, volatility in the capital markets or other evolving macroeconomic developments, continue to have direct and indirect impacts on our business and could in the future materially impact our results of operations and financial condition. We continue to actively monitor the impact of these macroeconomic factors on our results of operations, financial condition and cash flows. The extent of the impact of these factors on our operational performance and financial condition, including our ability to execute our business strategies and initiatives in the expected timeframe, will depend on future developments, which are uncertain and cannot be predicted; however, any continued or renewed disruption resulting from these factors could negatively impact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consist of all direct and indirect operating expenses supporting the processes and manufacturing in development, including consulting fees for clinical and manufacturing advisory services, CRO costs, costs related to manufacturing material for preclinical studies, payroll and benefits, which includes share-based compensation for research and development employees, licensing fees, and data and study acquisition costs. Expenses are recognized as the related goods are delivered or the services are performed.</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R&amp;D expenses include the cost of in-process research and development (“IPR&amp;D”) assets purchased in an asset acquisition transaction. IPR&amp;D assets are expensed provided that the acquired asset did not also include processes or activities that would constitute a “business” as defined under United States Generally Accepted Accounting Principles (“U.S. GAAP”), the drug has not achieved regulatory approval for marketing and, absent obtaining such approval, has no established alternative future use. Acquired IPR&amp;D payments, including upfront payments, transaction fees and subsequent pre-commercial milestone payments, are immediately expensed in the period in which they are incurred. Research and development costs incurred after the acquisition are expensed as incurred. R&amp;D expenses also include the remeasurement of the research and development license consideration liability. The research and development license consideration liability represented an obligation to issue either preferred shares of our subsidiary or Class A Ordinary Shares to Lilly as consideration for the 2022 Lilly License, which was ultimately settled through the issuance of Class A Ordinary Shares upon the closing of the Business Combination.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could include:</w:t>
      </w:r>
    </w:p>
    <w:p>
      <w:pPr>
        <w:spacing w:after="0" w:line="225" w:lineRule="exact"/>
        <w:rPr>
          <w:sz w:val="20"/>
          <w:szCs w:val="20"/>
          <w:color w:val="auto"/>
        </w:rPr>
      </w:pPr>
    </w:p>
    <w:p>
      <w:pPr>
        <w:ind w:left="1000" w:right="20" w:hanging="31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share-based compensation and other related costs for those employees involved in research and development efforts;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investigative sites and consultants to conduct our studies;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preclinical studies and clinical trials, including fees paid to contract manufacturing organizations;</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payments under our licensing agreements;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maintenance of facilities, insurance and equipment.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develop our product candidates and manufacturing processes and conduct discovery and research activities for our clinical programs. We cannot determine with certainty the timing of initiation, the duration or the completion costs of current or future clinical studies of our product candidates due to the inherently unpredictable nature of clinical development. Clinical development timelines, the probability of success and development costs can differ materially from expectations. We anticipate that we will make determinations as to how we pursue our product candidates and how much funding to direct to each program on an ongoing basis in response to the results of future clinical trials, regulatory developments and our ongoing assessments as to commercial potential. We will need to raise substantial additional capital in the future. Our clinical development costs are expected to increase as we commence, continue and expand our clinical trials. Our future expenses may vary significantly each period based on factors such as:</w:t>
      </w:r>
    </w:p>
    <w:p>
      <w:pPr>
        <w:spacing w:after="0" w:line="192" w:lineRule="exact"/>
        <w:rPr>
          <w:sz w:val="20"/>
          <w:szCs w:val="20"/>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preclinical studies required to advance our product candidates into clinical trials;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clinical trial costs, including based on the number of doses that patients receive;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who enroll in each clinical trial;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approval;</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clinical trials;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additional safety monitoring requested by regulatory agencies;</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clinical trials and follow-up;</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of development of the product candidate;</w:t>
      </w:r>
    </w:p>
    <w:p>
      <w:pPr>
        <w:spacing w:after="0" w:line="225"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contractors failing to comply with regulatory requirements or meet their contractual obligations in a timely manner, or at all;</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insurance, including product liability insurance, in connection with clinical trials;</w:t>
      </w:r>
    </w:p>
    <w:p>
      <w:pPr>
        <w:spacing w:after="0" w:line="225" w:lineRule="exact"/>
        <w:rPr>
          <w:rFonts w:ascii="Times New Roman" w:cs="Times New Roman" w:eastAsia="Times New Roman" w:hAnsi="Times New Roman"/>
          <w:sz w:val="18"/>
          <w:szCs w:val="18"/>
          <w:color w:val="auto"/>
        </w:rPr>
      </w:pPr>
    </w:p>
    <w:p>
      <w:pPr>
        <w:jc w:val="both"/>
        <w:ind w:left="1000" w:hanging="317"/>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17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product candidates.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primarily consist of professional fees for legal, accounting, and consulting costs relating to corporate matters, as well as salaries and related costs for personnel in executive and administrative functions, including share-based compensation.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continue to support research and development activities and incur increased costs of operating as a public company. These costs include increased headcount to support expanded operations and infrastructure.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anticipate increased costs associated with maintaining compliance with Nasdaq rules and SEC requirements such as accounting, audit, legal and consulting services, as well as director and officer liability insurance, investor and public relations activities.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2024 and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 our results of operations for the years ended December 31, 2024 and 2023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20" w:type="dxa"/>
            <w:vAlign w:val="bottom"/>
          </w:tcPr>
          <w:p>
            <w:pPr>
              <w:spacing w:after="0"/>
              <w:rPr>
                <w:sz w:val="13"/>
                <w:szCs w:val="13"/>
                <w:color w:val="auto"/>
              </w:rPr>
            </w:pPr>
          </w:p>
        </w:tc>
        <w:tc>
          <w:tcPr>
            <w:tcW w:w="94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10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16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43,999</w:t>
            </w:r>
          </w:p>
        </w:tc>
        <w:tc>
          <w:tcPr>
            <w:tcW w:w="18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(19,598)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55,189</w:t>
            </w: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62,638</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(7,998)</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(5,812)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5,964</w:t>
            </w: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note payable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(2,244)</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Dividend income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(1,392)</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09"/>
        </w:trPr>
        <w:tc>
          <w:tcPr>
            <w:tcW w:w="42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9"/>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redeemable noncontrolling interest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redeemable noncontrolling</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8"/>
        </w:trPr>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Adjustment of redeemable noncontrolling interest from</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redemption value to carrying value</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1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98"/>
        </w:trPr>
        <w:tc>
          <w:tcPr>
            <w:tcW w:w="4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noncontrolling interest to</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value</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(7,220)</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8"/>
        </w:trPr>
        <w:tc>
          <w:tcPr>
            <w:tcW w:w="42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Deemed contribution from redeemable noncontrolling</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(9,212)</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to redeemable noncontrolling interest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78"/>
        </w:trPr>
        <w:tc>
          <w:tcPr>
            <w:tcW w:w="42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Net loss attributable to Class A Ordinary Shareholders of</w:t>
            </w: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(45,386)</w:t>
            </w:r>
          </w:p>
        </w:tc>
        <w:tc>
          <w:tcPr>
            <w:tcW w:w="5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(69,243)</w:t>
            </w: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Zura</w:t>
            </w:r>
          </w:p>
        </w:tc>
        <w:tc>
          <w:tcPr>
            <w:tcW w:w="380" w:type="dxa"/>
            <w:vAlign w:val="bottom"/>
            <w:gridSpan w:val="2"/>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*Percentage change not meaningful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decreased by $19.6 million for the year ended December 31, 2024 compared to the year ended December 31, 2023. This was primarily due to $27.2 million related to the acquisition of an IPR&amp;D license from Lilly during the year ended December 31, 2023, and decreases of $1.9 million related to the change in fair value of the research and development license consideration liability and $0.8 million related to share-based compensation, primarily due to award forfeitures, for the year ended December 31, 2024 as compared to the year ended December 31, 2023. This decrease was partially offset by a $4.5 million milestone payment related to the 2023 Lilly License incurred during the year ended December 31, 2024, and increases of $2.9 million in expenses related to personnel compensation for research and development functions excluding share-based compensation and $2.0 million of costs incurred for consulting services for our product candidates for the year ended December 31, 2024 as compared to the year ended December 31, 2023.</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by $12.1 million for the year ended December 31, 2024 as compared to the year ended December 31, 2023. The increase was primarily due to a $5.9 million non-cash share-based compensation expense charge for the modification of awards for the former CEO, an increase of $2.9 million in professional fees for legal and accounting costs, including $1.6 million related to the Warrant Exchange and $1.3 million related to our ongoing operations as a public company and an increase of $2.4 million in expenses related to compensation for personnel in executive and administrative functions including share-based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income increased by $5.8 million for the year ended December 31, 2024 as compared to the year ended December 31, 2023. This is primarily due to an increase in our cash and cash equivalents balance during year ended December 31, 2024 as compared to the year ended December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private placement warrants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Revaluation loss on the liability-classified Private Placement Warrants assumed in the Business Combination was $5.2 million during the year ended December 31, 2024 compared to a revaluation gain of $0.7 million for the year ended December 31, 2023. During the year ended December 31, 2024, the Private Placement Warrants were recorded at their settlement value upon completion of the Warrant Exchange, which was the fair value of the Class A Ordinary Shares exchanged for the Private Placement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note payable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Revaluation loss on the note payable was $2.2 million for the year ended December 31, 2023, as the note was remeasured to its settlement value and settled at the closing of the Business Combination.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income</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Dividend income decreased by $1.4 million for the year ended December 31, 2024 as compared to the year ended December 31, 2023. We held no dividend-generating cash equivalents during the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remained relatively consistent for the year ended December 31, 2024 and compared to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redeemable noncontrolling interest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loss attributable to redeemable noncontrolling interest was $0.2 million for the year ended December 31, 2023, representing the noncontrolling shareholder’s interest in the net loss of our consolidated subsidiary, Z33. Z33 had an immaterial amount of net loss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of Redeemable Noncontrolling Interest from Redemption Value to Carrying Value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After the modification of the terms of the Z33 Series Seed Preferred Shares issued to Stone Peach (see </w:t>
      </w:r>
      <w:r>
        <w:rPr>
          <w:rFonts w:ascii="Times New Roman" w:cs="Times New Roman" w:eastAsia="Times New Roman" w:hAnsi="Times New Roman"/>
          <w:sz w:val="18"/>
          <w:szCs w:val="18"/>
          <w:i w:val="1"/>
          <w:iCs w:val="1"/>
          <w:color w:val="auto"/>
        </w:rPr>
        <w:t>“—2022 Lilly License”</w:t>
      </w:r>
      <w:r>
        <w:rPr>
          <w:rFonts w:ascii="Times New Roman" w:cs="Times New Roman" w:eastAsia="Times New Roman" w:hAnsi="Times New Roman"/>
          <w:sz w:val="18"/>
          <w:szCs w:val="18"/>
          <w:color w:val="auto"/>
        </w:rPr>
        <w:t xml:space="preserve"> above), the Z33 Series Seed Preferred Shares are recorded at the greater of the redemption value or the initial fair value, less noncontrolling shareholder’s interest in net loss of Z33. For the year ended December 31, 2024, the adjustment of redeemable noncontrolling interest from redemption value to carrying value of $7.0 million resulted from a decrease in the redemption value of the Z33 Series Seed Preferred Shares below its initial fair value, less the noncontrolling shareholder’s interest in net loss of Z33, as of March 31, 2024. As of December 31, 2024, the redemption value was again below the initial fair value, less noncontrolling shareholder’s interest in net loss of Z33, resulting in no additional adjustment of redeemable noncontrolling interest and no an accretion of the redeemable noncontrolling interest when remeasuring the Z33 Series Seed Preferred Shares to its redemption value (see below).</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Accretion of redeemable noncontrolling interest to redemption value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Accretion of redeemable noncontrolling interest to redemption value was $7.2 million for the year ended December 31, 2023 resulting from the remeasurement of the Z33 Series Seed Preferred Shares to redemption value. After the modification of the terms of the Z33 Series Seed Preferred Shares issued to Stone Peach (see “—</w:t>
      </w:r>
      <w:r>
        <w:rPr>
          <w:rFonts w:ascii="Times New Roman" w:cs="Times New Roman" w:eastAsia="Times New Roman" w:hAnsi="Times New Roman"/>
          <w:sz w:val="18"/>
          <w:szCs w:val="18"/>
          <w:i w:val="1"/>
          <w:iCs w:val="1"/>
          <w:color w:val="auto"/>
        </w:rPr>
        <w:t>2022 Lilly License</w:t>
      </w:r>
      <w:r>
        <w:rPr>
          <w:rFonts w:ascii="Times New Roman" w:cs="Times New Roman" w:eastAsia="Times New Roman" w:hAnsi="Times New Roman"/>
          <w:sz w:val="18"/>
          <w:szCs w:val="18"/>
          <w:color w:val="auto"/>
        </w:rPr>
        <w:t>” above), the Z33 Series Seed Preferred Shares are recorded at the greater of the redemption value or the initial fair value, less noncontrolling shareholder’s interest in net loss of Z33. As of December 31, 2024, the redemption value was below the initial fair value, less noncontrolling shareholder’s interest in net loss of Z33, resulting in no accretion of the redeemable noncontrolling interest when remeasuring the Z33 Series Seed Preferred Shares to its redemption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Deemed Contribution from Redeemable Noncontrolling Interest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Deemed contribution from the redeemable noncontrolling interest was $9.2 million for the year ended December 31, 2023, due to the modification of the terms of the Z33 Series Seed Preferred Shares issued to Stone Peach in November 2023 (see </w:t>
      </w:r>
      <w:r>
        <w:rPr>
          <w:rFonts w:ascii="Times New Roman" w:cs="Times New Roman" w:eastAsia="Times New Roman" w:hAnsi="Times New Roman"/>
          <w:sz w:val="18"/>
          <w:szCs w:val="18"/>
          <w:i w:val="1"/>
          <w:iCs w:val="1"/>
          <w:color w:val="auto"/>
        </w:rPr>
        <w:t>“—2022 Lilly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License” </w:t>
      </w:r>
      <w:r>
        <w:rPr>
          <w:rFonts w:ascii="Times New Roman" w:cs="Times New Roman" w:eastAsia="Times New Roman" w:hAnsi="Times New Roman"/>
          <w:sz w:val="18"/>
          <w:szCs w:val="18"/>
          <w:color w:val="auto"/>
        </w:rPr>
        <w:t>above). There were no deemed contributions from the redeemable noncontrolling interest during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Deemed Dividend to Redeemable Noncontrolling Interest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Deemed dividend to the redeemable noncontrolling interest was $10.9 million for the year ended December 31, 2023, due to the modification of the terms of the Z33 Series Seed Preferred Shares issued to Stone Peach in April 2023 (see </w:t>
      </w:r>
      <w:r>
        <w:rPr>
          <w:rFonts w:ascii="Times New Roman" w:cs="Times New Roman" w:eastAsia="Times New Roman" w:hAnsi="Times New Roman"/>
          <w:sz w:val="18"/>
          <w:szCs w:val="18"/>
          <w:i w:val="1"/>
          <w:iCs w:val="1"/>
          <w:color w:val="auto"/>
        </w:rPr>
        <w:t>“—2022 Lilly License”</w:t>
      </w:r>
      <w:r>
        <w:rPr>
          <w:rFonts w:ascii="Times New Roman" w:cs="Times New Roman" w:eastAsia="Times New Roman" w:hAnsi="Times New Roman"/>
          <w:sz w:val="18"/>
          <w:szCs w:val="18"/>
          <w:color w:val="auto"/>
        </w:rPr>
        <w:t xml:space="preserve"> above). There were no deemed dividends to the redeemable noncontrolling interest during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our inception, we have not generated any revenue and expect to continue to incur significant operating losses for the foreseeable future and may never become profitable. As of December 31, 2024, we had cash and cash equivalents of $176.5 million. We have funded our operations through (i) the sale of equity, raising an aggregate of $10.0 million of gross proceeds from the sale of our convertible preferred shares of Zura Bio UK through March 31, 2023; (ii) the issuance of a promissory note, receiving net proceeds of $7.6 million in December 2022; (iii) proceeds from the Business Combination of $56.7 million in March 2023; (iv) the April 2023 Private Placement, raising an aggregate of $80.0 million of gross proceeds from the sale of Class A Ordinary Shares and 2023 Pre-Funded Warrants during the year ended December 31, 2023; (v) the April 2024 Private Placement, raising an aggregate of $112.5 million of gross proceeds from the sale of Class A Ordinary Shares and 2024 Pre-Funded Warrants in April 2024; (vi) the sale of 1,500,000 Class A Ordinary Shares at a price of $3.80 per share under the ATM for net proceeds of $5.5 million, after placement agent commissions, in September 2024; and (vii) the sale of 3,000,000 Class A Ordinary Shares at a price of $1.75 per share under the ATM for net proceeds of $5.1 million, after placement agent commissions, in the first quarter of 2025.</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experienced operating losses and cash outflows from operations since inception and will require ongoing financing in order to continue our research and development activities. We have not earned any revenue or reached successful commercialization of our products. Our future operations are dependent upon our ability to finance our cash requirements which will allow us to continue our research and development activities and the commercialization of our products. There can be no assurance that we will be successful in continuing to finance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date, we have not generated revenue from any source, including the commercial sale of approved drug products, and we do not expect to generate revenue for at least the next few years. If we fail to complete the development of our product candidates in a timely manner or fail to obtain their regulatory approval, our ability to generate future revenue will be adversely affected. We do not know when, or if, we will generate any revenue from our product candidates, and we do not expect to generate revenue unless and until we obtain regulatory approval of, and commercialize, our product candidates.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continue the research and development, and seek marketing approval for our product candidates, as well as administrative costs associated with supporting our operations. In addition, if we obtain approval for any of our product candidates, we expect to incur significant commercialization expenses related to sales, marketing, manufacturing and distribution. Furthermore, we expect to incur additional costs associated with operating as a public company.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will also be responsible to Pfizer and Lilly for significant future contingent payments under the Pfizer Agreement and the Lilly Licenses upon the achievement of certain development, regulatory, and sales milestones, as well as ongoing royalties on net commercial sales. The size and timing of these milestone payments will vary greatly depending upon a number of factors, and it is therefore difficult to estimate the total payments that could become payable to Pfizer and Lilly and when those payments would be due. If we achieve all of the milestones, we would be obligated to pay multimillion dollar development and regulatory milestone payments and sales milestone payments. We will be required to pay certain of these milestone payments prior to the time at which we are able to generate sufficient revenue, if any, from commercial sales of any of our product candidates. We intend to fund these milestone payments using a portion of the proceeds from the Business Combination, the April 2023 Private Placement, the April 2024 Private Placement and sales under the ATM. In addition to milestone payments, we are also required to pay Pfizer and Lilly under the Pfizer Agreement and Lilly Licenses, respectively, ongoing royalties in the mid-single digits to low double-digits (less than 20%) percentage range based upon thresholds of net sales of products.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intend to devote most of the net proceeds from the Business Combination, the April 2023 Private Placement, the April 2024 Private Placement and sales under the ATM to the preclinical and clinical development of our product candidates, our public company compliance costs and certain milestone payments. Based on our current business plans, we believe that our existing cash, cash equivalents and investments should be sufficient to fund our operating expenses and capital requirements through 2027. Our estimate as to how long we expect our existing cash and cash equivalents to be able to fund our operating expenses and capital requirements is based on assumptions that may prove to be wrong, and we could use our available capital resources sooner than we currently expect. Changing circumstances, some of which may be beyond our control, could result in less cash available to us or cause us to consume capital significantly faster than we currently anticipate, and we may need to seek additional funds sooner than planned.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drug products, we are unable to estimate the exact amount of our operating capital requirements. Our future funding requirements will depend on many factors, including, but not limited to:</w:t>
      </w:r>
    </w:p>
    <w:p>
      <w:pPr>
        <w:spacing w:after="0" w:line="176" w:lineRule="exact"/>
        <w:rPr>
          <w:sz w:val="20"/>
          <w:szCs w:val="20"/>
          <w:color w:val="auto"/>
        </w:rPr>
      </w:pPr>
    </w:p>
    <w:p>
      <w:pPr>
        <w:ind w:left="1000" w:hanging="31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and technologies in our product candidates pipeline;</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our milestone payments to Pfizer under the Pfizer Agreement and to Lilly under the Lilly Licenses;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and expand our commercial infrastructure and operations;</w:t>
      </w:r>
    </w:p>
    <w:p>
      <w:pPr>
        <w:spacing w:after="0" w:line="161" w:lineRule="exact"/>
        <w:rPr>
          <w:rFonts w:ascii="Times New Roman" w:cs="Times New Roman" w:eastAsia="Times New Roman" w:hAnsi="Times New Roman"/>
          <w:sz w:val="18"/>
          <w:szCs w:val="18"/>
          <w:color w:val="auto"/>
        </w:rPr>
      </w:pPr>
    </w:p>
    <w:p>
      <w:pPr>
        <w:ind w:left="1000" w:hanging="31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distributions, for any of our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to Pfizer under the Pfizer Agreement and Lilly under the Lilly Licenses;</w:t>
      </w:r>
    </w:p>
    <w:p>
      <w:pPr>
        <w:spacing w:after="0" w:line="225" w:lineRule="exact"/>
        <w:rPr>
          <w:rFonts w:ascii="Times New Roman" w:cs="Times New Roman" w:eastAsia="Times New Roman" w:hAnsi="Times New Roman"/>
          <w:sz w:val="18"/>
          <w:szCs w:val="18"/>
          <w:color w:val="auto"/>
        </w:rPr>
      </w:pPr>
    </w:p>
    <w:p>
      <w:pPr>
        <w:ind w:left="1000" w:right="20" w:hanging="317"/>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ectPr>
          <w:pgSz w:w="11900" w:h="16838" w:orient="portrait"/>
          <w:cols w:equalWidth="0" w:num="1">
            <w:col w:w="9920"/>
          </w:cols>
          <w:pgMar w:left="980" w:top="513"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sales of our product candidates for which we receive marketing approval; and</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our product candidates that we do not expect to be commercially available in the near term, if at all and are subject to successful clinical development and regulatory approval. Accordingly, we may need to continue to rely on additional financing to achieve our business objectives. Adequate additional financing may not be available to us on acceptable terms, or at all. To the extent that we raise additional capital through securities or debt financing, the terms of these securities or this debt may restrict our ability to operate. Any financing, if available, may involve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capital when needed or on acceptable terms, we could be forced to delay, reduce or eliminate our research and development programs or future commercialization efforts.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42"/>
        </w:trPr>
        <w:tc>
          <w:tcPr>
            <w:tcW w:w="57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121,293</w:t>
            </w: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98,239</w:t>
            </w: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increased by $13.0 million to $28.1 million for the year ended December 31, 2024 from $15.1 million for the year ended December 31, 2023. The increase is primarily due to an increase in our cash net loss of $10.2 million, comprised of our $8.2 million decrease in net loss before redeemable noncontrolling interest, as adjusted for the decrease in non-cash charges of $18.4 million for the year ended December 31, 2024. The decrease of $18.4 in non-cash charges was due to an expense incurred in connection with the 2023 Lilly License of $27.4 million, a change in fair value of our promissory note of $2.2 million, a share-based payment expense of $2.2 million related to the anti-dilution shares issued to Pfizer, and a change in fair value of our research and development license consideration liability of $1.9 million for the year ended December 31, 2023, partially offset by an increase in share-based compensation expense of $9.3 million, of which $5.9 million related to the modification of our former CEOs awards, and an increase in the change in fair value on the Private Placement Warrants of $6.0 million for the year ended December 31, 2024. Working capital changes increase cash used in operations by $2.8 million of cash for operating activities, resulting from higher prepaid expenses and other current assets and other assets and a decrease in cash used in paying accounts payable and accrued expenses for the year ended December 31,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2024 was $5.1 million, which was related to the $5.0 million cash consideration paid to acquire the 2023 Lilly License and $0.1 million of equipment purchased during the period.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for the year ended December 31, 2023 was $8.0 million, which was entirely related to the cash consideration paid to acquire the 2023 Lilly License.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2024 was $109.8 million, which consisted of $62.5 million of proceeds from the issuance of Class A Ordinary Shares in connection with the April 2024 Private Placement, $50.0 million of proceeds from the issuance of 2024 Pre-Funded Warrants in connection with the April 2024 Private Placement and net proceeds of</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$5.5 million, after commissions, for the sale of Class A Ordinary Shares under our ATM, partially offset by transaction costs incurred in connection with the 2024 Private Placement and establishing the ATM of $7.2 million and $0.6 million, respectively.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year ended December 31, 2023 was $121.3 million, which consisted of $56.7 million of net proceeds from the issuance of shares upon the closing of the Business Combination and $59.7 million of proceeds, net of transaction costs, from the issuance of Class A Ordinary Shares in connection with the April 2023 Private Placement, and $16.1 million of proceeds from the issuance of 2023 Pre-Funded Warrants in connection with the April 2023 Private Placement, partially offset by a $10.0 million repayment of our promissory note and the payment of $1.2 million of deferred transaction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or will enter into agreements in the normal course of business with contract research organizations, contract manufacturing organizations and other vendors for research and development services for operating purposes, which are generally cancelable upon written notice. Some third party CMOs have intellectual property, such as patents and/or know-how with an annual fee and royalty bearing license to its customers that forms part of the manufacturing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Lonza License</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2022, we entered into a license agreement (the “Lonza License”) with Lonza Sales AG (“Lonza”) for a worldwide nonexclusive license for Lonza’s gene expression system in exchange for varying considerations depending on a number of factors such as whether we enter further into manufacturing agreements with Lonza or with a third party, and whether we enter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We are free to terminate the Lonza License at any time upon 60 days’ notice, with or without cause. Lonza may terminate the Lonza License for cause upon a breach by us or for other commercially standard reasons. During October 2023, we began manufacturing drug substance with another third party. As a result of manufacturing with another third party other than Lonza, under the terms of the Lonza License we had a license fee of $0.4 million due to Lonza in the fourth quarter of 2023 and annually thereafter. The fees of $0.4 million have been recorded as research and development expense in each of the years ended December 31, 2024 and 2023. We paid the 2023 fee as of December 31, 2024 and will pay the 2024 fee in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WuXi Biologics License</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July 2023, we entered into a biologics master services agreement (the “WuXi Biologics MSA”) with WuXi Biologics. Under the WuXi Biologics MSA, we are obligated to pay WuXi Biologics a service fee and all non-cancellable obligations in the amount specified in each work order associated with the agreement for the provision of services.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WuXi Biologics MSA terminates on the completion of services under all work orders executed by the parties, unless terminated earlier. The term of each work order terminates upon completion of the services under such work order, unless terminated earlier. We can terminate the WuXi Biologics MSA or any work order at any time upon 30 days’ prior written notice and immediately upon written notice if WuXi Biologics fails to obtain or maintain required material governmental licenses or approvals. Either party may terminate a work order at any time upon three months’ prior notice with reasonable cause, provided however that if WuXi Biologics terminates a work order in such manner, no termination or cancellation fees shall be paid by us and immediately for cause upon the other party’s material breach that remains uncured for 30 days after notice of such breach.</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July 2023, we entered into a cell line license agreement (the “Cell Line License Agreement”) with WuXi Biologics. The Cell Line License Agreement provides us with a non-exclusive, worldwide, sublicensable license to certain of WuXi Biologics’s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In consideration for the license, we agreed to pay WuXi Biologics a non-refundable license fee of $150,000. Additionally, if we manufacture all of our commercial supplies of bulk drug product with a manufacturer other than WuXi Biologics or its affiliates, we are required to make royalty payments to WuXi Biologics in an amount equal to a fraction of a single digit percentage of global net sales of WuXi Biologics Licensed Products manufactured by a third-party manufacturer (the “Royalty”). If we manufacture part of our commercial supplies of the WuXi Biologics Licensed Products with WuXi Biologics or its affiliates, then the Royalty will be reduced accordingly on a pro rata basis.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Cell Line License Agreement will continue indefinitely unless terminated (i) by us upon three months’ prior written notice and its payment of all undisputed amounts due to WuXi Biologics through the effective date of termination, (ii) by WuXi Biologics for a material breach by us that remains uncured for 30 days after written notice, or (iii) by WuXi Biologics if we fail to make a payment and such failure continues for 30 days after receiving notice of such failure.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included future milestone or royalty payments or other contractual payment obligations as the timing and amount of such obligations are unknown or uncertain and are contingent upon the initiation, continuation, and/or successful completion of future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elsewhere in this Annual Report, we believe the following accounting policies are the most critical for fully understanding and evaluating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 To date, our estimated accruals have not differed materially from actual costs incurred.</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External costs consist primarily of payments to third parties in connection with our process development, manufacturing and clinical development activities. External expenses are recognized based on an evaluation of the progress to completion of specific tasks using information provided to us by our service providers or our estimate of the level of service that has been performed at each reporting date. We allocate external costs by program and functional area. Internal costs consist primarily of employee-related costs including salaries, related benefits and share-based compensation expense for employees engaged in research and development functions. We do not allocate internal costs by program because these costs are deployed across multiple programs and, as such, are not separately classified.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recognized share-based compensation expense for all share-based awards. The fair value of the equity instruments at the date of grant, net of actual forfeitures when they occur, is recognized to share-based compensation expense on a straight-line basis over the requisite service period. When the terms and conditions are modified before they vest, any increase in the fair value of the shares, measured immediately before and after the modification, is also charged to the consolidated statements of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grant date fair value of our restricted shares, restricted share units and share options with a nominal exercise price is determined based on the share price of our Class A Ordinary Shares. The grant date fair value of our share options is estimated using the Black-Scholes option pricing model. This model utilizes inputs which are highly subjective assumptions and generally require significant judgment. These assumptions include:</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6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—Due to our limited operating history and a lack of company-specific historical and implied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we have based our 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share-based awards. We will continue to apply this process until a sufficient amount of historical information regarding the volatility of our own share price becomes available.</w:t>
      </w:r>
    </w:p>
    <w:p>
      <w:pPr>
        <w:spacing w:after="0" w:line="183" w:lineRule="exact"/>
        <w:rPr>
          <w:sz w:val="20"/>
          <w:szCs w:val="20"/>
          <w:color w:val="auto"/>
        </w:rPr>
      </w:pPr>
    </w:p>
    <w:p>
      <w:pPr>
        <w:jc w:val="both"/>
        <w:ind w:left="660"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share-based awards are expected to be outstanding.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opted to use the “simplified method” for estimating the expected term of options, whereby the expected term equals the arithmetic average of the vesting term and the original contractual term of the option, which is generally between 5 to 10 years.</w:t>
      </w:r>
    </w:p>
    <w:p>
      <w:pPr>
        <w:spacing w:after="0" w:line="173" w:lineRule="exact"/>
        <w:rPr>
          <w:sz w:val="20"/>
          <w:szCs w:val="20"/>
          <w:color w:val="auto"/>
        </w:rPr>
      </w:pPr>
    </w:p>
    <w:p>
      <w:pPr>
        <w:jc w:val="both"/>
        <w:ind w:left="6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rate assumption is based on the United States Treasury yield in effect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with maturities consistent with the expected term of our options.</w:t>
      </w:r>
    </w:p>
    <w:p>
      <w:pPr>
        <w:spacing w:after="0" w:line="158" w:lineRule="exact"/>
        <w:rPr>
          <w:sz w:val="20"/>
          <w:szCs w:val="20"/>
          <w:color w:val="auto"/>
        </w:rPr>
      </w:pPr>
    </w:p>
    <w:p>
      <w:pPr>
        <w:jc w:val="both"/>
        <w:ind w:left="6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—We have never paid dividends on our ordinary shares and have no plans to pay dividends on our ordinary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Therefore, we used an expected dividend yield of zero.</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consolidated subsidiary Z33 issued its Series Seed Preferred Shares to Stone Peach as a finder’s fee for the 2022 Lilly License. As the agreement to issue the Z33 Series Seed Preferred Shares included embedded put and call features, the shares issued to Stone Peach represent redeemable noncontrolling interest that we were required to initially measure at fair value at issuance. The agreement between Z33 and Stone Peach was amended in both April 2023 and November 2023. The amendments were accounted for as extinguishments and reissuances of the Z33 Series Seed Preferred Shares which triggered us to remeasure the fair value of the Z33 Series Seed Preferred Shares at those points in time. Subsequent to the amendments, the Series Seed Preferred Shares are remeasured at the end of each reporting period to the greater of the redemption value or the initial carrying value, decreased for the noncontrolling interest’s share of Z33’s net loss.</w:t>
      </w:r>
    </w:p>
    <w:p>
      <w:pPr>
        <w:spacing w:after="0" w:line="192" w:lineRule="exact"/>
        <w:rPr>
          <w:sz w:val="20"/>
          <w:szCs w:val="20"/>
          <w:color w:val="auto"/>
        </w:rPr>
      </w:pPr>
    </w:p>
    <w:p>
      <w:pPr>
        <w:ind w:right="280" w:firstLine="648"/>
        <w:spacing w:after="0" w:line="289" w:lineRule="auto"/>
        <w:rPr>
          <w:sz w:val="20"/>
          <w:szCs w:val="20"/>
          <w:color w:val="auto"/>
        </w:rPr>
      </w:pPr>
      <w:r>
        <w:rPr>
          <w:rFonts w:ascii="Times New Roman" w:cs="Times New Roman" w:eastAsia="Times New Roman" w:hAnsi="Times New Roman"/>
          <w:sz w:val="17"/>
          <w:szCs w:val="17"/>
          <w:color w:val="auto"/>
        </w:rPr>
        <w:t>The fair value of the shares without the embedded features was first determined using an option pricing model which utilizes inputs which are highly subjective assumptions and generally require significant judgement. These assumptions include expected volatility, expected term, the underlying value of Z33’s equity, a discount for lack of control, and a discount for lack of marketability.</w:t>
      </w:r>
    </w:p>
    <w:p>
      <w:pPr>
        <w:spacing w:after="0" w:line="158"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then valued the embedded put and call features utilizing the Black-Scholes option pricing model utilizing inputs which are highly subjective and require significant judgement, including expected volatility, expected term, and the fair value of a Z33 preferred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See Note 2 to our consolidated financial statements located in “Part I – Financial Information, Item 1. Financial Statements” in this Annual Report for a description of recent accounting pronouncements, the timing of their adoption, and our assessment, to the extent we have made one yet, of their potential impact on our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April 2012, the JOBS Act was enacted.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Upon the Closing Date, we remained an emerging growth company and may elect to extend the transition period for complying with new or revised accounting standards, which delays the adoption of these accounting standards until they would apply to private companies.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1000" w:hanging="317"/>
        <w:spacing w:after="0" w:line="266" w:lineRule="auto"/>
        <w:tabs>
          <w:tab w:leader="none" w:pos="1000" w:val="left"/>
        </w:tabs>
        <w:numPr>
          <w:ilvl w:val="0"/>
          <w:numId w:val="50"/>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20" w:hanging="317"/>
        <w:spacing w:after="0" w:line="282" w:lineRule="auto"/>
        <w:tabs>
          <w:tab w:leader="none" w:pos="1000" w:val="left"/>
        </w:tabs>
        <w:numPr>
          <w:ilvl w:val="0"/>
          <w:numId w:val="5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an exception from compliance with the auditor attestation requirements of Section 404 of the Sarbanes-Oxley Act of 2002, as amended;</w:t>
      </w:r>
    </w:p>
    <w:p>
      <w:pPr>
        <w:spacing w:after="0" w:line="161" w:lineRule="exact"/>
        <w:rPr>
          <w:rFonts w:ascii="Times New Roman" w:cs="Times New Roman" w:eastAsia="Times New Roman" w:hAnsi="Times New Roman"/>
          <w:sz w:val="18"/>
          <w:szCs w:val="18"/>
          <w:color w:val="212529"/>
        </w:rPr>
      </w:pPr>
    </w:p>
    <w:p>
      <w:pPr>
        <w:ind w:left="1000" w:hanging="317"/>
        <w:spacing w:after="0" w:line="282" w:lineRule="auto"/>
        <w:tabs>
          <w:tab w:leader="none" w:pos="1000" w:val="left"/>
        </w:tabs>
        <w:numPr>
          <w:ilvl w:val="0"/>
          <w:numId w:val="5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reduced disclosure about our executive compensation arrangements in our periodic reports, proxy statements and registrations statements;</w:t>
      </w:r>
    </w:p>
    <w:p>
      <w:pPr>
        <w:spacing w:after="0" w:line="161" w:lineRule="exact"/>
        <w:rPr>
          <w:rFonts w:ascii="Times New Roman" w:cs="Times New Roman" w:eastAsia="Times New Roman" w:hAnsi="Times New Roman"/>
          <w:sz w:val="18"/>
          <w:szCs w:val="18"/>
          <w:color w:val="212529"/>
        </w:rPr>
      </w:pPr>
    </w:p>
    <w:p>
      <w:pPr>
        <w:jc w:val="both"/>
        <w:ind w:left="1000" w:hanging="317"/>
        <w:spacing w:after="0" w:line="266" w:lineRule="auto"/>
        <w:tabs>
          <w:tab w:leader="none" w:pos="1000" w:val="left"/>
        </w:tabs>
        <w:numPr>
          <w:ilvl w:val="0"/>
          <w:numId w:val="51"/>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exemptions from the requirements of holding non-binding advisory votes on executive compensation or golden parachute arrangements; and an exemption from compliance with the requirements of the Public Company Accounting Oversight Board regarding the communication of critical audit matters in the auditor’s report on financial statements.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would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Class A Ordinary Shares that is held by non-affiliates exceeds $700.0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Annual Report. Accordingly, the information contained herein may be different than you might obtain from other public companies in which you hold equity interests.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also a “smaller reporting company” as defined under the Securities Act and Exchange Act. We may continue to be a smaller reporting company so long as either (i) the market value of Class A Ordinary Shares held by non-affiliates is less than $250 million or (ii) our annual revenue was less than $100 million during the most recently completed fiscal year and the market value of Class A Ordinary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under the requirements of (ii) above, we would not be required to obtain an attestation report on internal control over financial reporting issued by our independent registered public accounting firm.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otherwise required by this Item 7A.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together with the report of our independent registered public accounting firm, required by this item are set forth beginning on page F-1 of this Annual Report.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Chief Financial Officer, as appropriate, to allow timely decisions regarding required disclosure. As of December 31, 2024, our Chief Executive Officer and Chief Financial Officer carried out an evaluation with the participation of management of the effectiveness of our disclosure controls and procedures, as defined in Rules 13a-15(e) and 15d-15(e) under the Securities Exchange Act of 1934. Based upon that evaluation, our Chief Executive Officer and Chief Financial Officer concluded that our disclosure controls and procedures were effective at a reasonable assurance level as of December 31, 2024.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Controls Over Financial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Exchange Act Rule 13a-15(f). Under the supervision and with the participation of management, including our principal executive officer and principal financial officer, we conducted an evaluation of the effectiveness of our internal control over financial reporting based on the framework in “Internal Control - Integrated Framework (2013)” issued by the Committee of Sponsoring Organizations of the Treadway Commission. Based on this assessment, management concluded that our internal control over financial reporting was effective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Securities Exchange Act of 1934 that occurred during the quarter ended December 31, 2024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Internal Controls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Attestation Report of Registered Public Accounting Firm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Annual Report does not contain an attestation report of our registered public accounting firm due to an exemption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has set May 21, 2025 as the date for its 2025 annual general meeting of shareholders (the “Annual Meeting”). In accordance with the requirements set forth in our MAA, any shareholder seeking to raise a proposal or to make a nomination for consideration at the Annual Meeting must comply with the requirements set forth in our MAA and the requirements of Rule 14a-8 of the Exchange Act, including by delivering a notice of their proposal or nomination to the Company’s Secretary at 1489 W. Warm Springs Rd. #110, Henderson, NV 89014, no later than the close of business on April 4, 2025. In addition, shareholders who intend to solicit proxies in support of director nominees other than the Company’s nominees must provide in their notice any additional information required by Rule 14a-19(b) under the Exchange Act.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 directors or executive officers entered into, modified or terminated, contracts, instructions or written plans for the sale or purchase of the Company’s securities that were intended to satisfy the affirmative defense conditions of Rule 10b5-1.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definitive proxy statement to our 2025 Annual General Meeting of Shareholders and is incorporated herein by reference.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Code of Ethics (the “Code”), which applies to all directors, officers and employees, is available on our Investor Relations website, investors.zurabio.com. We intend to satisfy the disclosure requirements regarding any applicable amendment to or waiver from the Code by posting such information on our Investor Relations website rather than by filing a Current Report on Form 8-K.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definitive proxy statement to our 2025 Annual General Meeting of Shareholders and is incorporated herein by reference.</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definitive proxy statement to our 2025 Annual General Meeting of Shareholders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definitive proxy statement to our 2025 Annual General Meeting of Shareholders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in the definitive proxy statement to our 2025 Annual General Meeting of Shareholders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EXHIBITS, FINANCIAL STATEMENT SCHEDULES</w:t>
      </w:r>
    </w:p>
    <w:p>
      <w:pPr>
        <w:spacing w:after="0" w:line="229" w:lineRule="exact"/>
        <w:rPr>
          <w:sz w:val="20"/>
          <w:szCs w:val="20"/>
          <w:color w:val="auto"/>
        </w:rPr>
      </w:pPr>
    </w:p>
    <w:p>
      <w:pPr>
        <w:ind w:left="780" w:hanging="448"/>
        <w:spacing w:after="0"/>
        <w:tabs>
          <w:tab w:leader="none" w:pos="7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Form 10-K:</w:t>
      </w:r>
    </w:p>
    <w:p>
      <w:pPr>
        <w:spacing w:after="0" w:line="225" w:lineRule="exact"/>
        <w:rPr>
          <w:sz w:val="20"/>
          <w:szCs w:val="20"/>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financial statements as set forth under Item 8 of this Annual Report are incorporated herein.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they are not required, not applicable, not present in amounts sufficient to require submission of the schedule, or the required information is otherwise included in our consolidated financial statements and related notes.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(3)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9380" w:type="dxa"/>
            <w:vAlign w:val="bottom"/>
            <w:gridSpan w:val="24"/>
          </w:tcPr>
          <w:p>
            <w:pPr>
              <w:ind w:left="10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Annual Report.</w:t>
            </w: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940" w:type="dxa"/>
            <w:vAlign w:val="bottom"/>
            <w:gridSpan w:val="2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75"/>
        </w:trPr>
        <w:tc>
          <w:tcPr>
            <w:tcW w:w="5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880" w:type="dxa"/>
            <w:vAlign w:val="bottom"/>
            <w:tcBorders>
              <w:top w:val="single" w:sz="8" w:color="auto"/>
              <w:bottom w:val="single" w:sz="8" w:color="0000EE"/>
            </w:tcBorders>
            <w:gridSpan w:val="19"/>
          </w:tcPr>
          <w:p>
            <w:pPr>
              <w:spacing w:after="0" w:line="17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Business Combination Agreement, dated as of June 16, 2022, by and among JATT, Merger Sub, Merger Sub 2, Holdco and</w:t>
              </w:r>
            </w:hyperlink>
          </w:p>
        </w:tc>
        <w:tc>
          <w:tcPr>
            <w:tcW w:w="40" w:type="dxa"/>
            <w:vAlign w:val="bottom"/>
            <w:tcBorders>
              <w:top w:val="single" w:sz="8" w:color="auto"/>
            </w:tcBorders>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9"/>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gridSpan w:val="22"/>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Zura Bio Limited (incorporated by reference to Exhibit 2.1 of JATT’s Current Report on Form 8-K (File No. 001-40598),</w:t>
              </w:r>
            </w:hyperlink>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filed with the SEC on June 17, 2022).</w:t>
              </w:r>
            </w:hyperlink>
          </w:p>
        </w:tc>
        <w:tc>
          <w:tcPr>
            <w:tcW w:w="6000" w:type="dxa"/>
            <w:vAlign w:val="bottom"/>
            <w:tcBorders>
              <w:top w:val="single" w:sz="8" w:color="0000EE"/>
            </w:tcBorders>
            <w:gridSpan w:val="14"/>
          </w:tcPr>
          <w:p>
            <w:pPr>
              <w:spacing w:after="0"/>
              <w:rPr>
                <w:sz w:val="18"/>
                <w:szCs w:val="18"/>
                <w:color w:val="auto"/>
              </w:rPr>
            </w:pPr>
          </w:p>
        </w:tc>
        <w:tc>
          <w:tcPr>
            <w:tcW w:w="200" w:type="dxa"/>
            <w:vAlign w:val="bottom"/>
            <w:gridSpan w:val="5"/>
          </w:tcPr>
          <w:p>
            <w:pPr>
              <w:spacing w:after="0"/>
              <w:rPr>
                <w:sz w:val="18"/>
                <w:szCs w:val="18"/>
                <w:color w:val="auto"/>
              </w:rPr>
            </w:pPr>
          </w:p>
        </w:tc>
      </w:tr>
      <w:tr>
        <w:trPr>
          <w:trHeight w:val="209"/>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gridSpan w:val="22"/>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First Amendment dated as of September 20, 2022 to the Business Combination Agreement by and among JATT, Merger</w:t>
              </w:r>
            </w:hyperlink>
          </w:p>
        </w:tc>
      </w:tr>
      <w:tr>
        <w:trPr>
          <w:trHeight w:val="20"/>
        </w:trPr>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gridSpan w:val="22"/>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Sub, Merger Sub 2 and Holdco and Zura Bio Limited (incorporated by reference to Exhibit 2.2 of JATT’s Form S-4/A (File</w:t>
              </w:r>
            </w:hyperlink>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80" w:type="dxa"/>
            <w:vAlign w:val="bottom"/>
            <w:tcBorders>
              <w:top w:val="single" w:sz="8" w:color="0000EE"/>
            </w:tcBorders>
            <w:gridSpan w:val="19"/>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No. 333-267005), filed with the SEC on October 25, 2022).</w:t>
              </w:r>
            </w:hyperlink>
          </w:p>
        </w:tc>
        <w:tc>
          <w:tcPr>
            <w:tcW w:w="60" w:type="dxa"/>
            <w:vAlign w:val="bottom"/>
            <w:gridSpan w:val="3"/>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Second Amendment dated as of November 14, 2022 to the Business Combination Agreement by and among JATT, Merger</w:t>
              </w:r>
            </w:hyperlink>
          </w:p>
        </w:tc>
        <w:tc>
          <w:tcPr>
            <w:tcW w:w="80" w:type="dxa"/>
            <w:vAlign w:val="bottom"/>
            <w:gridSpan w:val="4"/>
          </w:tcPr>
          <w:p>
            <w:pPr>
              <w:spacing w:after="0"/>
              <w:rPr>
                <w:sz w:val="18"/>
                <w:szCs w:val="18"/>
                <w:color w:val="auto"/>
              </w:rPr>
            </w:pPr>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gridSpan w:val="22"/>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Sub, Merger Sub 2, Holdco and Zura Bio Limited (incorporated by reference to Exhibit 2.2 of JATT’s Current Report on</w:t>
              </w:r>
            </w:hyperlink>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8-K (File No. 001-40598), filed with the SEC on November 15, 2022).</w:t>
              </w:r>
            </w:hyperlink>
          </w:p>
        </w:tc>
        <w:tc>
          <w:tcPr>
            <w:tcW w:w="3140" w:type="dxa"/>
            <w:vAlign w:val="bottom"/>
            <w:tcBorders>
              <w:top w:val="single" w:sz="8" w:color="0000EE"/>
            </w:tcBorders>
            <w:gridSpan w:val="9"/>
          </w:tcPr>
          <w:p>
            <w:pPr>
              <w:spacing w:after="0"/>
              <w:rPr>
                <w:sz w:val="18"/>
                <w:szCs w:val="18"/>
                <w:color w:val="auto"/>
              </w:rPr>
            </w:pPr>
          </w:p>
        </w:tc>
        <w:tc>
          <w:tcPr>
            <w:tcW w:w="260" w:type="dxa"/>
            <w:vAlign w:val="bottom"/>
            <w:gridSpan w:val="6"/>
          </w:tcPr>
          <w:p>
            <w:pPr>
              <w:spacing w:after="0"/>
              <w:rPr>
                <w:sz w:val="18"/>
                <w:szCs w:val="18"/>
                <w:color w:val="auto"/>
              </w:rPr>
            </w:pP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Third Amendment dated as of January 13, 2023 to the Business Combination Agreement by and among JATT Acquisition</w:t>
              </w:r>
            </w:hyperlink>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gridSpan w:val="22"/>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Corp, JATT Merger Sub, JATT Merger Sub 2, Zura Holdings, Ltd. and Zura Bio Limited (incorporated by reference to</w:t>
              </w:r>
            </w:hyperlink>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00" w:type="dxa"/>
            <w:vAlign w:val="bottom"/>
            <w:tcBorders>
              <w:top w:val="single" w:sz="8" w:color="0000EE"/>
              <w:bottom w:val="single" w:sz="8" w:color="0000EE"/>
            </w:tcBorders>
            <w:gridSpan w:val="14"/>
          </w:tcPr>
          <w:p>
            <w:pPr>
              <w:spacing w:after="0"/>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Exhibit 2.1 of JATT’s Current Report on Form 8-K (File No. 001-40598), filed with the SEC on January 19, 2023).</w:t>
              </w:r>
            </w:hyperlink>
          </w:p>
        </w:tc>
        <w:tc>
          <w:tcPr>
            <w:tcW w:w="600" w:type="dxa"/>
            <w:vAlign w:val="bottom"/>
            <w:tcBorders>
              <w:top w:val="single" w:sz="8" w:color="0000EE"/>
            </w:tcBorders>
            <w:gridSpan w:val="6"/>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Second Amended and Restated Memorandum and Articles of Association of Zura Bio Limited (incorporated by reference</w:t>
              </w:r>
            </w:hyperlink>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gridSpan w:val="22"/>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to Exhibit 3.1 to Zura’s Form 8-K (File No. 001-40598), filed with the SEC on March 24, 2023).</w:t>
              </w:r>
            </w:hyperlink>
          </w:p>
        </w:tc>
      </w:tr>
      <w:tr>
        <w:trPr>
          <w:trHeight w:val="20"/>
        </w:trPr>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Specimen Share Certificate of Zura (incorporated by reference to Exhibit 4.5 of JATT’s Form S-4 (File No. 333-267005)</w:t>
              </w:r>
            </w:hyperlink>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filed with the SEC on August 19, 2022).</w:t>
              </w:r>
            </w:hyperlink>
          </w:p>
        </w:tc>
        <w:tc>
          <w:tcPr>
            <w:tcW w:w="6020" w:type="dxa"/>
            <w:vAlign w:val="bottom"/>
            <w:gridSpan w:val="18"/>
          </w:tcPr>
          <w:p>
            <w:pPr>
              <w:spacing w:after="0"/>
              <w:rPr>
                <w:sz w:val="18"/>
                <w:szCs w:val="18"/>
                <w:color w:val="auto"/>
              </w:rPr>
            </w:pP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Specimen Warrant Certificate of Zura (incorporated by reference to Exhibit 4.6 of JATT’s Form S-4 (File No. 333-267005)</w:t>
              </w:r>
            </w:hyperlink>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filed with the SEC on August 19, 2022).</w:t>
              </w:r>
            </w:hyperlink>
          </w:p>
        </w:tc>
        <w:tc>
          <w:tcPr>
            <w:tcW w:w="6020" w:type="dxa"/>
            <w:vAlign w:val="bottom"/>
            <w:gridSpan w:val="18"/>
          </w:tcPr>
          <w:p>
            <w:pPr>
              <w:spacing w:after="0"/>
              <w:rPr>
                <w:sz w:val="18"/>
                <w:szCs w:val="18"/>
                <w:color w:val="auto"/>
              </w:rPr>
            </w:pP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gridSpan w:val="22"/>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Pre-Funded Warrant to Purchase Ordinary Shares (incorporated herein by reference to Exhibit 4.1 to the</w:t>
              </w:r>
            </w:hyperlink>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6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Company’s Current Report on Form 8-K, filed with the SEC on May 3, 2023).</w:t>
              </w:r>
            </w:hyperlink>
          </w:p>
        </w:tc>
        <w:tc>
          <w:tcPr>
            <w:tcW w:w="3240" w:type="dxa"/>
            <w:vAlign w:val="bottom"/>
            <w:tcBorders>
              <w:top w:val="single" w:sz="8" w:color="0000EE"/>
            </w:tcBorders>
            <w:gridSpan w:val="12"/>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gridSpan w:val="22"/>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Form of Pre-Funded Warrant to Purchase Ordinary Shares (incorporated herein by reference to Exhibit 4.1 to the</w:t>
              </w:r>
            </w:hyperlink>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940" w:type="dxa"/>
            <w:vAlign w:val="bottom"/>
            <w:tcBorders>
              <w:top w:val="single" w:sz="8" w:color="0000EE"/>
              <w:bottom w:val="single" w:sz="8" w:color="0000EE"/>
            </w:tcBorders>
            <w:gridSpan w:val="9"/>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Company’s Current Report on Form 8-K, filed with the SEC on August 21, 2024).</w:t>
              </w:r>
            </w:hyperlink>
          </w:p>
        </w:tc>
        <w:tc>
          <w:tcPr>
            <w:tcW w:w="2960" w:type="dxa"/>
            <w:vAlign w:val="bottom"/>
            <w:tcBorders>
              <w:top w:val="single" w:sz="8" w:color="0000EE"/>
            </w:tcBorders>
            <w:gridSpan w:val="11"/>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Pre-Funded Warrant to purchase Ordinary Shares (incorporated by reference to Exhibit 4.1 to the Current Report</w:t>
              </w:r>
            </w:hyperlink>
          </w:p>
        </w:tc>
        <w:tc>
          <w:tcPr>
            <w:tcW w:w="20" w:type="dxa"/>
            <w:vAlign w:val="bottom"/>
          </w:tcPr>
          <w:p>
            <w:pPr>
              <w:spacing w:after="0"/>
              <w:rPr>
                <w:sz w:val="18"/>
                <w:szCs w:val="18"/>
                <w:color w:val="auto"/>
              </w:rPr>
            </w:pPr>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32">
              <w:r>
                <w:rPr>
                  <w:rFonts w:ascii="Times New Roman" w:cs="Times New Roman" w:eastAsia="Times New Roman" w:hAnsi="Times New Roman"/>
                  <w:sz w:val="18"/>
                  <w:szCs w:val="18"/>
                  <w:color w:val="0000EE"/>
                  <w:w w:val="99"/>
                </w:rPr>
                <w:t>on Form 8-K filed with the Securities and Exchange Commission on April 23, 2024).</w:t>
              </w:r>
            </w:hyperlink>
          </w:p>
        </w:tc>
        <w:tc>
          <w:tcPr>
            <w:tcW w:w="2780" w:type="dxa"/>
            <w:vAlign w:val="bottom"/>
            <w:gridSpan w:val="12"/>
          </w:tcPr>
          <w:p>
            <w:pPr>
              <w:spacing w:after="0"/>
              <w:rPr>
                <w:sz w:val="18"/>
                <w:szCs w:val="18"/>
                <w:color w:val="auto"/>
              </w:rPr>
            </w:pPr>
          </w:p>
        </w:tc>
      </w:tr>
      <w:tr>
        <w:trPr>
          <w:trHeight w:val="20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Description of Registrant’s securities.</w:t>
            </w:r>
          </w:p>
        </w:tc>
        <w:tc>
          <w:tcPr>
            <w:tcW w:w="6220" w:type="dxa"/>
            <w:vAlign w:val="bottom"/>
            <w:gridSpan w:val="20"/>
          </w:tcPr>
          <w:p>
            <w:pPr>
              <w:spacing w:after="0"/>
              <w:rPr>
                <w:sz w:val="18"/>
                <w:szCs w:val="18"/>
                <w:color w:val="auto"/>
              </w:rPr>
            </w:pP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License Agreement between Zura Bio Limited and Lonza Sales AG, dated July 22, 2022 (incorporated by reference to</w:t>
              </w:r>
            </w:hyperlink>
          </w:p>
        </w:tc>
        <w:tc>
          <w:tcPr>
            <w:tcW w:w="20" w:type="dxa"/>
            <w:vAlign w:val="bottom"/>
          </w:tcPr>
          <w:p>
            <w:pPr>
              <w:spacing w:after="0"/>
              <w:rPr>
                <w:sz w:val="18"/>
                <w:szCs w:val="18"/>
                <w:color w:val="auto"/>
              </w:rPr>
            </w:pPr>
          </w:p>
        </w:tc>
      </w:tr>
      <w:tr>
        <w:trPr>
          <w:trHeight w:val="210"/>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gridSpan w:val="22"/>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Exhibit 10.17 of JATT’s Form S-4/A (File No. 333-267005) filed with the SEC on February 17, 2023).</w:t>
              </w:r>
            </w:hyperlink>
          </w:p>
        </w:tc>
      </w:tr>
      <w:tr>
        <w:trPr>
          <w:trHeight w:val="20"/>
        </w:trPr>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480" w:type="dxa"/>
            <w:vAlign w:val="bottom"/>
            <w:gridSpan w:val="7"/>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gridSpan w:val="22"/>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License, Development and Commercialization Agreement, dated as of December 8, 2022, by and between Eli Lilly and</w:t>
              </w:r>
            </w:hyperlink>
          </w:p>
        </w:tc>
      </w:tr>
      <w:tr>
        <w:trPr>
          <w:trHeight w:val="20"/>
        </w:trPr>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80" w:type="dxa"/>
            <w:vAlign w:val="bottom"/>
            <w:gridSpan w:val="8"/>
            <w:shd w:val="clear" w:color="auto" w:fill="0000EE"/>
          </w:tcPr>
          <w:p>
            <w:pPr>
              <w:spacing w:after="0" w:line="20" w:lineRule="exact"/>
              <w:rPr>
                <w:sz w:val="1"/>
                <w:szCs w:val="1"/>
                <w:color w:val="auto"/>
              </w:rPr>
            </w:pPr>
          </w:p>
        </w:tc>
        <w:tc>
          <w:tcPr>
            <w:tcW w:w="9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Company and Z33 Bio Inc (incorporated by reference to Exhibit 10.22 of JATT’s Form S-4/A (File No. 333-267005) filed</w:t>
              </w:r>
            </w:hyperlink>
          </w:p>
        </w:tc>
      </w:tr>
      <w:tr>
        <w:trPr>
          <w:trHeight w:val="209"/>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gridSpan w:val="22"/>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with the SEC on February 17,2023).</w:t>
              </w:r>
            </w:hyperlink>
          </w:p>
        </w:tc>
      </w:tr>
      <w:tr>
        <w:trPr>
          <w:trHeight w:val="20"/>
        </w:trPr>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Zura Bio Limited 2022 Equity Incentive Plan (incorporated by reference to Exhibit 10.29 of JATT’s Form S-4/A (File No.</w:t>
              </w:r>
            </w:hyperlink>
          </w:p>
        </w:tc>
        <w:tc>
          <w:tcPr>
            <w:tcW w:w="20" w:type="dxa"/>
            <w:vAlign w:val="bottom"/>
          </w:tcPr>
          <w:p>
            <w:pPr>
              <w:spacing w:after="0"/>
              <w:rPr>
                <w:sz w:val="18"/>
                <w:szCs w:val="18"/>
                <w:color w:val="auto"/>
              </w:rPr>
            </w:pPr>
          </w:p>
        </w:tc>
      </w:tr>
      <w:tr>
        <w:trPr>
          <w:trHeight w:val="209"/>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gridSpan w:val="22"/>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333-267005) filed with the SEC on February 2, 2023).</w:t>
              </w:r>
            </w:hyperlink>
          </w:p>
        </w:tc>
      </w:tr>
      <w:tr>
        <w:trPr>
          <w:trHeight w:val="20"/>
        </w:trPr>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5"/>
            <w:shd w:val="clear" w:color="auto" w:fill="0000EE"/>
          </w:tcPr>
          <w:p>
            <w:pPr>
              <w:spacing w:after="0" w:line="20" w:lineRule="exact"/>
              <w:rPr>
                <w:sz w:val="1"/>
                <w:szCs w:val="1"/>
                <w:color w:val="auto"/>
              </w:rPr>
            </w:pPr>
          </w:p>
        </w:tc>
        <w:tc>
          <w:tcPr>
            <w:tcW w:w="4080" w:type="dxa"/>
            <w:vAlign w:val="bottom"/>
            <w:gridSpan w:val="8"/>
          </w:tcPr>
          <w:p>
            <w:pPr>
              <w:spacing w:after="0" w:line="20" w:lineRule="exact"/>
              <w:rPr>
                <w:sz w:val="1"/>
                <w:szCs w:val="1"/>
                <w:color w:val="auto"/>
              </w:rPr>
            </w:pPr>
          </w:p>
        </w:tc>
        <w:tc>
          <w:tcPr>
            <w:tcW w:w="9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Form of Subscription Agreement by and among Zura Bio Limited and the other parties signatories thereto (incorporated by</w:t>
              </w:r>
            </w:hyperlink>
          </w:p>
        </w:tc>
      </w:tr>
      <w:tr>
        <w:trPr>
          <w:trHeight w:val="209"/>
        </w:trPr>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reference to Exhibit 10.1 to the Current Report on Form 8-K filed by the Issuer with the SEC on May 3, 2023).</w:t>
              </w:r>
            </w:hyperlink>
          </w:p>
        </w:tc>
        <w:tc>
          <w:tcPr>
            <w:tcW w:w="940" w:type="dxa"/>
            <w:vAlign w:val="bottom"/>
            <w:gridSpan w:val="9"/>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Severance and General Release Agreement, dated April 7, 2023, by and between Zura Bio Limited and Preston Klassen</w:t>
              </w:r>
            </w:hyperlink>
          </w:p>
        </w:tc>
      </w:tr>
      <w:tr>
        <w:trPr>
          <w:trHeight w:val="209"/>
        </w:trPr>
        <w:tc>
          <w:tcPr>
            <w:tcW w:w="1000" w:type="dxa"/>
            <w:vAlign w:val="bottom"/>
          </w:tcPr>
          <w:p>
            <w:pPr>
              <w:spacing w:after="0"/>
              <w:rPr>
                <w:sz w:val="18"/>
                <w:szCs w:val="18"/>
                <w:color w:val="auto"/>
              </w:rPr>
            </w:pPr>
          </w:p>
        </w:tc>
        <w:tc>
          <w:tcPr>
            <w:tcW w:w="8920" w:type="dxa"/>
            <w:vAlign w:val="bottom"/>
            <w:gridSpan w:val="21"/>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(incorporated by reference to Exhibit 10.1 to the Current Report on Form 8-K filed by the Issuer with the SEC on April 7,</w:t>
              </w:r>
            </w:hyperlink>
          </w:p>
        </w:tc>
      </w:tr>
      <w:tr>
        <w:trPr>
          <w:trHeight w:val="210"/>
        </w:trPr>
        <w:tc>
          <w:tcPr>
            <w:tcW w:w="1000" w:type="dxa"/>
            <w:vAlign w:val="bottom"/>
          </w:tcPr>
          <w:p>
            <w:pPr>
              <w:spacing w:after="0"/>
              <w:rPr>
                <w:sz w:val="18"/>
                <w:szCs w:val="18"/>
                <w:color w:val="auto"/>
              </w:rPr>
            </w:pPr>
          </w:p>
        </w:tc>
        <w:tc>
          <w:tcPr>
            <w:tcW w:w="48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8"/>
              </w:rPr>
            </w:pPr>
            <w:hyperlink r:id="rId138">
              <w:r>
                <w:rPr>
                  <w:rFonts w:ascii="Times New Roman" w:cs="Times New Roman" w:eastAsia="Times New Roman" w:hAnsi="Times New Roman"/>
                  <w:sz w:val="18"/>
                  <w:szCs w:val="18"/>
                  <w:color w:val="0000EE"/>
                  <w:w w:val="98"/>
                </w:rPr>
                <w:t>2023).</w:t>
              </w:r>
            </w:hyperlink>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Form of Employment Agreement for Someit Sidhu (incorporated by reference to Exhibit 10.31 of JATT’s Form S-4/A (File</w:t>
              </w:r>
            </w:hyperlink>
          </w:p>
        </w:tc>
      </w:tr>
      <w:tr>
        <w:trPr>
          <w:trHeight w:val="209"/>
        </w:trPr>
        <w:tc>
          <w:tcPr>
            <w:tcW w:w="1000" w:type="dxa"/>
            <w:vAlign w:val="bottom"/>
          </w:tcPr>
          <w:p>
            <w:pPr>
              <w:spacing w:after="0"/>
              <w:rPr>
                <w:sz w:val="18"/>
                <w:szCs w:val="18"/>
                <w:color w:val="auto"/>
              </w:rPr>
            </w:pPr>
          </w:p>
        </w:tc>
        <w:tc>
          <w:tcPr>
            <w:tcW w:w="42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No. 333-267005) filed with the SEC on February 8, 2023).</w:t>
              </w:r>
            </w:hyperlink>
          </w:p>
        </w:tc>
        <w:tc>
          <w:tcPr>
            <w:tcW w:w="4680" w:type="dxa"/>
            <w:vAlign w:val="bottom"/>
            <w:gridSpan w:val="9"/>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Form of Second PIPE Subscription Agreement (incorporated by reference to Exhibit 10.1 to the Current Report on Form 8-</w:t>
              </w:r>
            </w:hyperlink>
          </w:p>
        </w:tc>
      </w:tr>
      <w:tr>
        <w:trPr>
          <w:trHeight w:val="209"/>
        </w:trPr>
        <w:tc>
          <w:tcPr>
            <w:tcW w:w="1000" w:type="dxa"/>
            <w:vAlign w:val="bottom"/>
          </w:tcPr>
          <w:p>
            <w:pPr>
              <w:spacing w:after="0"/>
              <w:rPr>
                <w:sz w:val="18"/>
                <w:szCs w:val="18"/>
                <w:color w:val="auto"/>
              </w:rPr>
            </w:pPr>
          </w:p>
        </w:tc>
        <w:tc>
          <w:tcPr>
            <w:tcW w:w="378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K filed by the Issuer with the SEC on May 2, 2023).</w:t>
              </w:r>
            </w:hyperlink>
          </w:p>
        </w:tc>
        <w:tc>
          <w:tcPr>
            <w:tcW w:w="5140" w:type="dxa"/>
            <w:vAlign w:val="bottom"/>
            <w:gridSpan w:val="11"/>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Share Option Award Agreement (incorporated by reference to Annex C of the Definitive Proxy Statement on Schedule 14A</w:t>
              </w:r>
            </w:hyperlink>
          </w:p>
        </w:tc>
      </w:tr>
      <w:tr>
        <w:trPr>
          <w:trHeight w:val="209"/>
        </w:trPr>
        <w:tc>
          <w:tcPr>
            <w:tcW w:w="1000" w:type="dxa"/>
            <w:vAlign w:val="bottom"/>
          </w:tcPr>
          <w:p>
            <w:pPr>
              <w:spacing w:after="0"/>
              <w:rPr>
                <w:sz w:val="18"/>
                <w:szCs w:val="18"/>
                <w:color w:val="auto"/>
              </w:rPr>
            </w:pPr>
          </w:p>
        </w:tc>
        <w:tc>
          <w:tcPr>
            <w:tcW w:w="8920" w:type="dxa"/>
            <w:vAlign w:val="bottom"/>
            <w:gridSpan w:val="21"/>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filed by the Issuer with the SEC on May 19, 2023).</w:t>
              </w:r>
            </w:hyperlink>
          </w:p>
        </w:tc>
      </w:tr>
      <w:tr>
        <w:trPr>
          <w:trHeight w:val="20"/>
        </w:trPr>
        <w:tc>
          <w:tcPr>
            <w:tcW w:w="10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License, Development and Commercialization Agreement between ZB17 LLC and Eli Lilly and Company, dated April 26,</w:t>
              </w:r>
            </w:hyperlink>
          </w:p>
        </w:tc>
      </w:tr>
      <w:tr>
        <w:trPr>
          <w:trHeight w:val="210"/>
        </w:trPr>
        <w:tc>
          <w:tcPr>
            <w:tcW w:w="1000" w:type="dxa"/>
            <w:vAlign w:val="bottom"/>
          </w:tcPr>
          <w:p>
            <w:pPr>
              <w:spacing w:after="0"/>
              <w:rPr>
                <w:sz w:val="18"/>
                <w:szCs w:val="18"/>
                <w:color w:val="auto"/>
              </w:rPr>
            </w:pP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2023 (incorporated by reference to Exhibit 10.38 to the Registration Statement filed by the Issuer with the SEC on August</w:t>
              </w:r>
            </w:hyperlink>
          </w:p>
        </w:tc>
      </w:tr>
      <w:tr>
        <w:trPr>
          <w:trHeight w:val="209"/>
        </w:trPr>
        <w:tc>
          <w:tcPr>
            <w:tcW w:w="1000" w:type="dxa"/>
            <w:vAlign w:val="bottom"/>
          </w:tcPr>
          <w:p>
            <w:pPr>
              <w:spacing w:after="0"/>
              <w:rPr>
                <w:sz w:val="18"/>
                <w:szCs w:val="18"/>
                <w:color w:val="auto"/>
              </w:rPr>
            </w:pPr>
          </w:p>
        </w:tc>
        <w:tc>
          <w:tcPr>
            <w:tcW w:w="7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25, 2023)</w:t>
              </w:r>
            </w:hyperlink>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Service Agreement, dated as of April 7, 2023, by and between the Company and Dr. Someit Sidhu (incorporated by</w:t>
              </w:r>
            </w:hyperlink>
          </w:p>
        </w:tc>
      </w:tr>
      <w:tr>
        <w:trPr>
          <w:trHeight w:val="210"/>
        </w:trPr>
        <w:tc>
          <w:tcPr>
            <w:tcW w:w="1000" w:type="dxa"/>
            <w:vAlign w:val="bottom"/>
          </w:tcPr>
          <w:p>
            <w:pPr>
              <w:spacing w:after="0"/>
              <w:rPr>
                <w:sz w:val="18"/>
                <w:szCs w:val="18"/>
                <w:color w:val="auto"/>
              </w:rPr>
            </w:pPr>
          </w:p>
        </w:tc>
        <w:tc>
          <w:tcPr>
            <w:tcW w:w="81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reference to Exhibit 10.1 to the Current Report on Form 8-K filed by the Issuer with the SEC on April 10, 2023).</w:t>
              </w:r>
            </w:hyperlink>
          </w:p>
        </w:tc>
        <w:tc>
          <w:tcPr>
            <w:tcW w:w="760" w:type="dxa"/>
            <w:vAlign w:val="bottom"/>
            <w:gridSpan w:val="2"/>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Service Agreement, dated as of April 7, 2023, by and between the Company and Verender Badial (incorporated by</w:t>
              </w:r>
            </w:hyperlink>
          </w:p>
        </w:tc>
      </w:tr>
      <w:tr>
        <w:trPr>
          <w:trHeight w:val="210"/>
        </w:trPr>
        <w:tc>
          <w:tcPr>
            <w:tcW w:w="1000" w:type="dxa"/>
            <w:vAlign w:val="bottom"/>
          </w:tcPr>
          <w:p>
            <w:pPr>
              <w:spacing w:after="0"/>
              <w:rPr>
                <w:sz w:val="18"/>
                <w:szCs w:val="18"/>
                <w:color w:val="auto"/>
              </w:rPr>
            </w:pPr>
          </w:p>
        </w:tc>
        <w:tc>
          <w:tcPr>
            <w:tcW w:w="8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43">
              <w:r>
                <w:rPr>
                  <w:rFonts w:ascii="Times New Roman" w:cs="Times New Roman" w:eastAsia="Times New Roman" w:hAnsi="Times New Roman"/>
                  <w:sz w:val="18"/>
                  <w:szCs w:val="18"/>
                  <w:color w:val="0000EE"/>
                  <w:w w:val="99"/>
                </w:rPr>
                <w:t>reference to Exhibit 10.2 to the Current Report on Form 8-K filed by the Issuer with the SEC on April 10, 2023).</w:t>
              </w:r>
            </w:hyperlink>
          </w:p>
        </w:tc>
        <w:tc>
          <w:tcPr>
            <w:tcW w:w="780" w:type="dxa"/>
            <w:vAlign w:val="bottom"/>
            <w:gridSpan w:val="3"/>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Offer Letter, dated March 2, 2023, to Amit Munshi, (incorporated by reference to Exhibit 10.28 of JATT’s Form 10-Q (File</w:t>
              </w:r>
            </w:hyperlink>
          </w:p>
        </w:tc>
      </w:tr>
      <w:tr>
        <w:trPr>
          <w:trHeight w:val="209"/>
        </w:trPr>
        <w:tc>
          <w:tcPr>
            <w:tcW w:w="1000" w:type="dxa"/>
            <w:vAlign w:val="bottom"/>
          </w:tcPr>
          <w:p>
            <w:pPr>
              <w:spacing w:after="0"/>
              <w:rPr>
                <w:sz w:val="18"/>
                <w:szCs w:val="18"/>
                <w:color w:val="auto"/>
              </w:rPr>
            </w:pPr>
          </w:p>
        </w:tc>
        <w:tc>
          <w:tcPr>
            <w:tcW w:w="39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No. 001-40598) filed with the SEC on May 12, 2023).</w:t>
              </w:r>
            </w:hyperlink>
          </w:p>
        </w:tc>
        <w:tc>
          <w:tcPr>
            <w:tcW w:w="5000" w:type="dxa"/>
            <w:vAlign w:val="bottom"/>
            <w:gridSpan w:val="10"/>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8920" w:type="dxa"/>
            <w:vAlign w:val="bottom"/>
            <w:gridSpan w:val="21"/>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Service Agreement between Zura Bio Limited and Kiran Nistala (incorporated by reference to Exhibit 10.1 to the Current</w:t>
              </w:r>
            </w:hyperlink>
          </w:p>
        </w:tc>
      </w:tr>
      <w:tr>
        <w:trPr>
          <w:trHeight w:val="209"/>
        </w:trPr>
        <w:tc>
          <w:tcPr>
            <w:tcW w:w="1000" w:type="dxa"/>
            <w:vAlign w:val="bottom"/>
          </w:tcPr>
          <w:p>
            <w:pPr>
              <w:spacing w:after="0"/>
              <w:rPr>
                <w:sz w:val="18"/>
                <w:szCs w:val="18"/>
                <w:color w:val="auto"/>
              </w:rPr>
            </w:pPr>
          </w:p>
        </w:tc>
        <w:tc>
          <w:tcPr>
            <w:tcW w:w="890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Report on Form 8-K filed by the Issuer with the SEC on December 6, 2023).</w:t>
              </w:r>
            </w:hyperlink>
          </w:p>
        </w:tc>
        <w:tc>
          <w:tcPr>
            <w:tcW w:w="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8920" w:type="dxa"/>
            <w:vAlign w:val="bottom"/>
            <w:gridSpan w:val="21"/>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Employment Agreement between Zura Bio Limited and Robert Lisicki (incorporated by reference to Exhibit 10.1 to the</w:t>
              </w:r>
            </w:hyperlink>
          </w:p>
        </w:tc>
      </w:tr>
      <w:tr>
        <w:trPr>
          <w:trHeight w:val="210"/>
        </w:trPr>
        <w:tc>
          <w:tcPr>
            <w:tcW w:w="1000" w:type="dxa"/>
            <w:vAlign w:val="bottom"/>
          </w:tcPr>
          <w:p>
            <w:pPr>
              <w:spacing w:after="0"/>
              <w:rPr>
                <w:sz w:val="18"/>
                <w:szCs w:val="18"/>
                <w:color w:val="auto"/>
              </w:rPr>
            </w:pPr>
          </w:p>
        </w:tc>
        <w:tc>
          <w:tcPr>
            <w:tcW w:w="890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Current Report on Form 8-K filed by the Issuer with the SEC on January 8, 2023).</w:t>
              </w:r>
            </w:hyperlink>
          </w:p>
        </w:tc>
        <w:tc>
          <w:tcPr>
            <w:tcW w:w="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Settlement Agreement by and between Zura Bio Limited and Someit Sidhu dated July 24, 2024 (incorporated by reference</w:t>
              </w:r>
            </w:hyperlink>
          </w:p>
        </w:tc>
      </w:tr>
      <w:tr>
        <w:trPr>
          <w:trHeight w:val="210"/>
        </w:trPr>
        <w:tc>
          <w:tcPr>
            <w:tcW w:w="1000" w:type="dxa"/>
            <w:vAlign w:val="bottom"/>
          </w:tcPr>
          <w:p>
            <w:pPr>
              <w:spacing w:after="0"/>
              <w:rPr>
                <w:sz w:val="18"/>
                <w:szCs w:val="18"/>
                <w:color w:val="auto"/>
              </w:rPr>
            </w:pPr>
          </w:p>
        </w:tc>
        <w:tc>
          <w:tcPr>
            <w:tcW w:w="73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to Exhibit 10.1 to the Current Report on Form 8-K filed by the Issuer with the SEC on July 25, 2024).</w:t>
              </w:r>
            </w:hyperlink>
          </w:p>
        </w:tc>
        <w:tc>
          <w:tcPr>
            <w:tcW w:w="1580" w:type="dxa"/>
            <w:vAlign w:val="bottom"/>
            <w:gridSpan w:val="4"/>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8920" w:type="dxa"/>
            <w:vAlign w:val="bottom"/>
            <w:gridSpan w:val="21"/>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Amendment to Warrant Agreement, by and between Zura Bio Limited and Continental Stock Transfer &amp; Trust Company,</w:t>
              </w:r>
            </w:hyperlink>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23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dated August 12, 2024 (incorporated by reference to Exhibit 10.1 to the Current Report on Form 8-K filed by the Issuer</w:t>
              </w:r>
            </w:hyperlink>
          </w:p>
        </w:tc>
      </w:tr>
      <w:tr>
        <w:trPr>
          <w:trHeight w:val="210"/>
        </w:trPr>
        <w:tc>
          <w:tcPr>
            <w:tcW w:w="1000" w:type="dxa"/>
            <w:vAlign w:val="bottom"/>
          </w:tcPr>
          <w:p>
            <w:pPr>
              <w:spacing w:after="0"/>
              <w:rPr>
                <w:sz w:val="18"/>
                <w:szCs w:val="18"/>
                <w:color w:val="auto"/>
              </w:rPr>
            </w:pPr>
          </w:p>
        </w:tc>
        <w:tc>
          <w:tcPr>
            <w:tcW w:w="25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with the SEC on August 12, 2024).</w:t>
              </w:r>
            </w:hyperlink>
          </w:p>
        </w:tc>
        <w:tc>
          <w:tcPr>
            <w:tcW w:w="6380" w:type="dxa"/>
            <w:vAlign w:val="bottom"/>
            <w:gridSpan w:val="14"/>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8920" w:type="dxa"/>
            <w:vAlign w:val="bottom"/>
            <w:gridSpan w:val="21"/>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Share Surrender and Warrant Agreement, dated as of August 15, 2024, by and among the Company and certain investors</w:t>
              </w:r>
            </w:hyperlink>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23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party thereto (incorporated by reference to Exhibit 10.1 to the Current Report on Form 8-K filed by the Issuer with the SEC</w:t>
              </w:r>
            </w:hyperlink>
          </w:p>
        </w:tc>
      </w:tr>
      <w:tr>
        <w:trPr>
          <w:trHeight w:val="210"/>
        </w:trPr>
        <w:tc>
          <w:tcPr>
            <w:tcW w:w="1000" w:type="dxa"/>
            <w:vAlign w:val="bottom"/>
          </w:tcPr>
          <w:p>
            <w:pPr>
              <w:spacing w:after="0"/>
              <w:rPr>
                <w:sz w:val="18"/>
                <w:szCs w:val="18"/>
                <w:color w:val="auto"/>
              </w:rPr>
            </w:pPr>
          </w:p>
        </w:tc>
        <w:tc>
          <w:tcPr>
            <w:tcW w:w="15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on August 21, 2024).</w:t>
              </w:r>
            </w:hyperlink>
          </w:p>
        </w:tc>
        <w:tc>
          <w:tcPr>
            <w:tcW w:w="7380" w:type="dxa"/>
            <w:vAlign w:val="bottom"/>
            <w:gridSpan w:val="17"/>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8920" w:type="dxa"/>
            <w:vAlign w:val="bottom"/>
            <w:gridSpan w:val="21"/>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Subscription Agreement (incorporated by reference to Exhibit 10.1 to the Current Report on Form 8-K filed by the</w:t>
              </w:r>
            </w:hyperlink>
          </w:p>
        </w:tc>
      </w:tr>
      <w:tr>
        <w:trPr>
          <w:trHeight w:val="209"/>
        </w:trPr>
        <w:tc>
          <w:tcPr>
            <w:tcW w:w="1000" w:type="dxa"/>
            <w:vAlign w:val="bottom"/>
          </w:tcPr>
          <w:p>
            <w:pPr>
              <w:spacing w:after="0"/>
              <w:rPr>
                <w:sz w:val="18"/>
                <w:szCs w:val="18"/>
                <w:color w:val="auto"/>
              </w:rPr>
            </w:pPr>
          </w:p>
        </w:tc>
        <w:tc>
          <w:tcPr>
            <w:tcW w:w="288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Issuer with the SEC on April 23, 2024).</w:t>
              </w:r>
            </w:hyperlink>
          </w:p>
        </w:tc>
        <w:tc>
          <w:tcPr>
            <w:tcW w:w="6020" w:type="dxa"/>
            <w:vAlign w:val="bottom"/>
            <w:tcBorders>
              <w:top w:val="single" w:sz="8" w:color="0000EE"/>
            </w:tcBorders>
            <w:gridSpan w:val="12"/>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Sales Agreement, by and between Zura Bio Limited and Leerink Partners LLC, dated September 3, 2024 (incorporated by</w:t>
              </w:r>
            </w:hyperlink>
          </w:p>
        </w:tc>
      </w:tr>
      <w:tr>
        <w:trPr>
          <w:trHeight w:val="210"/>
        </w:trPr>
        <w:tc>
          <w:tcPr>
            <w:tcW w:w="1000" w:type="dxa"/>
            <w:vAlign w:val="bottom"/>
          </w:tcPr>
          <w:p>
            <w:pPr>
              <w:spacing w:after="0"/>
              <w:rPr>
                <w:sz w:val="18"/>
                <w:szCs w:val="18"/>
                <w:color w:val="auto"/>
              </w:rPr>
            </w:pPr>
          </w:p>
        </w:tc>
        <w:tc>
          <w:tcPr>
            <w:tcW w:w="89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reference to Exhibit 1.2 to the Registration Statement on Form S-3 filed by the Issuer with the SEC on September 3, 2024).</w:t>
              </w:r>
            </w:hyperlink>
          </w:p>
        </w:tc>
        <w:tc>
          <w:tcPr>
            <w:tcW w:w="20" w:type="dxa"/>
            <w:vAlign w:val="bottom"/>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8920" w:type="dxa"/>
            <w:vAlign w:val="bottom"/>
            <w:gridSpan w:val="21"/>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Amended and Restated Registration Rights Agreement dated March 20, 2023, by and among the Company, the Sponsor</w:t>
              </w:r>
            </w:hyperlink>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tcBorders>
              <w:right w:val="single" w:sz="8" w:color="0000EE"/>
            </w:tcBorders>
            <w:gridSpan w:val="3"/>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23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and the parties thereto (incorporated by reference to Exhibit 10.2 of the Company’s Form 8-K (File No. 001-40598) filed</w:t>
              </w:r>
            </w:hyperlink>
          </w:p>
        </w:tc>
      </w:tr>
      <w:tr>
        <w:trPr>
          <w:trHeight w:val="210"/>
        </w:trPr>
        <w:tc>
          <w:tcPr>
            <w:tcW w:w="1000" w:type="dxa"/>
            <w:vAlign w:val="bottom"/>
          </w:tcPr>
          <w:p>
            <w:pPr>
              <w:spacing w:after="0"/>
              <w:rPr>
                <w:sz w:val="18"/>
                <w:szCs w:val="18"/>
                <w:color w:val="auto"/>
              </w:rPr>
            </w:pPr>
          </w:p>
        </w:tc>
        <w:tc>
          <w:tcPr>
            <w:tcW w:w="8920" w:type="dxa"/>
            <w:vAlign w:val="bottom"/>
            <w:gridSpan w:val="21"/>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with the SEC on March 24, 2023).</w:t>
              </w:r>
            </w:hyperlink>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8920" w:type="dxa"/>
            <w:vAlign w:val="bottom"/>
            <w:gridSpan w:val="21"/>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Indemnity Agreement (incorporated by reference to Exhibit 10.13 of Zura’s Current Report on Form 8-K (File No.</w:t>
              </w:r>
            </w:hyperlink>
          </w:p>
        </w:tc>
      </w:tr>
      <w:tr>
        <w:trPr>
          <w:trHeight w:val="210"/>
        </w:trPr>
        <w:tc>
          <w:tcPr>
            <w:tcW w:w="1000" w:type="dxa"/>
            <w:vAlign w:val="bottom"/>
          </w:tcPr>
          <w:p>
            <w:pPr>
              <w:spacing w:after="0"/>
              <w:rPr>
                <w:sz w:val="18"/>
                <w:szCs w:val="18"/>
                <w:color w:val="auto"/>
              </w:rPr>
            </w:pPr>
          </w:p>
        </w:tc>
        <w:tc>
          <w:tcPr>
            <w:tcW w:w="890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001-40598) filed with the SEC on March 24, 2023).</w:t>
              </w:r>
            </w:hyperlink>
          </w:p>
        </w:tc>
        <w:tc>
          <w:tcPr>
            <w:tcW w:w="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2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4"/>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8920" w:type="dxa"/>
            <w:vAlign w:val="bottom"/>
            <w:gridSpan w:val="21"/>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Zura Bio Limited 2023 Employee Stock Purchase Plan (incorporated by reference to Exhibit 10.12 of the Company’s</w:t>
              </w:r>
            </w:hyperlink>
          </w:p>
        </w:tc>
      </w:tr>
      <w:tr>
        <w:trPr>
          <w:trHeight w:val="210"/>
        </w:trPr>
        <w:tc>
          <w:tcPr>
            <w:tcW w:w="1000" w:type="dxa"/>
            <w:vAlign w:val="bottom"/>
          </w:tcPr>
          <w:p>
            <w:pPr>
              <w:spacing w:after="0"/>
              <w:rPr>
                <w:sz w:val="18"/>
                <w:szCs w:val="18"/>
                <w:color w:val="auto"/>
              </w:rPr>
            </w:pPr>
          </w:p>
        </w:tc>
        <w:tc>
          <w:tcPr>
            <w:tcW w:w="8900" w:type="dxa"/>
            <w:vAlign w:val="bottom"/>
            <w:tcBorders>
              <w:top w:val="single" w:sz="8" w:color="0000EE"/>
            </w:tcBorders>
            <w:gridSpan w:val="20"/>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Current Report on Form 8-K (File No. 001 40598), filed with the SEC on March 24, 2023).</w:t>
              </w:r>
            </w:hyperlink>
          </w:p>
        </w:tc>
        <w:tc>
          <w:tcPr>
            <w:tcW w:w="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2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Share Option Award Agreement (incorporated by reference to Annex C of the Definitive Proxy Statement on Schedule 14A</w:t>
              </w:r>
            </w:hyperlink>
          </w:p>
        </w:tc>
      </w:tr>
      <w:tr>
        <w:trPr>
          <w:trHeight w:val="210"/>
        </w:trPr>
        <w:tc>
          <w:tcPr>
            <w:tcW w:w="1000" w:type="dxa"/>
            <w:vAlign w:val="bottom"/>
          </w:tcPr>
          <w:p>
            <w:pPr>
              <w:spacing w:after="0"/>
              <w:rPr>
                <w:sz w:val="18"/>
                <w:szCs w:val="18"/>
                <w:color w:val="auto"/>
              </w:rPr>
            </w:pPr>
          </w:p>
        </w:tc>
        <w:tc>
          <w:tcPr>
            <w:tcW w:w="8920" w:type="dxa"/>
            <w:vAlign w:val="bottom"/>
            <w:gridSpan w:val="21"/>
          </w:tcPr>
          <w:p>
            <w:pPr>
              <w:spacing w:after="0"/>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filed by the Issuer with the SEC on May 19, 2023).</w:t>
              </w:r>
            </w:hyperlink>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2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8920" w:type="dxa"/>
            <w:vAlign w:val="bottom"/>
            <w:gridSpan w:val="21"/>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Letter Agreement, dated as of December 8, 2022, by and among Zura Bio Limited and Stone Peach Properties LLC</w:t>
              </w:r>
            </w:hyperlink>
          </w:p>
        </w:tc>
      </w:tr>
      <w:tr>
        <w:trPr>
          <w:trHeight w:val="20"/>
        </w:trPr>
        <w:tc>
          <w:tcPr>
            <w:tcW w:w="10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2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4560" w:type="dxa"/>
            <w:vAlign w:val="bottom"/>
            <w:tcBorders>
              <w:right w:val="single" w:sz="8" w:color="0000EE"/>
            </w:tcBorders>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8920" w:type="dxa"/>
            <w:vAlign w:val="bottom"/>
            <w:gridSpan w:val="21"/>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(incorporated by reference to Exhibit 10.27 of JATT’s Form S-4/A (File No. 333-267005) filed with the SEC on December</w:t>
              </w:r>
            </w:hyperlink>
          </w:p>
        </w:tc>
      </w:tr>
      <w:tr>
        <w:trPr>
          <w:trHeight w:val="210"/>
        </w:trPr>
        <w:tc>
          <w:tcPr>
            <w:tcW w:w="1000" w:type="dxa"/>
            <w:vAlign w:val="bottom"/>
          </w:tcPr>
          <w:p>
            <w:pPr>
              <w:spacing w:after="0"/>
              <w:rPr>
                <w:sz w:val="18"/>
                <w:szCs w:val="18"/>
                <w:color w:val="auto"/>
              </w:rPr>
            </w:pPr>
          </w:p>
        </w:tc>
        <w:tc>
          <w:tcPr>
            <w:tcW w:w="74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r:id="rId155">
              <w:r>
                <w:rPr>
                  <w:rFonts w:ascii="Times New Roman" w:cs="Times New Roman" w:eastAsia="Times New Roman" w:hAnsi="Times New Roman"/>
                  <w:sz w:val="18"/>
                  <w:szCs w:val="18"/>
                  <w:color w:val="0000EE"/>
                  <w:w w:val="97"/>
                </w:rPr>
                <w:t>14, 2022).</w:t>
              </w:r>
            </w:hyperlink>
          </w:p>
        </w:tc>
        <w:tc>
          <w:tcPr>
            <w:tcW w:w="8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Offer Letter Agreement with Kim Davis, dated November 22, 2022 (incorporated by reference to Exhibit 10.39 to the Form</w:t>
              </w:r>
            </w:hyperlink>
          </w:p>
        </w:tc>
      </w:tr>
      <w:tr>
        <w:trPr>
          <w:trHeight w:val="210"/>
        </w:trPr>
        <w:tc>
          <w:tcPr>
            <w:tcW w:w="1000" w:type="dxa"/>
            <w:vAlign w:val="bottom"/>
          </w:tcPr>
          <w:p>
            <w:pPr>
              <w:spacing w:after="0"/>
              <w:rPr>
                <w:sz w:val="18"/>
                <w:szCs w:val="18"/>
                <w:color w:val="auto"/>
              </w:rPr>
            </w:pPr>
          </w:p>
        </w:tc>
        <w:tc>
          <w:tcPr>
            <w:tcW w:w="8920" w:type="dxa"/>
            <w:vAlign w:val="bottom"/>
            <w:gridSpan w:val="21"/>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S-1/A filed by the Issuer with the SEC on August 11, 2023).</w:t>
              </w:r>
            </w:hyperlink>
          </w:p>
        </w:tc>
      </w:tr>
      <w:tr>
        <w:trPr>
          <w:trHeight w:val="20"/>
        </w:trPr>
        <w:tc>
          <w:tcPr>
            <w:tcW w:w="100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2020" w:type="dxa"/>
            <w:vAlign w:val="bottom"/>
            <w:tcBorders>
              <w:right w:val="single" w:sz="8" w:color="0000EE"/>
            </w:tcBorders>
            <w:gridSpan w:val="4"/>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4580" w:type="dxa"/>
            <w:vAlign w:val="bottom"/>
            <w:gridSpan w:val="8"/>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Letter dated February 23, 2024 from Marcum LLP to the Securities and Exchange Commission regarding change in</w:t>
              </w:r>
            </w:hyperlink>
          </w:p>
        </w:tc>
      </w:tr>
      <w:tr>
        <w:trPr>
          <w:trHeight w:val="210"/>
        </w:trPr>
        <w:tc>
          <w:tcPr>
            <w:tcW w:w="1000" w:type="dxa"/>
            <w:vAlign w:val="bottom"/>
          </w:tcPr>
          <w:p>
            <w:pPr>
              <w:spacing w:after="0"/>
              <w:rPr>
                <w:sz w:val="18"/>
                <w:szCs w:val="18"/>
                <w:color w:val="auto"/>
              </w:rPr>
            </w:pPr>
          </w:p>
        </w:tc>
        <w:tc>
          <w:tcPr>
            <w:tcW w:w="89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Certifying Accountant of the Company (incorporated by reference to Exhibit 16.1 to the Current Report on Form 8-K filed</w:t>
              </w:r>
            </w:hyperlink>
          </w:p>
        </w:tc>
      </w:tr>
      <w:tr>
        <w:trPr>
          <w:trHeight w:val="209"/>
        </w:trPr>
        <w:tc>
          <w:tcPr>
            <w:tcW w:w="1000" w:type="dxa"/>
            <w:vAlign w:val="bottom"/>
          </w:tcPr>
          <w:p>
            <w:pPr>
              <w:spacing w:after="0"/>
              <w:rPr>
                <w:sz w:val="18"/>
                <w:szCs w:val="18"/>
                <w:color w:val="auto"/>
              </w:rPr>
            </w:pPr>
          </w:p>
        </w:tc>
        <w:tc>
          <w:tcPr>
            <w:tcW w:w="36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by the Issuer with the SEC on February 23, 2024).</w:t>
              </w:r>
            </w:hyperlink>
          </w:p>
        </w:tc>
        <w:tc>
          <w:tcPr>
            <w:tcW w:w="5240" w:type="dxa"/>
            <w:vAlign w:val="bottom"/>
            <w:gridSpan w:val="12"/>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6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Insider Trading Policy.</w:t>
            </w:r>
          </w:p>
        </w:tc>
        <w:tc>
          <w:tcPr>
            <w:tcW w:w="7260" w:type="dxa"/>
            <w:vAlign w:val="bottom"/>
            <w:gridSpan w:val="16"/>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8920" w:type="dxa"/>
            <w:vAlign w:val="bottom"/>
            <w:gridSpan w:val="9"/>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List of Subsidiaries of Zura Bio Limited (incorporated by reference to Exhibit 21.2 of JATT’s Form S-4/A (File No. 333-</w:t>
              </w:r>
            </w:hyperlink>
          </w:p>
        </w:tc>
      </w:tr>
      <w:tr>
        <w:trPr>
          <w:trHeight w:val="209"/>
        </w:trPr>
        <w:tc>
          <w:tcPr>
            <w:tcW w:w="1000" w:type="dxa"/>
            <w:vAlign w:val="bottom"/>
          </w:tcPr>
          <w:p>
            <w:pPr>
              <w:spacing w:after="0"/>
              <w:rPr>
                <w:sz w:val="18"/>
                <w:szCs w:val="18"/>
                <w:color w:val="auto"/>
              </w:rPr>
            </w:pPr>
          </w:p>
        </w:tc>
        <w:tc>
          <w:tcPr>
            <w:tcW w:w="362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267005) filed with the SEC on October 25, 2022).</w:t>
              </w:r>
            </w:hyperlink>
          </w:p>
        </w:tc>
        <w:tc>
          <w:tcPr>
            <w:tcW w:w="5280" w:type="dxa"/>
            <w:vAlign w:val="bottom"/>
            <w:tcBorders>
              <w:top w:val="single" w:sz="8" w:color="0000EE"/>
            </w:tcBorders>
            <w:gridSpan w:val="4"/>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8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WithumSmith+Brown, PC, independent registered public accounting firm of Zura.</w:t>
            </w: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35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signature page).</w:t>
            </w:r>
          </w:p>
        </w:tc>
        <w:tc>
          <w:tcPr>
            <w:tcW w:w="3280" w:type="dxa"/>
            <w:vAlign w:val="bottom"/>
            <w:tcBorders>
              <w:top w:val="single" w:sz="8" w:color="0000EE"/>
            </w:tcBorders>
            <w:gridSpan w:val="2"/>
          </w:tcPr>
          <w:p>
            <w:pPr>
              <w:spacing w:after="0"/>
              <w:rPr>
                <w:sz w:val="18"/>
                <w:szCs w:val="18"/>
                <w:color w:val="auto"/>
              </w:rPr>
            </w:pPr>
          </w:p>
        </w:tc>
        <w:tc>
          <w:tcPr>
            <w:tcW w:w="2140" w:type="dxa"/>
            <w:vAlign w:val="bottom"/>
            <w:gridSpan w:val="4"/>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4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Section 302 of the Sarbanes-Oxley Act of 2002</w:t>
            </w:r>
          </w:p>
        </w:tc>
        <w:tc>
          <w:tcPr>
            <w:tcW w:w="1460" w:type="dxa"/>
            <w:vAlign w:val="bottom"/>
            <w:gridSpan w:val="2"/>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Section 302 of the Sarbanes-Oxley Act of 2002</w:t>
            </w:r>
          </w:p>
        </w:tc>
      </w:tr>
      <w:tr>
        <w:trPr>
          <w:trHeight w:val="20"/>
        </w:trPr>
        <w:tc>
          <w:tcPr>
            <w:tcW w:w="10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5340" w:type="dxa"/>
            <w:vAlign w:val="bottom"/>
            <w:gridSpan w:val="4"/>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w:t>
            </w:r>
          </w:p>
        </w:tc>
      </w:tr>
      <w:tr>
        <w:trPr>
          <w:trHeight w:val="210"/>
        </w:trPr>
        <w:tc>
          <w:tcPr>
            <w:tcW w:w="1000" w:type="dxa"/>
            <w:vAlign w:val="bottom"/>
          </w:tcPr>
          <w:p>
            <w:pPr>
              <w:spacing w:after="0"/>
              <w:rPr>
                <w:sz w:val="18"/>
                <w:szCs w:val="18"/>
                <w:color w:val="auto"/>
              </w:rPr>
            </w:pPr>
          </w:p>
        </w:tc>
        <w:tc>
          <w:tcPr>
            <w:tcW w:w="89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Sarbanes-Oxley Act of 2002</w:t>
            </w:r>
          </w:p>
        </w:tc>
        <w:tc>
          <w:tcPr>
            <w:tcW w:w="2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860" w:type="dxa"/>
            <w:vAlign w:val="bottom"/>
            <w:gridSpan w:val="7"/>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9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w:t>
            </w:r>
          </w:p>
        </w:tc>
      </w:tr>
      <w:tr>
        <w:trPr>
          <w:trHeight w:val="209"/>
        </w:trPr>
        <w:tc>
          <w:tcPr>
            <w:tcW w:w="1000" w:type="dxa"/>
            <w:vAlign w:val="bottom"/>
          </w:tcPr>
          <w:p>
            <w:pPr>
              <w:spacing w:after="0"/>
              <w:rPr>
                <w:sz w:val="18"/>
                <w:szCs w:val="18"/>
                <w:color w:val="auto"/>
              </w:rPr>
            </w:pPr>
          </w:p>
        </w:tc>
        <w:tc>
          <w:tcPr>
            <w:tcW w:w="892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Sarbanes-Oxley Act of 2002</w:t>
            </w:r>
          </w:p>
        </w:tc>
      </w:tr>
      <w:tr>
        <w:trPr>
          <w:trHeight w:val="20"/>
        </w:trPr>
        <w:tc>
          <w:tcPr>
            <w:tcW w:w="10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6860" w:type="dxa"/>
            <w:vAlign w:val="bottom"/>
            <w:gridSpan w:val="7"/>
          </w:tcPr>
          <w:p>
            <w:pPr>
              <w:spacing w:after="0" w:line="20" w:lineRule="exact"/>
              <w:rPr>
                <w:sz w:val="1"/>
                <w:szCs w:val="1"/>
                <w:color w:val="auto"/>
              </w:rPr>
            </w:pPr>
          </w:p>
        </w:tc>
      </w:tr>
      <w:tr>
        <w:trPr>
          <w:trHeight w:val="21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89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Clawback Policy (incorporated by reference to Exhibit 97.1 to the Company’s Annual Report on Form 10-K filed on March</w:t>
              </w:r>
            </w:hyperlink>
          </w:p>
        </w:tc>
      </w:tr>
      <w:tr>
        <w:trPr>
          <w:trHeight w:val="209"/>
        </w:trPr>
        <w:tc>
          <w:tcPr>
            <w:tcW w:w="1000" w:type="dxa"/>
            <w:vAlign w:val="bottom"/>
          </w:tcPr>
          <w:p>
            <w:pPr>
              <w:spacing w:after="0"/>
              <w:rPr>
                <w:sz w:val="18"/>
                <w:szCs w:val="18"/>
                <w:color w:val="auto"/>
              </w:rPr>
            </w:pPr>
          </w:p>
        </w:tc>
        <w:tc>
          <w:tcPr>
            <w:tcW w:w="7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160">
              <w:r>
                <w:rPr>
                  <w:rFonts w:ascii="Times New Roman" w:cs="Times New Roman" w:eastAsia="Times New Roman" w:hAnsi="Times New Roman"/>
                  <w:sz w:val="18"/>
                  <w:szCs w:val="18"/>
                  <w:color w:val="0000EE"/>
                  <w:w w:val="97"/>
                </w:rPr>
                <w:t>28, 2024).</w:t>
              </w:r>
            </w:hyperlink>
          </w:p>
        </w:tc>
        <w:tc>
          <w:tcPr>
            <w:tcW w:w="1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2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9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1000" w:hanging="991"/>
        <w:spacing w:after="0"/>
        <w:tabs>
          <w:tab w:leader="none" w:pos="100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3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-187960</wp:posOffset>
            </wp:positionV>
            <wp:extent cx="15684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 w:lineRule="exact"/>
        <w:rPr>
          <w:sz w:val="20"/>
          <w:szCs w:val="20"/>
          <w:color w:val="auto"/>
        </w:rPr>
      </w:pPr>
    </w:p>
    <w:p>
      <w:pPr>
        <w:jc w:val="both"/>
        <w:ind w:left="340" w:hanging="332"/>
        <w:spacing w:after="0" w:line="250" w:lineRule="auto"/>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redacted provisions or terms of this Exhibit pursuant to Regulation S-K Item 601(b)(10)(iv). While portions of the Exhibits have been omitted, these Exhibits include a prominent statement on the first page of each redacted Exhibit that certain identified information has been excluded from the exhibit because it is both not material and is the type that the Registrant treats as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private or confidential. The Registrant agrees to furnish an unredacted copy of the Exhibit to the SEC upon its request.</w:t>
      </w:r>
    </w:p>
    <w:p>
      <w:pPr>
        <w:spacing w:after="0" w:line="9" w:lineRule="exact"/>
        <w:rPr>
          <w:sz w:val="20"/>
          <w:szCs w:val="20"/>
          <w:color w:val="auto"/>
        </w:rPr>
      </w:pPr>
    </w:p>
    <w:p>
      <w:pPr>
        <w:ind w:left="340" w:hanging="332"/>
        <w:spacing w:after="0" w:line="250"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Regulation S-K Item 601. The Registrant agrees to furnish a copy of all omitted exhibits and schedules to the SEC upon its request.</w:t>
      </w:r>
    </w:p>
    <w:p>
      <w:pPr>
        <w:spacing w:after="0" w:line="1" w:lineRule="exact"/>
        <w:rPr>
          <w:sz w:val="20"/>
          <w:szCs w:val="20"/>
          <w:color w:val="auto"/>
        </w:rPr>
      </w:pPr>
    </w:p>
    <w:p>
      <w:pPr>
        <w:ind w:right="3180" w:firstLine="8"/>
        <w:spacing w:after="0" w:line="250" w:lineRule="auto"/>
        <w:tabs>
          <w:tab w:leader="none" w:pos="32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601(b)(2) of Regulation S-K. * Filed herewith.</w:t>
      </w: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31" w:lineRule="exact"/>
        <w:rPr>
          <w:sz w:val="20"/>
          <w:szCs w:val="20"/>
          <w:color w:val="auto"/>
        </w:rPr>
      </w:pPr>
    </w:p>
    <w:p>
      <w:pPr>
        <w:ind w:left="20"/>
        <w:spacing w:after="0"/>
        <w:tabs>
          <w:tab w:leader="none" w:pos="4760" w:val="left"/>
          <w:tab w:leader="none" w:pos="5360" w:val="left"/>
        </w:tabs>
        <w:rPr>
          <w:sz w:val="20"/>
          <w:szCs w:val="20"/>
          <w:color w:val="auto"/>
        </w:rPr>
      </w:pPr>
      <w:r>
        <w:rPr>
          <w:rFonts w:ascii="Times New Roman" w:cs="Times New Roman" w:eastAsia="Times New Roman" w:hAnsi="Times New Roman"/>
          <w:sz w:val="18"/>
          <w:szCs w:val="18"/>
          <w:color w:val="auto"/>
        </w:rPr>
        <w:t>Date: March 25,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Lisicki</w:t>
      </w:r>
    </w:p>
    <w:p>
      <w:pPr>
        <w:spacing w:after="0" w:line="3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Robert Lisicki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3409315</wp:posOffset>
            </wp:positionH>
            <wp:positionV relativeFrom="paragraph">
              <wp:posOffset>-127635</wp:posOffset>
            </wp:positionV>
            <wp:extent cx="28886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3">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Verender S. Badial and Kim Davis, and each of them, as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158" w:lineRule="exact"/>
        <w:rPr>
          <w:sz w:val="20"/>
          <w:szCs w:val="20"/>
          <w:color w:val="auto"/>
        </w:rPr>
      </w:pPr>
    </w:p>
    <w:tbl>
      <w:tblPr>
        <w:tblLayout w:type="fixed"/>
        <w:tblInd w:w="380" w:type="dxa"/>
        <w:tblCellMar>
          <w:top w:w="0" w:type="dxa"/>
          <w:left w:w="0" w:type="dxa"/>
          <w:bottom w:w="0" w:type="dxa"/>
          <w:right w:w="0" w:type="dxa"/>
        </w:tblCellMar>
      </w:tblPr>
      <w:tr>
        <w:trPr>
          <w:trHeight w:val="238"/>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8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1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/s/ Robert Lisicki</w:t>
            </w:r>
          </w:p>
        </w:tc>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8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4"/>
        </w:trPr>
        <w:tc>
          <w:tcPr>
            <w:tcW w:w="2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Robert Lisicki</w:t>
            </w:r>
          </w:p>
        </w:tc>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820" w:type="dxa"/>
            <w:vAlign w:val="bottom"/>
          </w:tcPr>
          <w:p>
            <w:pPr>
              <w:spacing w:after="0"/>
              <w:rPr>
                <w:sz w:val="20"/>
                <w:szCs w:val="20"/>
                <w:color w:val="auto"/>
              </w:rPr>
            </w:pPr>
          </w:p>
        </w:tc>
      </w:tr>
      <w:tr>
        <w:trPr>
          <w:trHeight w:val="41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8"/>
              </w:rPr>
              <w:t>/s/ Verender Badial</w:t>
            </w:r>
          </w:p>
        </w:tc>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8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4"/>
        </w:trPr>
        <w:tc>
          <w:tcPr>
            <w:tcW w:w="2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Verender Badial</w:t>
            </w:r>
          </w:p>
        </w:tc>
        <w:tc>
          <w:tcPr>
            <w:tcW w:w="4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820" w:type="dxa"/>
            <w:vAlign w:val="bottom"/>
          </w:tcPr>
          <w:p>
            <w:pPr>
              <w:spacing w:after="0"/>
              <w:rPr>
                <w:sz w:val="20"/>
                <w:szCs w:val="20"/>
                <w:color w:val="auto"/>
              </w:rPr>
            </w:pPr>
          </w:p>
        </w:tc>
      </w:tr>
      <w:tr>
        <w:trPr>
          <w:trHeight w:val="41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/s/ Amit Munshi</w:t>
            </w:r>
          </w:p>
        </w:tc>
        <w:tc>
          <w:tcPr>
            <w:tcW w:w="4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Director, Chairman of the Board</w:t>
            </w:r>
          </w:p>
        </w:tc>
        <w:tc>
          <w:tcPr>
            <w:tcW w:w="18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4"/>
        </w:trPr>
        <w:tc>
          <w:tcPr>
            <w:tcW w:w="2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Amit Munshi</w:t>
            </w:r>
          </w:p>
        </w:tc>
        <w:tc>
          <w:tcPr>
            <w:tcW w:w="43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/s/ Someit Sidhu</w:t>
            </w:r>
          </w:p>
        </w:tc>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Someit Sidhu</w:t>
            </w:r>
          </w:p>
        </w:tc>
        <w:tc>
          <w:tcPr>
            <w:tcW w:w="43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4"/>
        </w:trPr>
        <w:tc>
          <w:tcPr>
            <w:tcW w:w="2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/s/ Arnout Ploos van Amstel</w:t>
            </w:r>
          </w:p>
        </w:tc>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Arnout Ploos van Amstel</w:t>
            </w:r>
          </w:p>
        </w:tc>
        <w:tc>
          <w:tcPr>
            <w:tcW w:w="43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/s/ Steve Schoch</w:t>
            </w:r>
          </w:p>
        </w:tc>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Steve Schoch</w:t>
            </w:r>
          </w:p>
        </w:tc>
        <w:tc>
          <w:tcPr>
            <w:tcW w:w="43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/s/ Jennifer Jarrett</w:t>
            </w:r>
          </w:p>
        </w:tc>
        <w:tc>
          <w:tcPr>
            <w:tcW w:w="4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4"/>
        </w:trPr>
        <w:tc>
          <w:tcPr>
            <w:tcW w:w="252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rPr>
              <w:t>Jennifer Jarrett</w:t>
            </w:r>
          </w:p>
        </w:tc>
        <w:tc>
          <w:tcPr>
            <w:tcW w:w="43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/s/ Neil Graham</w:t>
            </w:r>
          </w:p>
        </w:tc>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Neil Graham</w:t>
            </w:r>
          </w:p>
        </w:tc>
        <w:tc>
          <w:tcPr>
            <w:tcW w:w="43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/s/ Parvinder Thiara</w:t>
            </w:r>
          </w:p>
        </w:tc>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Parvinder Thiara</w:t>
            </w:r>
          </w:p>
        </w:tc>
        <w:tc>
          <w:tcPr>
            <w:tcW w:w="438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1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/s/ Sandeep Kulkarni</w:t>
            </w:r>
          </w:p>
        </w:tc>
        <w:tc>
          <w:tcPr>
            <w:tcW w:w="4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Director</w:t>
            </w:r>
          </w:p>
        </w:tc>
        <w:tc>
          <w:tcPr>
            <w:tcW w:w="18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March 25, 2025</w:t>
            </w:r>
          </w:p>
        </w:tc>
      </w:tr>
      <w:tr>
        <w:trPr>
          <w:trHeight w:val="234"/>
        </w:trPr>
        <w:tc>
          <w:tcPr>
            <w:tcW w:w="252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Sandeep Kulkarni</w:t>
            </w:r>
          </w:p>
        </w:tc>
        <w:tc>
          <w:tcPr>
            <w:tcW w:w="4380" w:type="dxa"/>
            <w:vAlign w:val="bottom"/>
          </w:tcPr>
          <w:p>
            <w:pPr>
              <w:spacing w:after="0"/>
              <w:rPr>
                <w:sz w:val="20"/>
                <w:szCs w:val="20"/>
                <w:color w:val="auto"/>
              </w:rPr>
            </w:pPr>
          </w:p>
        </w:tc>
        <w:tc>
          <w:tcPr>
            <w:tcW w:w="18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07"/>
        </w:trPr>
        <w:tc>
          <w:tcPr>
            <w:tcW w:w="89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80" w:type="dxa"/>
            <w:vAlign w:val="bottom"/>
            <w:gridSpan w:val="3"/>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w w:val="99"/>
              </w:rPr>
              <w:t>ZURA BIO LIMITED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20" w:type="dxa"/>
            <w:vAlign w:val="bottom"/>
            <w:gridSpan w:val="6"/>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0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20" w:type="dxa"/>
            <w:vAlign w:val="bottom"/>
            <w:gridSpan w:val="10"/>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9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720" w:type="dxa"/>
            <w:vAlign w:val="bottom"/>
            <w:tcBorders>
              <w:top w:val="single" w:sz="8" w:color="CCEEFF"/>
            </w:tcBorders>
            <w:gridSpan w:val="2"/>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20" w:type="dxa"/>
            <w:vAlign w:val="bottom"/>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in Redeemable Noncontrolling Interest, Convertible Preferred Shares, and</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20" w:type="dxa"/>
            <w:vAlign w:val="bottom"/>
            <w:gridSpan w:val="10"/>
          </w:tcPr>
          <w:p>
            <w:pPr>
              <w:ind w:left="120"/>
              <w:spacing w:after="0" w:line="196" w:lineRule="exact"/>
              <w:rPr>
                <w:sz w:val="20"/>
                <w:szCs w:val="20"/>
                <w:color w:val="auto"/>
              </w:rPr>
            </w:pPr>
            <w:r>
              <w:rPr>
                <w:rFonts w:ascii="Times New Roman" w:cs="Times New Roman" w:eastAsia="Times New Roman" w:hAnsi="Times New Roman"/>
                <w:sz w:val="18"/>
                <w:szCs w:val="18"/>
                <w:color w:val="0000EE"/>
              </w:rPr>
              <w:t>Shareholders’ Equity (Deficit)</w:t>
            </w:r>
          </w:p>
        </w:tc>
        <w:tc>
          <w:tcPr>
            <w:tcW w:w="9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Consolidated Statements of Cash Flows</w:t>
            </w:r>
          </w:p>
        </w:tc>
        <w:tc>
          <w:tcPr>
            <w:tcW w:w="6060" w:type="dxa"/>
            <w:vAlign w:val="bottom"/>
            <w:tcBorders>
              <w:bottom w:val="single" w:sz="8" w:color="CCEEFF"/>
            </w:tcBorders>
            <w:gridSpan w:val="4"/>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314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5780" w:type="dxa"/>
            <w:vAlign w:val="bottom"/>
            <w:gridSpan w:val="3"/>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F-7 to F-29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Zura Bio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Zura Bio Limited (the “Company”) as of December 31, 2024 and 2023, and the related consolidated financial statements of operations, changes in redeemable noncontrolling interest, convertible preferred shares, and shareholders’ equity (deficit), and cash flows for each of the two years in the period ended December 31, 2024, and the related consolidated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two years in the period ended December 31, 2024,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Brunswick,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176,498</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179,533</w:t>
            </w:r>
          </w:p>
        </w:tc>
        <w:tc>
          <w:tcPr>
            <w:tcW w:w="240" w:type="dxa"/>
            <w:vAlign w:val="bottom"/>
          </w:tcPr>
          <w:p>
            <w:pPr>
              <w:spacing w:after="0"/>
              <w:rPr>
                <w:sz w:val="21"/>
                <w:szCs w:val="21"/>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100,843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 and Shareholders' Equity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11,663</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 authorized as of December 31, 2024 and 2023; no</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issued and outstanding as of December 31, 2024 and 2023</w:t>
            </w:r>
          </w:p>
        </w:tc>
        <w:tc>
          <w:tcPr>
            <w:tcW w:w="22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Ordinary Shares, $0.0001 par value; 300,000,000 shares authorized as of December 31,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 and 2023; 65,297,530 and 43,593,678 shares issued and outstanding as of December 31,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302,705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(155,897)</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(103,494)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Zura Bio Limited shareholders' equity</w:t>
            </w: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146,815</w:t>
            </w:r>
          </w:p>
        </w:tc>
        <w:tc>
          <w:tcPr>
            <w:tcW w:w="2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148,356</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noncontrolling interest and shareholders'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179,533</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8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24,401</w:t>
            </w:r>
          </w:p>
        </w:tc>
        <w:tc>
          <w:tcPr>
            <w:tcW w:w="2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43,999</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30,788</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62,638</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(55,189)</w:t>
            </w: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(62,638)</w:t>
            </w:r>
          </w:p>
        </w:tc>
        <w:tc>
          <w:tcPr>
            <w:tcW w:w="0" w:type="dxa"/>
            <w:vAlign w:val="bottom"/>
          </w:tcPr>
          <w:p>
            <w:pPr>
              <w:spacing w:after="0"/>
              <w:rPr>
                <w:sz w:val="1"/>
                <w:szCs w:val="1"/>
                <w:color w:val="auto"/>
              </w:rPr>
            </w:pP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(7,998)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private placement warrants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note payable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0" w:type="dxa"/>
            <w:vAlign w:val="bottom"/>
          </w:tcPr>
          <w:p>
            <w:pPr>
              <w:spacing w:after="0"/>
              <w:rPr>
                <w:sz w:val="1"/>
                <w:szCs w:val="1"/>
                <w:color w:val="auto"/>
              </w:rPr>
            </w:pPr>
          </w:p>
        </w:tc>
      </w:tr>
      <w:tr>
        <w:trPr>
          <w:trHeight w:val="216"/>
        </w:trPr>
        <w:tc>
          <w:tcPr>
            <w:tcW w:w="6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6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net</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0" w:type="dxa"/>
            <w:vAlign w:val="bottom"/>
          </w:tcPr>
          <w:p>
            <w:pPr>
              <w:spacing w:after="0"/>
              <w:rPr>
                <w:sz w:val="1"/>
                <w:szCs w:val="1"/>
                <w:color w:val="auto"/>
              </w:rPr>
            </w:pPr>
          </w:p>
        </w:tc>
      </w:tr>
      <w:tr>
        <w:trPr>
          <w:trHeight w:val="21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(60,563)</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redeemable noncontrolling interest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(60,563)</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0"/>
        </w:trPr>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(60,360)</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Adjustment of redeemable noncontrolling interest from redemption value to carrying value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redeemable noncontrolling interest to redemption value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Deemed contribution from redeemable noncontrolling interest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dividend to redeemable noncontrolling interest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0" w:type="dxa"/>
            <w:vAlign w:val="bottom"/>
          </w:tcPr>
          <w:p>
            <w:pPr>
              <w:spacing w:after="0"/>
              <w:rPr>
                <w:sz w:val="1"/>
                <w:szCs w:val="1"/>
                <w:color w:val="auto"/>
              </w:rPr>
            </w:pPr>
          </w:p>
        </w:tc>
      </w:tr>
      <w:tr>
        <w:trPr>
          <w:trHeight w:val="250"/>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Class A Ordinary Shareholders of Zura</w:t>
            </w:r>
          </w:p>
        </w:tc>
        <w:tc>
          <w:tcPr>
            <w:tcW w:w="1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(45,386)</w:t>
            </w:r>
          </w:p>
        </w:tc>
        <w:tc>
          <w:tcPr>
            <w:tcW w:w="2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(69,243)</w:t>
            </w:r>
          </w:p>
        </w:tc>
        <w:tc>
          <w:tcPr>
            <w:tcW w:w="0" w:type="dxa"/>
            <w:vAlign w:val="bottom"/>
          </w:tcPr>
          <w:p>
            <w:pPr>
              <w:spacing w:after="0"/>
              <w:rPr>
                <w:sz w:val="1"/>
                <w:szCs w:val="1"/>
                <w:color w:val="auto"/>
              </w:rPr>
            </w:pPr>
          </w:p>
        </w:tc>
      </w:tr>
      <w:tr>
        <w:trPr>
          <w:trHeight w:val="196"/>
        </w:trPr>
        <w:tc>
          <w:tcPr>
            <w:tcW w:w="68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Class A Ordinary Shareholders of Zura, basic and diluted</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2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Weighted-average Class A Ordinary Shares used in computing net loss per share attributable</w:t>
            </w: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8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75,070,761</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33,064,036</w:t>
            </w:r>
          </w:p>
        </w:tc>
        <w:tc>
          <w:tcPr>
            <w:tcW w:w="0" w:type="dxa"/>
            <w:vAlign w:val="bottom"/>
          </w:tcPr>
          <w:p>
            <w:pPr>
              <w:spacing w:after="0"/>
              <w:rPr>
                <w:sz w:val="1"/>
                <w:szCs w:val="1"/>
                <w:color w:val="auto"/>
              </w:rPr>
            </w:pPr>
          </w:p>
        </w:tc>
      </w:tr>
      <w:tr>
        <w:trPr>
          <w:trHeight w:val="221"/>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Class A Ordinary Shareholders of Zura, basic and diluted</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3" w:name="page114"/>
    <w:bookmarkEnd w:id="113"/>
    <w:p>
      <w:pPr>
        <w:ind w:left="1"/>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90" w:lineRule="exact"/>
        <w:rPr>
          <w:sz w:val="20"/>
          <w:szCs w:val="20"/>
          <w:color w:val="auto"/>
        </w:rPr>
      </w:pPr>
    </w:p>
    <w:p>
      <w:pPr>
        <w:jc w:val="center"/>
        <w:ind w:left="1140" w:right="120"/>
        <w:spacing w:after="0" w:line="263"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Noncontrolling Interest, Convertible Preferred Shares, and Shareholders’ Equity (Deficit)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7"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Redeemable</w:t>
            </w:r>
          </w:p>
        </w:tc>
        <w:tc>
          <w:tcPr>
            <w:tcW w:w="1460" w:type="dxa"/>
            <w:vAlign w:val="bottom"/>
            <w:tcBorders>
              <w:right w:val="single" w:sz="8" w:color="auto"/>
            </w:tcBorders>
            <w:gridSpan w:val="5"/>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Convertible Preferred</w:t>
            </w:r>
          </w:p>
        </w:tc>
        <w:tc>
          <w:tcPr>
            <w:tcW w:w="60" w:type="dxa"/>
            <w:vAlign w:val="bottom"/>
          </w:tcPr>
          <w:p>
            <w:pPr>
              <w:spacing w:after="0"/>
              <w:rPr>
                <w:sz w:val="12"/>
                <w:szCs w:val="12"/>
                <w:color w:val="auto"/>
              </w:rPr>
            </w:pPr>
          </w:p>
        </w:tc>
        <w:tc>
          <w:tcPr>
            <w:tcW w:w="980" w:type="dxa"/>
            <w:vAlign w:val="bottom"/>
            <w:gridSpan w:val="3"/>
          </w:tcPr>
          <w:p>
            <w:pPr>
              <w:ind w:left="42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300" w:type="dxa"/>
            <w:vAlign w:val="bottom"/>
          </w:tcPr>
          <w:p>
            <w:pPr>
              <w:spacing w:after="0"/>
              <w:rPr>
                <w:sz w:val="12"/>
                <w:szCs w:val="12"/>
                <w:color w:val="auto"/>
              </w:rPr>
            </w:pPr>
          </w:p>
        </w:tc>
        <w:tc>
          <w:tcPr>
            <w:tcW w:w="88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8"/>
        </w:trPr>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460" w:type="dxa"/>
            <w:vAlign w:val="bottom"/>
            <w:tcBorders>
              <w:right w:val="single" w:sz="8" w:color="auto"/>
            </w:tcBorders>
            <w:gridSpan w:val="5"/>
          </w:tcPr>
          <w:p>
            <w:pPr>
              <w:jc w:val="right"/>
              <w:ind w:right="453"/>
              <w:spacing w:after="0" w:line="168" w:lineRule="exact"/>
              <w:rPr>
                <w:sz w:val="20"/>
                <w:szCs w:val="20"/>
                <w:color w:val="auto"/>
              </w:rPr>
            </w:pP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9"/>
                <w:szCs w:val="19"/>
                <w:color w:val="auto"/>
                <w:vertAlign w:val="superscript"/>
              </w:rPr>
              <w:t>(1)</w:t>
            </w:r>
          </w:p>
        </w:tc>
        <w:tc>
          <w:tcPr>
            <w:tcW w:w="60" w:type="dxa"/>
            <w:vAlign w:val="bottom"/>
          </w:tcPr>
          <w:p>
            <w:pPr>
              <w:spacing w:after="0"/>
              <w:rPr>
                <w:sz w:val="14"/>
                <w:szCs w:val="14"/>
                <w:color w:val="auto"/>
              </w:rPr>
            </w:pPr>
          </w:p>
        </w:tc>
        <w:tc>
          <w:tcPr>
            <w:tcW w:w="1280" w:type="dxa"/>
            <w:vAlign w:val="bottom"/>
            <w:gridSpan w:val="4"/>
          </w:tcPr>
          <w:p>
            <w:pPr>
              <w:jc w:val="right"/>
              <w:ind w:right="13"/>
              <w:spacing w:after="0" w:line="168" w:lineRule="exact"/>
              <w:rPr>
                <w:sz w:val="20"/>
                <w:szCs w:val="20"/>
                <w:color w:val="auto"/>
              </w:rPr>
            </w:pPr>
            <w:r>
              <w:rPr>
                <w:rFonts w:ascii="Times New Roman" w:cs="Times New Roman" w:eastAsia="Times New Roman" w:hAnsi="Times New Roman"/>
                <w:sz w:val="13"/>
                <w:szCs w:val="13"/>
                <w:b w:val="1"/>
                <w:bCs w:val="1"/>
                <w:color w:val="auto"/>
              </w:rPr>
              <w:t>Ordinary Shares</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9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Shareholders’</w:t>
            </w:r>
          </w:p>
        </w:tc>
      </w:tr>
      <w:tr>
        <w:trPr>
          <w:trHeight w:val="142"/>
        </w:trPr>
        <w:tc>
          <w:tcPr>
            <w:tcW w:w="2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78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right w:val="single" w:sz="8" w:color="auto"/>
            </w:tcBorders>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2"/>
                <w:szCs w:val="12"/>
                <w:color w:val="auto"/>
              </w:rPr>
            </w:pPr>
          </w:p>
        </w:tc>
        <w:tc>
          <w:tcPr>
            <w:tcW w:w="78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0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2"/>
                <w:szCs w:val="12"/>
                <w:color w:val="auto"/>
              </w:rPr>
            </w:pPr>
          </w:p>
        </w:tc>
        <w:tc>
          <w:tcPr>
            <w:tcW w:w="7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90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Equity (Deficit)</w:t>
            </w:r>
          </w:p>
        </w:tc>
      </w:tr>
      <w:tr>
        <w:trPr>
          <w:trHeight w:val="142"/>
        </w:trPr>
        <w:tc>
          <w:tcPr>
            <w:tcW w:w="26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10,000</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13,510,415</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right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12,500</w:t>
            </w: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279,720</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(32,056)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(32,056)</w:t>
            </w:r>
          </w:p>
        </w:tc>
        <w:tc>
          <w:tcPr>
            <w:tcW w:w="20" w:type="dxa"/>
            <w:vAlign w:val="bottom"/>
          </w:tcPr>
          <w:p>
            <w:pPr>
              <w:spacing w:after="0"/>
              <w:rPr>
                <w:sz w:val="12"/>
                <w:szCs w:val="12"/>
                <w:color w:val="auto"/>
              </w:rPr>
            </w:pPr>
          </w:p>
        </w:tc>
      </w:tr>
      <w:tr>
        <w:trPr>
          <w:trHeight w:val="136"/>
        </w:trPr>
        <w:tc>
          <w:tcPr>
            <w:tcW w:w="26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Issuance of Series A-1 convertible preferred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shares as license compensation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267,939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2,186</w:t>
            </w: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26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Conversion of Series A-1 convertible preferred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shares to Class A Ordinary Shares in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connection with Business Combination</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(13,778,354)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8"/>
              </w:rPr>
              <w:t>(14,686)</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13,778,354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14,686</w:t>
            </w:r>
          </w:p>
        </w:tc>
        <w:tc>
          <w:tcPr>
            <w:tcW w:w="20" w:type="dxa"/>
            <w:vAlign w:val="bottom"/>
          </w:tcPr>
          <w:p>
            <w:pPr>
              <w:spacing w:after="0"/>
              <w:rPr>
                <w:sz w:val="14"/>
                <w:szCs w:val="14"/>
                <w:color w:val="auto"/>
              </w:rPr>
            </w:pPr>
          </w:p>
        </w:tc>
      </w:tr>
      <w:tr>
        <w:trPr>
          <w:trHeight w:val="136"/>
        </w:trPr>
        <w:tc>
          <w:tcPr>
            <w:tcW w:w="26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Issuance of Class A Ordinary Shares 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connection with Business Combination,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including PIPE Investment, Forward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Purchase Investment, and Backstop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net of $4.0 million of transaction 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12,444,081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48,351</w:t>
            </w:r>
          </w:p>
        </w:tc>
        <w:tc>
          <w:tcPr>
            <w:tcW w:w="20" w:type="dxa"/>
            <w:vAlign w:val="bottom"/>
          </w:tcPr>
          <w:p>
            <w:pPr>
              <w:spacing w:after="0"/>
              <w:rPr>
                <w:sz w:val="14"/>
                <w:szCs w:val="14"/>
                <w:color w:val="auto"/>
              </w:rPr>
            </w:pPr>
          </w:p>
        </w:tc>
      </w:tr>
      <w:tr>
        <w:trPr>
          <w:trHeight w:val="136"/>
        </w:trPr>
        <w:tc>
          <w:tcPr>
            <w:tcW w:w="26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Issuance of Class A Ordinary Shares to settle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research and development license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consideration liability</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4,488</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4,488</w:t>
            </w:r>
          </w:p>
        </w:tc>
        <w:tc>
          <w:tcPr>
            <w:tcW w:w="20" w:type="dxa"/>
            <w:vAlign w:val="bottom"/>
          </w:tcPr>
          <w:p>
            <w:pPr>
              <w:spacing w:after="0"/>
              <w:rPr>
                <w:sz w:val="14"/>
                <w:szCs w:val="14"/>
                <w:color w:val="auto"/>
              </w:rPr>
            </w:pPr>
          </w:p>
        </w:tc>
      </w:tr>
      <w:tr>
        <w:trPr>
          <w:trHeight w:val="136"/>
        </w:trPr>
        <w:tc>
          <w:tcPr>
            <w:tcW w:w="26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Reclassification of public warrant liability to</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equity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2,001</w:t>
            </w:r>
          </w:p>
        </w:tc>
        <w:tc>
          <w:tcPr>
            <w:tcW w:w="20" w:type="dxa"/>
            <w:vAlign w:val="bottom"/>
          </w:tcPr>
          <w:p>
            <w:pPr>
              <w:spacing w:after="0"/>
              <w:rPr>
                <w:sz w:val="14"/>
                <w:szCs w:val="14"/>
                <w:color w:val="auto"/>
              </w:rPr>
            </w:pPr>
          </w:p>
        </w:tc>
      </w:tr>
      <w:tr>
        <w:trPr>
          <w:trHeight w:val="136"/>
        </w:trPr>
        <w:tc>
          <w:tcPr>
            <w:tcW w:w="26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Issuance of Class A Ordinary Shares in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connection with April 2023 Private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Placement, net of $9.8 million of transaction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costs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15,041,530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54,133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54,134</w:t>
            </w:r>
          </w:p>
        </w:tc>
        <w:tc>
          <w:tcPr>
            <w:tcW w:w="20" w:type="dxa"/>
            <w:vAlign w:val="bottom"/>
          </w:tcPr>
          <w:p>
            <w:pPr>
              <w:spacing w:after="0"/>
              <w:rPr>
                <w:sz w:val="14"/>
                <w:szCs w:val="14"/>
                <w:color w:val="auto"/>
              </w:rPr>
            </w:pPr>
          </w:p>
        </w:tc>
      </w:tr>
      <w:tr>
        <w:trPr>
          <w:trHeight w:val="136"/>
        </w:trPr>
        <w:tc>
          <w:tcPr>
            <w:tcW w:w="26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Issuance of Pre-Funded Warrants in connection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with April 2023 Private Placement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16,070</w:t>
            </w:r>
          </w:p>
        </w:tc>
        <w:tc>
          <w:tcPr>
            <w:tcW w:w="20" w:type="dxa"/>
            <w:vAlign w:val="bottom"/>
          </w:tcPr>
          <w:p>
            <w:pPr>
              <w:spacing w:after="0"/>
              <w:rPr>
                <w:sz w:val="14"/>
                <w:szCs w:val="14"/>
                <w:color w:val="auto"/>
              </w:rPr>
            </w:pPr>
          </w:p>
        </w:tc>
      </w:tr>
      <w:tr>
        <w:trPr>
          <w:trHeight w:val="136"/>
        </w:trPr>
        <w:tc>
          <w:tcPr>
            <w:tcW w:w="26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Issuance of Class A Ordinary Shares to Lilly in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connection with 2023 Lilly License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7,840</w:t>
            </w:r>
          </w:p>
        </w:tc>
        <w:tc>
          <w:tcPr>
            <w:tcW w:w="20" w:type="dxa"/>
            <w:vAlign w:val="bottom"/>
          </w:tcPr>
          <w:p>
            <w:pPr>
              <w:spacing w:after="0"/>
              <w:rPr>
                <w:sz w:val="14"/>
                <w:szCs w:val="14"/>
                <w:color w:val="auto"/>
              </w:rPr>
            </w:pPr>
          </w:p>
        </w:tc>
      </w:tr>
      <w:tr>
        <w:trPr>
          <w:trHeight w:val="149"/>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restricted share awards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499,993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r>
      <w:tr>
        <w:trPr>
          <w:trHeight w:val="148"/>
        </w:trPr>
        <w:tc>
          <w:tcPr>
            <w:tcW w:w="2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13,059</w:t>
            </w:r>
          </w:p>
        </w:tc>
        <w:tc>
          <w:tcPr>
            <w:tcW w:w="20" w:type="dxa"/>
            <w:vAlign w:val="bottom"/>
          </w:tcPr>
          <w:p>
            <w:pPr>
              <w:spacing w:after="0"/>
              <w:rPr>
                <w:sz w:val="12"/>
                <w:szCs w:val="12"/>
                <w:color w:val="auto"/>
              </w:rPr>
            </w:pPr>
          </w:p>
        </w:tc>
      </w:tr>
      <w:tr>
        <w:trPr>
          <w:trHeight w:val="148"/>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(203)</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(60,360)</w:t>
            </w:r>
          </w:p>
        </w:tc>
        <w:tc>
          <w:tcPr>
            <w:tcW w:w="14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(60,360)</w:t>
            </w:r>
          </w:p>
        </w:tc>
        <w:tc>
          <w:tcPr>
            <w:tcW w:w="20" w:type="dxa"/>
            <w:vAlign w:val="bottom"/>
          </w:tcPr>
          <w:p>
            <w:pPr>
              <w:spacing w:after="0"/>
              <w:rPr>
                <w:sz w:val="12"/>
                <w:szCs w:val="12"/>
                <w:color w:val="auto"/>
              </w:rPr>
            </w:pPr>
          </w:p>
        </w:tc>
      </w:tr>
      <w:tr>
        <w:trPr>
          <w:trHeight w:val="136"/>
        </w:trPr>
        <w:tc>
          <w:tcPr>
            <w:tcW w:w="26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Accretion of redeemable noncontrolling interest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 redemption value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(7,017)</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(203)</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(7,220)</w:t>
            </w:r>
          </w:p>
        </w:tc>
        <w:tc>
          <w:tcPr>
            <w:tcW w:w="20" w:type="dxa"/>
            <w:vAlign w:val="bottom"/>
          </w:tcPr>
          <w:p>
            <w:pPr>
              <w:spacing w:after="0"/>
              <w:rPr>
                <w:sz w:val="14"/>
                <w:szCs w:val="14"/>
                <w:color w:val="auto"/>
              </w:rPr>
            </w:pPr>
          </w:p>
        </w:tc>
      </w:tr>
      <w:tr>
        <w:trPr>
          <w:trHeight w:val="136"/>
        </w:trPr>
        <w:tc>
          <w:tcPr>
            <w:tcW w:w="26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Stone Peach Call Right issued to noncontrolling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20" w:type="dxa"/>
            <w:vAlign w:val="bottom"/>
          </w:tcPr>
          <w:p>
            <w:pPr>
              <w:spacing w:after="0"/>
              <w:rPr>
                <w:sz w:val="14"/>
                <w:szCs w:val="14"/>
                <w:color w:val="auto"/>
              </w:rPr>
            </w:pPr>
          </w:p>
        </w:tc>
      </w:tr>
      <w:tr>
        <w:trPr>
          <w:trHeight w:val="136"/>
        </w:trPr>
        <w:tc>
          <w:tcPr>
            <w:tcW w:w="26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Deemed contribution from redeemable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noncontrolling interest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(9,212)</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9,212</w:t>
            </w:r>
          </w:p>
        </w:tc>
        <w:tc>
          <w:tcPr>
            <w:tcW w:w="20" w:type="dxa"/>
            <w:vAlign w:val="bottom"/>
          </w:tcPr>
          <w:p>
            <w:pPr>
              <w:spacing w:after="0"/>
              <w:rPr>
                <w:sz w:val="14"/>
                <w:szCs w:val="14"/>
                <w:color w:val="auto"/>
              </w:rPr>
            </w:pPr>
          </w:p>
        </w:tc>
      </w:tr>
      <w:tr>
        <w:trPr>
          <w:trHeight w:val="136"/>
        </w:trPr>
        <w:tc>
          <w:tcPr>
            <w:tcW w:w="26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Deemed dividend to redeemable noncontrolling</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interest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10,875</w:t>
            </w: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(10,875)</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(10,875)</w:t>
            </w:r>
          </w:p>
        </w:tc>
      </w:tr>
      <w:tr>
        <w:trPr>
          <w:trHeight w:val="142"/>
        </w:trPr>
        <w:tc>
          <w:tcPr>
            <w:tcW w:w="26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18,680</w:t>
            </w: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right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43,593,678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162,820</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(103,494)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1,541</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60,871</w:t>
            </w:r>
          </w:p>
        </w:tc>
        <w:tc>
          <w:tcPr>
            <w:tcW w:w="20" w:type="dxa"/>
            <w:vAlign w:val="bottom"/>
          </w:tcPr>
          <w:p>
            <w:pPr>
              <w:spacing w:after="0"/>
              <w:rPr>
                <w:sz w:val="12"/>
                <w:szCs w:val="12"/>
                <w:color w:val="auto"/>
              </w:rPr>
            </w:pPr>
          </w:p>
        </w:tc>
      </w:tr>
      <w:tr>
        <w:trPr>
          <w:trHeight w:val="136"/>
        </w:trPr>
        <w:tc>
          <w:tcPr>
            <w:tcW w:w="26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Issuance of Class A Ordinary Shares 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connection with April 2024 Private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Placement, net of $7.2 million of transaction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costs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20,090,128</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55,223</w:t>
            </w:r>
          </w:p>
        </w:tc>
        <w:tc>
          <w:tcPr>
            <w:tcW w:w="20" w:type="dxa"/>
            <w:vAlign w:val="bottom"/>
          </w:tcPr>
          <w:p>
            <w:pPr>
              <w:spacing w:after="0"/>
              <w:rPr>
                <w:sz w:val="14"/>
                <w:szCs w:val="14"/>
                <w:color w:val="auto"/>
              </w:rPr>
            </w:pPr>
          </w:p>
        </w:tc>
      </w:tr>
      <w:tr>
        <w:trPr>
          <w:trHeight w:val="136"/>
        </w:trPr>
        <w:tc>
          <w:tcPr>
            <w:tcW w:w="26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Issuance of Pre-Funded Warrants in connection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with April 2024 Private Placement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50,030</w:t>
            </w:r>
          </w:p>
        </w:tc>
        <w:tc>
          <w:tcPr>
            <w:tcW w:w="20" w:type="dxa"/>
            <w:vAlign w:val="bottom"/>
          </w:tcPr>
          <w:p>
            <w:pPr>
              <w:spacing w:after="0"/>
              <w:rPr>
                <w:sz w:val="14"/>
                <w:szCs w:val="14"/>
                <w:color w:val="auto"/>
              </w:rPr>
            </w:pPr>
          </w:p>
        </w:tc>
      </w:tr>
      <w:tr>
        <w:trPr>
          <w:trHeight w:val="136"/>
        </w:trPr>
        <w:tc>
          <w:tcPr>
            <w:tcW w:w="26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Issuance of Pre-Funded Warrants in exchange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for Class A Ordinary 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(4,000,000)</w:t>
            </w: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26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Issuance of Class A Ordinary Shares in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exchange for Private Placement Warrants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1,718,108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20" w:type="dxa"/>
            <w:vAlign w:val="bottom"/>
          </w:tcPr>
          <w:p>
            <w:pPr>
              <w:spacing w:after="0"/>
              <w:rPr>
                <w:sz w:val="14"/>
                <w:szCs w:val="14"/>
                <w:color w:val="auto"/>
              </w:rPr>
            </w:pPr>
          </w:p>
        </w:tc>
      </w:tr>
      <w:tr>
        <w:trPr>
          <w:trHeight w:val="136"/>
        </w:trPr>
        <w:tc>
          <w:tcPr>
            <w:tcW w:w="266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Issuance of Class A Ordinary Shares 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1"/>
        </w:trPr>
        <w:tc>
          <w:tcPr>
            <w:tcW w:w="266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exchange for Public Warrants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2,064,082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26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Issuance of Class A Ordinary Shares in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connection with a sale under the ATM, net of</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$0.2 million of commissions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5,534</w:t>
            </w:r>
          </w:p>
        </w:tc>
        <w:tc>
          <w:tcPr>
            <w:tcW w:w="20" w:type="dxa"/>
            <w:vAlign w:val="bottom"/>
          </w:tcPr>
          <w:p>
            <w:pPr>
              <w:spacing w:after="0"/>
              <w:rPr>
                <w:sz w:val="14"/>
                <w:szCs w:val="14"/>
                <w:color w:val="auto"/>
              </w:rPr>
            </w:pPr>
          </w:p>
        </w:tc>
      </w:tr>
      <w:tr>
        <w:trPr>
          <w:trHeight w:val="149"/>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ATM transaction costs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(626)</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20" w:type="dxa"/>
            <w:vAlign w:val="bottom"/>
          </w:tcPr>
          <w:p>
            <w:pPr>
              <w:spacing w:after="0"/>
              <w:rPr>
                <w:sz w:val="12"/>
                <w:szCs w:val="12"/>
                <w:color w:val="auto"/>
              </w:rPr>
            </w:pPr>
          </w:p>
        </w:tc>
      </w:tr>
      <w:tr>
        <w:trPr>
          <w:trHeight w:val="136"/>
        </w:trPr>
        <w:tc>
          <w:tcPr>
            <w:tcW w:w="26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Issuance of Class A Ordinary Shares for</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8"/>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stock units, net of shares withheld</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 taxes</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331,534</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(318)</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c>
          <w:tcPr>
            <w:tcW w:w="20" w:type="dxa"/>
            <w:vAlign w:val="bottom"/>
          </w:tcPr>
          <w:p>
            <w:pPr>
              <w:spacing w:after="0"/>
              <w:rPr>
                <w:sz w:val="14"/>
                <w:szCs w:val="14"/>
                <w:color w:val="auto"/>
              </w:rPr>
            </w:pPr>
          </w:p>
        </w:tc>
      </w:tr>
      <w:tr>
        <w:trPr>
          <w:trHeight w:val="148"/>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16,798</w:t>
            </w:r>
          </w:p>
        </w:tc>
        <w:tc>
          <w:tcPr>
            <w:tcW w:w="20" w:type="dxa"/>
            <w:vAlign w:val="bottom"/>
          </w:tcPr>
          <w:p>
            <w:pPr>
              <w:spacing w:after="0"/>
              <w:rPr>
                <w:sz w:val="12"/>
                <w:szCs w:val="12"/>
                <w:color w:val="auto"/>
              </w:rPr>
            </w:pPr>
          </w:p>
        </w:tc>
      </w:tr>
      <w:tr>
        <w:trPr>
          <w:trHeight w:val="136"/>
        </w:trPr>
        <w:tc>
          <w:tcPr>
            <w:tcW w:w="2660" w:type="dxa"/>
            <w:vAlign w:val="bottom"/>
            <w:gridSpan w:val="2"/>
            <w:shd w:val="clear" w:color="auto" w:fill="CCEEFF"/>
          </w:tcPr>
          <w:p>
            <w:pPr>
              <w:spacing w:after="0" w:line="136" w:lineRule="exact"/>
              <w:rPr>
                <w:sz w:val="20"/>
                <w:szCs w:val="20"/>
                <w:color w:val="auto"/>
              </w:rPr>
            </w:pPr>
            <w:r>
              <w:rPr>
                <w:rFonts w:ascii="Times New Roman" w:cs="Times New Roman" w:eastAsia="Times New Roman" w:hAnsi="Times New Roman"/>
                <w:sz w:val="13"/>
                <w:szCs w:val="13"/>
                <w:color w:val="auto"/>
              </w:rPr>
              <w:t>Adjustment of redeemable noncontrolling</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from redemption value to carrying</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value</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(7,017)</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7,017</w:t>
            </w:r>
          </w:p>
        </w:tc>
        <w:tc>
          <w:tcPr>
            <w:tcW w:w="20" w:type="dxa"/>
            <w:vAlign w:val="bottom"/>
          </w:tcPr>
          <w:p>
            <w:pPr>
              <w:spacing w:after="0"/>
              <w:rPr>
                <w:sz w:val="14"/>
                <w:szCs w:val="14"/>
                <w:color w:val="auto"/>
              </w:rPr>
            </w:pPr>
          </w:p>
        </w:tc>
      </w:tr>
      <w:tr>
        <w:trPr>
          <w:trHeight w:val="149"/>
        </w:trPr>
        <w:tc>
          <w:tcPr>
            <w:tcW w:w="2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right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(52,403)</w:t>
            </w:r>
          </w:p>
        </w:tc>
        <w:tc>
          <w:tcPr>
            <w:tcW w:w="14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(52,403)</w:t>
            </w:r>
          </w:p>
        </w:tc>
        <w:tc>
          <w:tcPr>
            <w:tcW w:w="20" w:type="dxa"/>
            <w:vAlign w:val="bottom"/>
          </w:tcPr>
          <w:p>
            <w:pPr>
              <w:spacing w:after="0"/>
              <w:rPr>
                <w:sz w:val="12"/>
                <w:szCs w:val="12"/>
                <w:color w:val="auto"/>
              </w:rPr>
            </w:pPr>
          </w:p>
        </w:tc>
      </w:tr>
      <w:tr>
        <w:trPr>
          <w:trHeight w:val="142"/>
        </w:trPr>
        <w:tc>
          <w:tcPr>
            <w:tcW w:w="266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11,663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right w:val="single" w:sz="8" w:color="auto"/>
            </w:tcBorders>
            <w:shd w:val="clear" w:color="auto" w:fill="CCEEFF"/>
          </w:tcPr>
          <w:p>
            <w:pPr>
              <w:jc w:val="right"/>
              <w:ind w:right="53"/>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65,297,530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302,705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(155,897)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1,541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148,356</w:t>
            </w:r>
          </w:p>
        </w:tc>
        <w:tc>
          <w:tcPr>
            <w:tcW w:w="20" w:type="dxa"/>
            <w:vAlign w:val="bottom"/>
          </w:tcPr>
          <w:p>
            <w:pPr>
              <w:spacing w:after="0"/>
              <w:rPr>
                <w:sz w:val="12"/>
                <w:szCs w:val="12"/>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5"/>
        </w:trPr>
        <w:tc>
          <w:tcPr>
            <w:tcW w:w="25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49" w:lineRule="exact"/>
        <w:rPr>
          <w:sz w:val="20"/>
          <w:szCs w:val="20"/>
          <w:color w:val="auto"/>
        </w:rPr>
      </w:pPr>
    </w:p>
    <w:p>
      <w:pPr>
        <w:jc w:val="both"/>
        <w:ind w:left="1" w:right="20" w:hanging="1"/>
        <w:spacing w:after="0" w:line="231" w:lineRule="auto"/>
        <w:tabs>
          <w:tab w:leader="none" w:pos="209" w:val="left"/>
        </w:tabs>
        <w:numPr>
          <w:ilvl w:val="0"/>
          <w:numId w:val="5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The Company’s convertible preferred shares and Class A Ordinary Shares prior to the closing of the Business Combination (as defined in Note 1) have been retroactively restated to reflect the exchange ratio of approximately 108.083 established in the Business Combination Agreement as described in Note 3.</w:t>
      </w:r>
    </w:p>
    <w:p>
      <w:pPr>
        <w:spacing w:after="0" w:line="130" w:lineRule="exact"/>
        <w:rPr>
          <w:sz w:val="20"/>
          <w:szCs w:val="20"/>
          <w:color w:val="auto"/>
        </w:rPr>
      </w:pPr>
    </w:p>
    <w:p>
      <w:pPr>
        <w:ind w:left="3041"/>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0221"/>
          </w:cols>
          <w:pgMar w:left="839" w:top="513" w:right="8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367665</wp:posOffset>
            </wp:positionV>
            <wp:extent cx="648081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9">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221"/>
          </w:cols>
          <w:pgMar w:left="839" w:top="513" w:right="8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18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940" w:type="dxa"/>
            <w:vAlign w:val="bottom"/>
            <w:tcBorders>
              <w:bottom w:val="single" w:sz="8" w:color="auto"/>
            </w:tcBorders>
            <w:gridSpan w:val="6"/>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before redeemable noncontrolling interest</w:t>
            </w:r>
          </w:p>
        </w:tc>
        <w:tc>
          <w:tcPr>
            <w:tcW w:w="840" w:type="dxa"/>
            <w:vAlign w:val="bottom"/>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(52,403)</w:t>
            </w:r>
          </w:p>
        </w:tc>
        <w:tc>
          <w:tcPr>
            <w:tcW w:w="4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(60,563)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before redeemable noncontrolling interest to net cash used in operating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Research and development acquired license</w:t>
            </w:r>
          </w:p>
        </w:tc>
        <w:tc>
          <w:tcPr>
            <w:tcW w:w="84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Anti-dilution share issuance compensation</w:t>
            </w:r>
          </w:p>
        </w:tc>
        <w:tc>
          <w:tcPr>
            <w:tcW w:w="8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16,798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 in fair value of note payable</w:t>
            </w:r>
          </w:p>
        </w:tc>
        <w:tc>
          <w:tcPr>
            <w:tcW w:w="8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 in fair value of research and development license consideration liability</w:t>
            </w:r>
          </w:p>
        </w:tc>
        <w:tc>
          <w:tcPr>
            <w:tcW w:w="84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 in fair value of private placement warrants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Foreign exchange transaction gain</w:t>
            </w:r>
          </w:p>
        </w:tc>
        <w:tc>
          <w:tcPr>
            <w:tcW w:w="8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8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8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accrued expenses</w:t>
            </w: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5,944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8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(28,076)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fixed assets</w:t>
            </w:r>
          </w:p>
        </w:tc>
        <w:tc>
          <w:tcPr>
            <w:tcW w:w="8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Purchase of research and development license</w:t>
            </w:r>
          </w:p>
        </w:tc>
        <w:tc>
          <w:tcPr>
            <w:tcW w:w="8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(5,075)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Proceeds from issuance of Ordinary Shares in connection with April 2024 Private Placement, net of $7.2 million of</w:t>
            </w:r>
          </w:p>
        </w:tc>
        <w:tc>
          <w:tcPr>
            <w:tcW w:w="8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55,223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transaction costs</w:t>
            </w:r>
          </w:p>
        </w:tc>
        <w:tc>
          <w:tcPr>
            <w:tcW w:w="8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Pre-Funded Warrants in connection with April 2024 Private Placement</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9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Proceeds from issuance of Class A Ordinary Shares in connection with a sale under the ATM, net of $0.2 million of</w:t>
            </w:r>
          </w:p>
        </w:tc>
        <w:tc>
          <w:tcPr>
            <w:tcW w:w="84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commissions</w:t>
            </w:r>
          </w:p>
        </w:tc>
        <w:tc>
          <w:tcPr>
            <w:tcW w:w="8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ATM transaction costs</w:t>
            </w:r>
          </w:p>
        </w:tc>
        <w:tc>
          <w:tcPr>
            <w:tcW w:w="8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 withheld to pay employee withholding taxes</w:t>
            </w:r>
          </w:p>
        </w:tc>
        <w:tc>
          <w:tcPr>
            <w:tcW w:w="8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9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Proceeds from issuance of Class A Ordinary Shares in connection with April 2023, Private Placement, net of $4.2</w:t>
            </w:r>
          </w:p>
        </w:tc>
        <w:tc>
          <w:tcPr>
            <w:tcW w:w="8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million of transaction costs</w:t>
            </w:r>
          </w:p>
        </w:tc>
        <w:tc>
          <w:tcPr>
            <w:tcW w:w="8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Class A Ordinary Shares upon Closing of Business Combination</w:t>
            </w:r>
          </w:p>
        </w:tc>
        <w:tc>
          <w:tcPr>
            <w:tcW w:w="84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56,683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Pre-Funded Warrants in connection with April 2023 Private Placement</w:t>
            </w:r>
          </w:p>
        </w:tc>
        <w:tc>
          <w:tcPr>
            <w:tcW w:w="8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Settlement of note payable</w:t>
            </w:r>
          </w:p>
        </w:tc>
        <w:tc>
          <w:tcPr>
            <w:tcW w:w="84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deferred transaction costs</w:t>
            </w:r>
          </w:p>
        </w:tc>
        <w:tc>
          <w:tcPr>
            <w:tcW w:w="8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8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109,843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121,293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increase in cash and cash equivalents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76,692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98,239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99,806</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ending of period</w:t>
            </w:r>
          </w:p>
        </w:tc>
        <w:tc>
          <w:tcPr>
            <w:tcW w:w="840" w:type="dxa"/>
            <w:vAlign w:val="bottom"/>
            <w:tcBorders>
              <w:bottom w:val="single" w:sz="8" w:color="auto"/>
            </w:tcBorders>
            <w:shd w:val="clear" w:color="auto" w:fill="CCEEFF"/>
          </w:tcPr>
          <w:p>
            <w:pPr>
              <w:jc w:val="right"/>
              <w:ind w:right="6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6"/>
              </w:rPr>
              <w:t>176,498</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99,806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for taxes</w:t>
            </w:r>
          </w:p>
        </w:tc>
        <w:tc>
          <w:tcPr>
            <w:tcW w:w="840" w:type="dxa"/>
            <w:vAlign w:val="bottom"/>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840" w:type="dxa"/>
            <w:vAlign w:val="bottom"/>
            <w:shd w:val="clear" w:color="auto" w:fill="CCEEFF"/>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A Ordinary Shares in exchange for private placement warrants</w:t>
            </w:r>
          </w:p>
        </w:tc>
        <w:tc>
          <w:tcPr>
            <w:tcW w:w="840" w:type="dxa"/>
            <w:vAlign w:val="bottom"/>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w:t>
            </w:r>
          </w:p>
        </w:tc>
        <w:tc>
          <w:tcPr>
            <w:tcW w:w="100" w:type="dxa"/>
            <w:vAlign w:val="bottom"/>
          </w:tcPr>
          <w:p>
            <w:pPr>
              <w:spacing w:after="0"/>
              <w:rPr>
                <w:sz w:val="12"/>
                <w:szCs w:val="12"/>
                <w:color w:val="auto"/>
              </w:rPr>
            </w:pPr>
          </w:p>
        </w:tc>
        <w:tc>
          <w:tcPr>
            <w:tcW w:w="4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redeemable noncontrolling interest from redemption value to carrying value</w:t>
            </w:r>
          </w:p>
        </w:tc>
        <w:tc>
          <w:tcPr>
            <w:tcW w:w="840" w:type="dxa"/>
            <w:vAlign w:val="bottom"/>
            <w:shd w:val="clear" w:color="auto" w:fill="CCEEFF"/>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7,017</w:t>
            </w:r>
          </w:p>
        </w:tc>
        <w:tc>
          <w:tcPr>
            <w:tcW w:w="1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 included in accounts payable and accrued expenses</w:t>
            </w:r>
          </w:p>
        </w:tc>
        <w:tc>
          <w:tcPr>
            <w:tcW w:w="840" w:type="dxa"/>
            <w:vAlign w:val="bottom"/>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4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Series A-1 convertible preferred shares for license</w:t>
            </w:r>
          </w:p>
        </w:tc>
        <w:tc>
          <w:tcPr>
            <w:tcW w:w="840" w:type="dxa"/>
            <w:vAlign w:val="bottom"/>
            <w:shd w:val="clear" w:color="auto" w:fill="CCEEFF"/>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Series A-1 convertible preferred stock for Class A Ordinary Shares</w:t>
            </w:r>
          </w:p>
        </w:tc>
        <w:tc>
          <w:tcPr>
            <w:tcW w:w="840" w:type="dxa"/>
            <w:vAlign w:val="bottom"/>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Deemed dividend to redeemable noncontrolling interest</w:t>
            </w:r>
          </w:p>
        </w:tc>
        <w:tc>
          <w:tcPr>
            <w:tcW w:w="840" w:type="dxa"/>
            <w:vAlign w:val="bottom"/>
            <w:shd w:val="clear" w:color="auto" w:fill="CCEEFF"/>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Accrued 2023 Lilly License consideration</w:t>
            </w:r>
          </w:p>
        </w:tc>
        <w:tc>
          <w:tcPr>
            <w:tcW w:w="840" w:type="dxa"/>
            <w:vAlign w:val="bottom"/>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Deemed contribution from redeemable noncontrolling interest</w:t>
            </w:r>
          </w:p>
        </w:tc>
        <w:tc>
          <w:tcPr>
            <w:tcW w:w="840" w:type="dxa"/>
            <w:vAlign w:val="bottom"/>
            <w:shd w:val="clear" w:color="auto" w:fill="CCEEFF"/>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Class A Ordinary shares for 2023 Lilly License</w:t>
            </w:r>
          </w:p>
        </w:tc>
        <w:tc>
          <w:tcPr>
            <w:tcW w:w="840" w:type="dxa"/>
            <w:vAlign w:val="bottom"/>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Accretion of redeemable noncontrolling interest to redemption value</w:t>
            </w:r>
          </w:p>
        </w:tc>
        <w:tc>
          <w:tcPr>
            <w:tcW w:w="840" w:type="dxa"/>
            <w:vAlign w:val="bottom"/>
            <w:shd w:val="clear" w:color="auto" w:fill="CCEEFF"/>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equity issuance costs</w:t>
            </w:r>
          </w:p>
        </w:tc>
        <w:tc>
          <w:tcPr>
            <w:tcW w:w="840" w:type="dxa"/>
            <w:vAlign w:val="bottom"/>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Settlement of research and development license consideration liability</w:t>
            </w:r>
          </w:p>
        </w:tc>
        <w:tc>
          <w:tcPr>
            <w:tcW w:w="840" w:type="dxa"/>
            <w:vAlign w:val="bottom"/>
            <w:shd w:val="clear" w:color="auto" w:fill="CCEEFF"/>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deferred offering costs to additional paid-in capital</w:t>
            </w:r>
          </w:p>
        </w:tc>
        <w:tc>
          <w:tcPr>
            <w:tcW w:w="840" w:type="dxa"/>
            <w:vAlign w:val="bottom"/>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Assumption of public and private placement warrants in connection with Business Combination</w:t>
            </w:r>
          </w:p>
        </w:tc>
        <w:tc>
          <w:tcPr>
            <w:tcW w:w="840" w:type="dxa"/>
            <w:vAlign w:val="bottom"/>
            <w:shd w:val="clear" w:color="auto" w:fill="CCEEFF"/>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public warrant liability to equity</w:t>
            </w:r>
          </w:p>
        </w:tc>
        <w:tc>
          <w:tcPr>
            <w:tcW w:w="840" w:type="dxa"/>
            <w:vAlign w:val="bottom"/>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Call Right to noncontrolling interest</w:t>
            </w:r>
          </w:p>
        </w:tc>
        <w:tc>
          <w:tcPr>
            <w:tcW w:w="840" w:type="dxa"/>
            <w:vAlign w:val="bottom"/>
            <w:shd w:val="clear" w:color="auto" w:fill="CCEEFF"/>
          </w:tcPr>
          <w:p>
            <w:pPr>
              <w:jc w:val="right"/>
              <w:ind w:right="6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1,541</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share and per share data)</w:t>
      </w:r>
    </w:p>
    <w:p>
      <w:pPr>
        <w:spacing w:after="0" w:line="225"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Zura Bio Limited, a Cayman Islands exempted company, formerly known as JATT Acquisition Corp (“JATT”), together with its subsidiaries (collectively, the “Company”, “Zura” or “Zura Bio”), is a clinical-stage, multi-asset immunology company dedicated to developing novel dual-pathway antibodies for a range of autoimmune and inflammatory diseases with unmet needs. The Company’s strategic focus is to harness dual-pathway biology to provide broader and deeper clinical benefits to patients with these conditions. The Company is currently developing one clinical-stage product candidate in ongoing Phase 2 trials while actively evaluating development opportunities for its pipeline of clinical-stage assets, focusing on indications with unmet needs and commercial potential.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currently developing tibulizumab (ZB - 106), an immunoglobulin G (IgG)-single-chain variable fragment (scFv) bispecific dual-antagonist antibody engineered by the fusion of TALTZ® (ixekizumab) and tabalumab to neutralize interleukin-17A (IL - 17A) and B-cell activating factor (BAFF). In December 2024, the Company initiated TibuSURE, a global Phase 2 study evaluating tibulizumab in adults with systemic sclerosis (SSc). TibuSURE is a randomized, double-blind, placebo-controlled study designed to assess the safety, tolerability, and efficacy of tibulizumab in approximately 80 participants with early diffuse cutaneous systemic sclerosis (dcSSc).</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is actively assessing the competitive landscape and evaluating potential therapeutic indications for crebankitug and torudokimab.</w:t>
      </w:r>
    </w:p>
    <w:p>
      <w:pPr>
        <w:spacing w:after="0" w:line="162" w:lineRule="exact"/>
        <w:rPr>
          <w:sz w:val="20"/>
          <w:szCs w:val="20"/>
          <w:color w:val="auto"/>
        </w:rPr>
      </w:pPr>
    </w:p>
    <w:p>
      <w:pPr>
        <w:jc w:val="both"/>
        <w:ind w:left="680" w:hanging="321"/>
        <w:spacing w:after="0" w:line="261"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Crebankitug (ZB-168) is a fully human, high affinity monoclonal antibody that binds and neutralizes the interleukin-7 receptor (IL - 7R) alpha chain. IL - 7Rα sits at the nexus of two key immune pathways, IL - 7 and thymic stromal lymphopoietin (TSLP), thus IL - 7Rα has the potential to block activation through either of these pathways. As a result, the Company believes crebankitug could be therapeutically relevant in a broad set of indications where the IL - 7 or TSLP pathways may be involved.</w:t>
      </w:r>
    </w:p>
    <w:p>
      <w:pPr>
        <w:spacing w:after="0" w:line="179"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Torudokimab (ZB - 880) is a fully human, high affinity monoclonal antibody that neutralizes interleukin-33 (IL - 33), preventing ST2 - dependent and ST2 - independent (e.g., RAGE) inflammation. The IL - 33/ST2 axis stands as a validated therapeutic target for conditions such as chronic obstructive pulmonary disease (“COPD”) and asthma.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20, 2023 (the “Closing Date”), the Company consummated the previously announced business combination (the “Business Combination”), pursuant to the terms of a business combination agreement (the “Business Combination Agreement”), dated as of June 16, 2022 (as amended on September 20, 2022, November 14, 2022, and January 13, 2023), by and among JATT, JATT Merger Sub, JATT Merger Sub 2, Zura Bio Holdings Ltd. (“Holdco”), and Legacy Zura. Pursuant to the Business Combination Agreement, (a) before the closing of the Business Combination, Holdco was established as a new holding company of Legacy Zura and became a party to the Business Combination Agreement; and (b) on the Closing Date, in sequential order: (i) Merger Sub merged with and into Holdco, with Holdco continuing as the surviving company and a wholly owned subsidiary of JATT; (ii) immediately following the Merger, Holdco merged with and into Merger Sub 2, with Merger Sub 2 continuing as the surviving company and a wholly owned subsidiary of JATT; and (iii) JATT changed its name to “Zura Bio Limited”.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Business Combination has been accounted for as a reverse recapitalization, with Legacy Zura being the accounting acquirer and JATT as the acquired company for accounting purposes. Accordingly, all historical financial information presented in the consolidated financial statements represent the accounts of Legacy Zura. The shares and net loss per share attributable to ordinary shareholders of Legacy Zura prior to the Closing Date have been retroactively restated as shares reflecting the exchange ratio established in the Business Combination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JATT’s public shares, public warrants, and public units were listed on the New York Stock Exchange (“NYSE”) under the symbols “JATT,” “JATT.WS,” and “JATT.U,” respectively. On March 20, 2023, the Company’s Class A ordinary shares (“Class A Ordinary Shares”) and public warrants began trading on the Nasdaq under the symbols “ZURA” and “ZURAW,” respectively. On August 27, 2024, the Public Warrants (as defined herein) were no longer listed on the Nasdaq in connection with the completion of the Warrant Exchange (as defined herein). See Note 8.</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the extended transition period for complying with new or revised accounting standards, and as a result of this election, the consolidated financial statements may not be comparable to companies that comply with public company Financial Accounting Standards Board (“FASB”) standards’ effective dates. The Company may take advantage of these exemptions up until the last day of the fiscal year following the fifth anniversary of an offering or such earlier time that it is no longer an emerging growth company. The Company expects to no longer be an emerging growth company effective December 31,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incurred operating losses since inception and expects to continue to incur significant operating losses for the foreseeable future and may never become profitable. The Company has an accumulated deficit of $155.9 and $103.5 million as of December 31, 2024 and 2023, respectively, and a net loss of $52.4 million and $60.4 million for the years ended December 31, 2024 and 2023, respectively. The Company’s existing sources of liquidity as of December 31, 2024 includes $176.5 million in cash and cash equivalents.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Business Combination, the Company historically funded operations primarily with issuances of convertible preferred shares and a promissory note. Upon the closing of the Business Combination, the Company received $56.7 million in net cash proceeds. Additionally, the Company received $4.9 million, $105.3 million and $75.8 million, respectively, in net cash proceeds in connection with the ATM (as defined herein), April 2024 Private Placement (as defined herein) and April 2023 Private Placement (as defined herein). The Company’s cash requirements include, but are not limited to, clinical development, product manufacturing costs and working capital requirements. The Company expects such operating losses and negative cash flows from operations will continue but has sufficient liquidity to fund its operations over the next twelve months.</w:t>
      </w:r>
    </w:p>
    <w:p>
      <w:pPr>
        <w:spacing w:after="0" w:line="185" w:lineRule="exact"/>
        <w:rPr>
          <w:sz w:val="20"/>
          <w:szCs w:val="20"/>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(the “consolidated financial statements”) have been prepared in conformity with accounting principles generally accepted in the United States of America (“U.S. GAAP”) and include the accounts of its consolidated subsidiaries. Other shareholders’ interests in the Company’s subsidiaries, Z33 Bio, Inc. (“Z33”) and ZB17 LLC (“ZB17”), are shown in the consolidated financial statements as redeemable noncontrolling interest and noncontrolling interest, respectively. All intercompany balances and transactions have been eliminated in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Company’s management to make estimates and assumptions that affect the reported amounts of assets and liabilities and disclosure of contingent assets and liabilities at the date of the consolidated financial statements, as well as the reported amounts of expenses during the reporting period. Actual results could differ from those estimates. Significant estimates and assumptions reflected in the consolidated financial statements relate to and include, but are not limited to, the fair value of share-based compensation, the fair value of redeemable noncontrolling interest, the fair value of share-based consideration transferred for acquired assets, the fair value of contingent consideration, the valuation allowance of deferred tax assets resulting from net operating losses and the fair value of the private placement warrants.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early-stage companies in the biotechnology industry, including, but not limited to, development by the Company or its competitors of technological innovations, risks of failure of clinical studies, dependence on key personnel, protection of proprietary technology, compliance with government regulations, and ability to transition from preclinical manufacturing to commercial production of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future product candidates will require approvals from the United States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 adverse impact on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significant cash balances at financial institutions which throughout the year regularly exceed the federally insured limit of $250,000. Any loss incurred or a lack of access to such funds could have a significant adverse impact on the Company’s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The Company’s CODM is the Chief Executive Officer. The Company and the CODM views its operations and manages its business in one operating segment, developing novel medicines for immune and inflammatory disorders. The Company has business activities in different regions that are managed on a consolidated basis.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policies of the Company’s segment are the same as those described within this footnote. The CODM uses net loss, that is reported in the consolidated statements of operations to assess performance for the Company’s segment and decide how to allocate resources. The significant expenses within net loss are separately presented in the Company’s consolidated statement of operations. The CODM monitors budget versus actual results using operating loss which is a component of net loss. The measure of segment assets is reported on the consolidated balance sheet as total consolidated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at the date of purchase to be cash equivalents. The Company had $170.7 million and $97.9 million in cash equivalents as of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expense is recognized using the straight-line method over the estimated useful life of each asset. Computer and office equipment are depreciated over three years. Expenditures for repairs and maintenance are recorded to expense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(“R&amp;D”) expenses consist of all direct and indirect operating expenses supporting the processes and manufacturing in development, including consulting fees for clinical and manufacturing advisory services, contract research organization (“CRO”) costs, costs related to manufacturing material for preclinical studies, payroll and benefits, which includes share-based compensation for research and development employees, licensing fees, and data and study acquisition costs. Expenses are recognized as an expense as the related goods are delivered or the services are performed.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R&amp;D expenses include the cost of in-process research and development (“IPR&amp;D”) assets purchased in an asset acquisition transaction. IPR&amp;D assets are expensed provided that the acquired asset did not also include processes or activities that would constitute a “business” as defined under U.S. GAAP, the drug has not achieved regulatory approval for marketing and, absent obtaining such approval, has no established alternative future use. Acquired IPR&amp;D payments, including upfront payments, transaction fees and subsequent pre-commercial milestone payments, are immediately expensed in the period in which they are incurred. Research and development costs incurred after the acquisition are expensed as incurred.</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R&amp;D expenses also include the remeasurement of the research and development license consideration liability.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all share-based payments to employees and non-employees, including grants of share options, share options with non-market performance conditions (“PSOs”), share options with market-based performance conditions, restricted share units (“RSUs”), and restricted share awards (“RSAs”) based on their respective grant date fair values. RSUs, RSAs and share options that vest immediately and have a nominal exercise price are valued based on the fair value of the Company’s Class A Ordinary Shares on the date of grant. The Company estimates the fair value of share option grants using the Black-Scholes option-pricing model. The assumptions used in calculating the fair value of share-based awards represent management’s best estimates and involve inherent uncertainties and the application of management’s judgment.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expenses share-based compensation related to share options with only service conditions over the requisite service period on a straight-line basis. The Company records share-based compensation expense for the PSOs when the Company’s management deems it probable that the performance conditions will be satisfied. The Company estimates the fair value of share option grants with market-based performance conditions using a Monte-Carlo simulation model. For share option grants with market-based performance conditions, the Company recognizes share-based compensation expense as the requisite service is rendered by the employee, regardless of when, if ever, the market-based performance conditions are satisfied. The share-based compensation costs are recorded in research and development and general and administrative expenses in the consolidated statements of operations based upon the respective employee’s or non-employee’s role within the Company. Forfeitures are recorded as they occur.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are recorded in accordance with Accounting Standards Codification (“ASC”) 740, Income Taxes. ASC 740 requires a company to use the asset and liability method of accounting for income taxes, whereby deferred tax assets are recognized for deductible temporary differences,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not be realized. Deferred tax assets and liabilities are adjusted for the effect of changes in tax laws and rates on the date of enactment.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ASC 740, 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 The Company does not have any material uncertain tax positions for any of the reporting periods presented. The Company recognizes accrued interest and penalties related to unrecognized tax benefits as part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the Company assumed JATT’s public warrant and private placement warrant liabilities. As a result of the recapitalization, the settlement provisions of the Public Warrants (as defined herein) no longer preclude equity classification and the Public Warrants were reclassified to equity following the Business Combination. The Public Warrants and Private Placement Warrants (as defined herein) were exchanged for Class A Ordinary Shares during the year ended December 31, 2024 (the “Warrant Exchange”). See Note 8.</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each of the April 2024 Private Placement and April 2023 Private Placement (each as defined herein), the Company issued pre-funded warrants instruments.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Classification of the Public Warrants and Pre-Funded Warrants (as defined herein) as equity instruments and the Private Placement Warrants as liability instruments is based on management’s analysis of the guidance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measured the private placement warrant liability at fair value each reporting period and at settlement value, based on the fair value of the Class A Ordinary Shares exchanged, upon the Warrant Exchange, with the change in fair value recorded as other (expense) income in the consolidated statements of operations. Upon completion of the Warrant Exchange, the warrant liability was extinguished and the Class A Ordinary Shares were recorded at fair value in shareholders’ equity. The Company measured the Public Warrants at the fair value of the equity instruments as of the Closing Date of the Business Combination. The Company measured the Pre-Funded Warrants at the fair value of the equity instruments as of the date of the April 2023 Private Placement, the April 2024 Private Placement or the Share Exchange (as defined herein), as applicable. See Note 8.</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April 2023, ZB17, a consolidated subsidiary of the Company, issued a share-based payment award to a third party in connection with 2023 Lilly License representing a noncontrolling interest. See Note 6. A noncontrolling interest in a subsidiary is considered an ownership interest in a majority-owned subsidiary that is not attributable to the parent. The Company includes noncontrolling interest as a component of total shareholders’ equity in the Company’s consolidated balance sheets. The option to acquire ZB17 ownership interests does not provide the option-holder with rights to participate in the profits and losses of the subsidiary prior to the exercise of the option.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2022, Z33, a consolidated subsidiary of the Company, issued 4,900,222 shares of Z33 Series Seed Preferred Shares to Stone Peach representing a redeemable noncontrolling interest. See Note 12. The Z33 Series Seed Preferred Shares issued to Stone Peach contain put features and are considered redeemable until the exercise or the expiration of the put features. The redeemable noncontrolling interests are classified outside of permanent equity in the consolidated balance sheets. The redeemable noncontrolling interest is measured at the end of each reporting period as the higher of (1) its initial carrying amount, increased or decreased for the noncontrolling interest’s share of Z33’s net income or loss, or (2) the redemption price, with any changes included in accretion of noncontrolling interest to redemption value in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Class A Ordinary Shareholders by the weighted-average number of both Class A Ordinary Shares and Pre-Funded Warrants outstanding during the period. As the Company has a net loss, basic and diluted net loss per share was the same for each period presented as the inclusion of all potentially dilutive securities outstanding would have been anti-dilutive.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periods presented, potentially dilutive securities not included in the calculation of diluted net loss per share, because to do so would be anti-dilutive,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9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r>
      <w:tr>
        <w:trPr>
          <w:trHeight w:val="142"/>
        </w:trPr>
        <w:tc>
          <w:tcPr>
            <w:tcW w:w="706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10,175,633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5,791,065</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Z33 Series Seed Preferred Shares Put Right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vesting of restricted share units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859,923</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1,543,018</w:t>
            </w: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 awards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374,995</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499,993</w:t>
            </w: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warrants to purchase Class A Ordinary Shares</w:t>
            </w:r>
          </w:p>
        </w:tc>
        <w:tc>
          <w:tcPr>
            <w:tcW w:w="19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12,809,996</w:t>
            </w:r>
          </w:p>
        </w:tc>
      </w:tr>
      <w:tr>
        <w:trPr>
          <w:trHeight w:val="210"/>
        </w:trPr>
        <w:tc>
          <w:tcPr>
            <w:tcW w:w="7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13,410,551</w:t>
            </w:r>
          </w:p>
        </w:tc>
        <w:tc>
          <w:tcPr>
            <w:tcW w:w="2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22,644,072</w:t>
            </w:r>
          </w:p>
        </w:tc>
      </w:tr>
      <w:tr>
        <w:trPr>
          <w:trHeight w:val="20"/>
        </w:trPr>
        <w:tc>
          <w:tcPr>
            <w:tcW w:w="70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(“ASU 2023-07”). ASU 2023-07 requires enhanced segment disclosures, including disclosure of significant segment expenses that are regularly provided to the chief operating decision maker and included within the segment measure of profit or loss. The enhanced disclosures are required for all entities, including entities that have only a single reportable segment, and will be applied retrospectively. The Company adopted this standard for the year ended December 31, 2024 which resulted in additional segment disclosures (see </w:t>
      </w: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xml:space="preserve">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ASU 2023-09 is intended to enhance the transparency and decision usefulness of income tax disclosures. The amendments in the ASU address investor requests for enhanced income tax information primarily through changes to the rate reconciliation and income taxes paid information. ASU 2023-09 will be effective for the Company in the annual period beginning on January 1, 2025, although early adoption is permitted. The Company is currently evaluating the presentational effect that ASU 2023-09 will have on the Company's consolidated financial statements and disclosures, but the Company expects considerable changes to the Company’s income tax disclosures.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(“ASU 2024-03”). This ASU requires disclosure,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financial statements, of the nature of certain expenses included in the income statement. ASU 2024-03 will be effective for annual reporting periods beginning after December 15, 2026, and interim reporting periods beginning after December 15, 2027. Early adoption is permitted. The Company is currently evaluating the impact of ASU 2024-03 and expects to adopt it for the year ending December 31, 2027.</w:t>
      </w:r>
    </w:p>
    <w:p>
      <w:pPr>
        <w:spacing w:after="0" w:line="180"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Recapitalization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Note 1, on the Closing Date, JATT completed the acquisition of Legacy Zura and acquired 100% of Legacy Zura’s shares and Legacy Zura received proceeds of $56.7 million which includes proceeds from issuance of Class A Ordinary Shares upon the consummation of the Business Combination, including the Redemption Backstop shares (as defined below), proceeds from the PIPE investment (as defined below), and proceeds from the Forward Purchase Agreement (as defined below). The Company recorded $4.0 million of transaction costs, which consisted of legal, accounting, and other professional services directly related to the Business Combination. These costs were included in additional paid-in capital on the Company’s consolidated balance sheets. On the Closing Date, each holder of Legacy Zura’s ordinary shares received approximately 108.083 shares of the Company’s Class A Ordinary Shares, par value $0.0001 per share. See Note 7.</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equity awards of Legacy Zura were assumed by the Company and converted into comparable equity awards that are exercisable for or settled in shares of the Company’s Class A Ordinary Shares. As a result, each outstanding share option was converted into an option exercisable for the Company’s Class A Ordinary Shares based on an exchange ratio of approximately 108.083 and each outstanding restricted share unit was converted into restricted share units of the Company that, upon vesting, will be settled for the Company’s Class A Ordinary Shares based on an exchange ratio of approximately 108.083.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public and private placement warrant of JATT that was unexercised at the time of the Business Combination was assumed by the Company and represented the right to purchase one Class A Ordinary Share upon exercise of such warrant. See Notes 2 and 8.</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with Legacy Zura as the accounting acquirer and JATT as the acquired company for accounting purposes. Legacy Zura was determined to be the accounting acquirer since Legacy Zura’s shareholders as a group prior to the Business Combination held the majority voting interest in the combined entity, Legacy Zura’s shareholders appointed 4 out of the 7 directors of the combined Board of Directors, Legacy Zura’s management holds certain key positions in the management of the combined entity, and Legacy Zura is the largest of the combining entities based on historical operating activity and comprises all of the ongoing operations. Accordingly, all historical financial information presented in these consolidated financial statements represents the accounts of Legacy Zura. Net assets were stated at historical cost consistent with the treatment of the transaction as a reverse recapitalization of Legacy Zura. The Company’s convertible preferred shares and Class A Ordinary Shares prior to the closing of the Business Combination have been retroactively restated to reflect the exchange ratio of approximately 108.083 established in the Business Combination Agreement.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number of Class A Ordinary Shares issued and outstanding immediately following the Business Combination on March 20, 2023 was: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9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JATT Public shareholders</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182,498</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0.7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231F20"/>
              </w:rPr>
              <w:t>Zura shares issued – 2022 Lilly license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550,000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2.0 %</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Redemption Backstop</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1,301,633</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4.8 %</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231F20"/>
              </w:rPr>
              <w:t>Redemption Backstop Consideration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2,500,000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9.2 %</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JATT Founders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3,450,000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12.8 %</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231F20"/>
              </w:rPr>
              <w:t>PIPE Investment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2,009,950</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7.4 %</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Forward Purchase Agreement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3,000,000</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11.1 %</w:t>
            </w:r>
          </w:p>
        </w:tc>
      </w:tr>
      <w:tr>
        <w:trPr>
          <w:trHeight w:val="216"/>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Legacy Zura equity holders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14,058,074</w:t>
            </w:r>
          </w:p>
        </w:tc>
        <w:tc>
          <w:tcPr>
            <w:tcW w:w="132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8"/>
                <w:szCs w:val="18"/>
                <w:color w:val="231F20"/>
              </w:rPr>
              <w:t>52.0 %</w:t>
            </w:r>
          </w:p>
        </w:tc>
      </w:tr>
      <w:tr>
        <w:trPr>
          <w:trHeight w:val="209"/>
        </w:trPr>
        <w:tc>
          <w:tcPr>
            <w:tcW w:w="7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Total shares outstanding</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27,052,155</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100.0 %</w:t>
            </w:r>
          </w:p>
        </w:tc>
      </w:tr>
      <w:tr>
        <w:trPr>
          <w:trHeight w:val="20"/>
        </w:trPr>
        <w:tc>
          <w:tcPr>
            <w:tcW w:w="7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JATT entered into subscription agreements with certain “accredited investors” (as defined by Rule 501 of Regulation D) (the “PIPE Investors”) on June 16, 2022, as amended on November 25, 2022, (the “Ewon PIPE Subscription Agreement”) and March 13, 2023 (the “Eugene PIPE Subscription Agreement”), pursuant to which the PIPE Investors collectively subscribed for and agreed to purchase an aggregate of 2,009,950 JATT Class A Ordinary Shares at a purchase price of $10.00 per share for $20,099,500.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Purchase Agreement and Redemption Backstop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27, 2022, JATT entered into an Amended Forward Purchase Agreement (the “Forward Purchase Agreement”) with two institutional investors (the “FPA Investors”) providing that at the Closing of the Business Combination: (i) the purchasers will purchase an aggregate of 3,000,000 Class A Ordinary Shares at $10 per share for $30,000,000; and (ii) the purchase of, in a binding redemption backstop (the “Redemption Backstop”), up to an additional $15 million of Class A Ordinary Shares in the event that public Class A Ordinary Share redemptions are greater than 90% in connection with the Business Combination (the “Excess Redemptions”). On the Closing Date, FPA Investors purchased 1,301,633 JATT Class A Ordinary Shares at $10 per share for $13,016,330. In addition, the FPA Investors were issued an additional 2,500,000 Class A Ordinary Shares (“Redemption Backstop Consideration”) for no additional consideration.</w:t>
      </w:r>
    </w:p>
    <w:p>
      <w:pPr>
        <w:spacing w:after="0" w:line="188"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The Company determines fair value based upon the exit price that would be received to sell an asset or paid to transfer a liability in an orderly transaction between market participants, as determined by either the principal market or the most advantageous market. Inputs used in the valuation techniques to derive fair values are classified based on a three-level hierarchy. These levels are: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identical or similar assets or liabilities in markets that are not active, or other inputs that are observable or can be corroborated by observable market data for substantially the full term of the related assets or liabilities; and</w:t>
      </w:r>
    </w:p>
    <w:p>
      <w:pPr>
        <w:spacing w:after="0" w:line="171" w:lineRule="exact"/>
        <w:rPr>
          <w:sz w:val="20"/>
          <w:szCs w:val="20"/>
          <w:color w:val="auto"/>
        </w:rPr>
      </w:pPr>
    </w:p>
    <w:p>
      <w:pPr>
        <w:jc w:val="both"/>
        <w:ind w:left="44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significant to the measurement of the fair value of the assets or liabilities that are supported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little or no market data.</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instruments consist of cash and cash equivalents, prepaid and other current assets, accounts payable and accrued expenses and private placement warrants. The carrying values of the Company’s cash, prepaid and other current assets, and accounts payable and accrued expenses approximate their fair value due to the short-term maturity of these instruments.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as of December 31, 2024 and 2023, and the fair value hierarchy of the valuation techniques utilized: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170,743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170,743</w:t>
            </w:r>
          </w:p>
        </w:tc>
      </w:tr>
      <w:tr>
        <w:trPr>
          <w:trHeight w:val="360"/>
        </w:trPr>
        <w:tc>
          <w:tcPr>
            <w:tcW w:w="40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42"/>
        </w:trPr>
        <w:tc>
          <w:tcPr>
            <w:tcW w:w="400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97,913</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97,913</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into or out of Level 1, Level 2, or Level 3 during the year ended December 31, 2024 and 2023.</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2024, pursuant to the Warrant Exchange, the Company exchanged all of the outstanding Private Placement Warrants for Class A Ordinary Shares. The Private Placement Warrants were originally assumed in connection with the Business Combination in 2023. See Note 8. The Private Placement Warrants were measured at fair value on a recurring basis. Because the transfer of Private Placement Warrants to non-permitted transferees would result in the Private Placement Warrants having substantially the same terms as the Public Warrants, the Company determined that the fair value of each Private Placement Warrant is consistent with that of a Public Warrant. Accordingly, the Private Placement Warrants are classified as Level 2 financial instruments. Upon completion of the Warrant Exchange, the Private Placement Warrants were remeasured to settlement value which was determined based on the fair value of the Class A Ordinary Shares issued in exchange for the Private Placement Warrants. The following table provides a summary of changes in the estimated fair value of the Private Placement Warrants: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Assumption of private placement warrants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Exchange of private placement warrants for Class A Ordinary Shares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a loss of $5.2 million and a gain of $0.7 million, respectively, from the change in fair value of the Private Placement Warrants in change in fair value of private placement warrants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 Settled Upon 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two level three classified financial instruments, note payable and research and development license consideration, that were measured at fair value on a recurring basis during 2023 and settled prior to December 31, 2023. The following table provides a summary of changes in the estimated fair value of the note payable and research and development license consideration liability:</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License</w:t>
            </w: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1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 Payable</w:t>
            </w:r>
          </w:p>
        </w:tc>
        <w:tc>
          <w:tcPr>
            <w:tcW w:w="2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to settlement value upon closing of the Business Combination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liability</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payable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8, 2022, the Company received $7.6 million in net proceeds from the issuance of a promissory note (the “Note”) issued to Hydra, LLC (“Hydra”) with a face amount of $8.0 million. The Company elected to account for the Note at fair value. Upon the Closing Date of the Business Combination, the Note was remeasured to the settlement value and subsequently repaid for a total of $10.0 million. For the year ended December 31, 2023, the Company recorded a loss on the remeasurement of the Note of $2.2 million in change in fair value of note payable in the consolidated statement of operations. The Note was no longer outstanding as of December 31, 2024 and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license consideration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consideration for the 2022 Lilly License (defined below), Lilly received 550,000 Class A Ordinary Shares upon the closing of the Business Combination (subject to certain lock-up provisions). See Note 6. The arrangement was liability classified and remeasured at fair value at each reporting date prior to the Business Combination (the research and development license consideration liability).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the Closing Date of the Business Combination, the liability was remeasured to its settlement value and subsequently settled through the issuance of 550,000 Class A Ordinary Shares of Zura. The aggregate fair value of the Class A Ordinary Shares of Zura issued to Lilly was determined to be $4.5 million, or $8.16 per share. For the year ended December 31, 2023, the Company recorded a loss on the remeasurement of the research and development license consideration liability of $1.9 million in research and development in the consolidated statement of operations. The research and development license consideration liability was no longer outstanding as of December 31, 2024 and 2023.</w:t>
      </w:r>
    </w:p>
    <w:p>
      <w:pPr>
        <w:spacing w:after="0" w:line="183"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are composed of the following as of December 31, 2024 and 2023:</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r>
      <w:tr>
        <w:trPr>
          <w:trHeight w:val="142"/>
        </w:trPr>
        <w:tc>
          <w:tcPr>
            <w:tcW w:w="56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2023 Lilly License costs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0"/>
        </w:trPr>
        <w:tc>
          <w:tcPr>
            <w:tcW w:w="5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accounts payable and accrued expenses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19,514</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20,302</w:t>
            </w:r>
          </w:p>
        </w:tc>
      </w:tr>
      <w:tr>
        <w:trPr>
          <w:trHeight w:val="20"/>
        </w:trPr>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Lilly License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26, 2023, the Company’s consolidated subsidiary ZB17 LLC (“ZB17”) entered into a license agreement (the “2023 Lilly License” and, together with the 2022 Lilly License (as defined below), the “Lilly Licenses”) with Lilly, for an exclusive license to develop, manufacture and commercialize a certain bispecific antibody relating to IL-17 and BAFF (“ZB-106”) in exchange for an upfront payment consisting of $5.8 million as well as 1,000,000 Class A Ordinary Shares issued at a fair value of $7.84 per Class A Ordinary Share. During 2024, ZB17 made an additional payment of $5.0 million to Lilly in connection with the receipt of certain know-how, data, information and materials that Lilly is required to provide under the license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acquisition was accounted for as an asset acquisition as substantially all of the fair value of the assets acquired is concentrated in a group of similar identifiable IPR&amp;D assets. On the acquisition date, the compound licensed had not yet received regulatory approval and the in-process research and development did not have an alternative use. Accordingly, the Company expensed the entire cost of the 2023 Lilly License in research and development in the consolidated statement of operations during the year ended December 31, 2023.</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ZB17 granted Stone Peach the right, but not the obligation, to purchase 4.99% of the fully diluted equity of ZB17 for $1.0 million (the “Stone Peach Call Right”). The Stone Peach Call Right is not exercisable until after the last patient is dosed in any single next clinical trial with ZB-106 and expires one year from the date of first indication approval for ZB-106 by the FDA or the European Medicines Agency (“EMA”). The Company recognized the Stone Peach Call Right at a grant-date fair value of $1.5 million in research and development in the consolidated statement of operations during the year ended December 31, 2023. The Stone Peach Call Right represents noncontrolling interest in the Company’s consolidated subsidiary, ZB17. As of December 31, 2024 and 2023, the noncontrolling interest balance was $1.5 million in the consolidated balance sheets.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additional consideration, beginning on May 1, 2023, Stone Peach receives an annual payment of $0.6 million initially, and increasing by 10% annually, so long as the Company maintains its license for tibulizumab, to be paid on May 1st of each year. The Company records expense for these annual payments when they become due. For the years ended December 31, 2024 and 2023, the Company recorded $0.7 million and $0.6 million, respectively, in research and development in the consolidated statement of operations for the annual payments.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one-time payment of $4.5 million for additional consideration due to Stone Peach upon approval from the FDA for its Investigational New Drug (“IND”) and commencement of the clinical trial for tibulizumab in research and development in the consolidated statement of operations for the years ended December 31, 2024 and in accounts payable and accrued expenses as of December 31, 2024.</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finder’s fee for arranging the acquisition of the 2023 Lilly License, the Company agreed to make a one-time milestone payment of $5.0 million to BAFFX17, Ltd (“BAFFX17”) upon the occurrence of either: (i) a change of control transaction, (ii) the closing of an issuance of equity or equity-linked securities by the Company of at least $100.0 million, (iii) the consummation of a sale of assets resulting in net proceeds in excess of $100.0 million, or (iv) the Company’s fully diluted shares outstanding exceed 52,500,000 shares (on a split adjusted basis) as measured on April 24th of each year. As the Company’s fully diluted shares outstanding exceeded 52,500,000 shares prior to December 31, 2023, the $5.0 million fee was recorded in research and development in the consolidated statement of operations for the year ended December 31, 2023, and is included in accounts payable and accrued expenses in the consolidated balance sheets as of December 31, 2024 and December 31, 2023.</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the consideration paid and/or earned during the years ended December 31, 2024 and 2023, the Company is obligated to make payments (a) to Lilly for four (4) development milestone payments up to an aggregate of $155.0 million, and sales milestone payments up to an aggregate of $440.0 million based on respective thresholds of net sales of products developed from tibulizumab; (b) to Lilly over a multi-year period (twelve years, or upon the later expiration of regulatory exclusivity of ZB-106 in a country) for an annual earned royalty at a marginal royalty rate in the mid-single digits to low-double digits, with increasing rates depending on net sales in the respective calendar year, based on a percentage of sales within varying thresholds for a certain period of years; (c) to BAFFX17 for a fee equal to 3% of any milestone or royalty payments due to Lilly pursuant to the terms of either the 2022 Lilly License or the 2023 Lilly License; (d) to Stone Peach for a one-time milestone payment of $25 million upon either (i) certain equity-related transactions, or (ii) the receipt of regulatory approval from the applicable regulatory authority for any new indication in the applicable jurisdiction; (e) to Stone Peach for a royalty of 2% of the aggregate net sales of any products developed from the Compound (collectively, the “2023 Lilly Contingent Payments”). As of December 31, 2024, none of the 2023 Lilly Contingent Payments are due and accordingly will not be recorded in the Company’s financial statements until they are due.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Lilly License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8, 2022, the Company’s consolidated subsidiary, Z33, entered into a license agreement (the “2022 Lilly License”) with Lilly pursuant to which Lilly granted Z33 an exclusive (even as to Lilly), royalty-bearing global license to develop, manufacture, and commercialize certain intellectual property owned by Lilly relating to its IL-33 compound. As consideration, the Company paid Lilly an upfront fee of $7.0 million during 2022 and issued 550,000 Class A Ordinary Shares upon the closing of the Business Combination (subject to certain lock-up provisions) (the “Lilly License Fee”). During 2022 the Company recorded expense for the entire cost of the Lilly License Fee. Prior to the Business Combination, the obligation to issue shares represented contingent consideration and was classified as a liability in the consolidated balance sheet (research and development license consideration liability), which was settled upon the issuance of shares upon the closing of the Business Combination. See Note 4.</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finder’s fee in connection with arranging the acquisition, Z33 issued to Stone Peach Properties, LLC (“Stone Peach”) 4,900,222 shares of Z33 Series Seed Preferred Shares, which was included in the measurement of the cost of the acquired asset. The Company has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the Company for a price per share of $2.040724 (the “Put Option”). In April 2023, the Company agreed to exercise its Call Option and the Company amended the settlement terms to settle the Call Option by issuing 2,000,000 Class A Ordinary Shares (the “Amended Terms”). In November 2023, the Amended Terms were voided and the Company’s rights and obligations under the Call Option reverted to those in the original agreement (the “Second Amended Terms”). In connection with the Second Amended Terms, the Company also provided Stone Peach with the right, but not the obligation to sell up to 50% of the Series Seed Preferred Shares issued to Stone Peach to the Company in exchange for 2,000,000 Class A Ordinary Shares (the “Put Right”). Stone Peach may exercise its Put Option and Put Right at any time between April 24, 2024 and April 24, 2028 under the new agreement. See Note 12. Each of the Amended Terms and the Second Amended Terms were considered an extinguishment and reissuance of the Z33 Series Seed Preferred Shares, and the Z33 Series Seed Preferred Shares are remeasured to the greater of the redemption value or the initial fair value, less noncontrolling shareholder’s interest in net loss of Z33, at each subsequent reporting period. The Z33 Series Seed Preferred Shares represent redeemable noncontrolling interest in the Company’s consolidated subsidiary, Z33.</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consideration paid in 2022 and shares issued in 2023, the Company is also obligated to make payments to Lilly for (a) for $3.0 million upon the completion of a financing by Z33 with gross proceeds exceeding $100 million; (b) 10 commercial, development and regulatory milestone payments up to an aggregate of $155.0 million and sales milestone payments up to an aggregate of $440.0 million based on respective thresholds of net sales of products developed from the licensed compound, if any; and (c) an annual earned royalty at a marginal royalty rate between in the mid-single to low-double digits (less than 20%), with increasing rates based on net sales in the respective calendar year, based on a percentage of sales within varying thresholds for a certain period of the year, if any year (collectively, the “2022 Lilly Contingent Payments”). The Company will account for these contingent milestone payments when they become due. As of December 31, 2024, none of the 2022 Lilly Contingent Payments are due and accordingly will not be recorded in the Company’s financial statements until they are due.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Pfizer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March 22, 2022, the Company entered into a license agreement and a Series A - 1 Subscription and Shareholder’s Agreement (collectively, the “Pfizer Agreement”) with Pfizer. Under the Pfizer Agreement, the Company acquired a license for a compound initially developed by Pfizer, in exchange for $5.0 million in cash and 2,702,083 shares (as adjusted by the exchange ratio established in the Business Combination Agreement) of the Company’s Series A - 1 convertible preferred shares, representing a 20% interest in the Company. In accordance with Accounting Standards Codification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Pfizer Agreement is accounted for as an asset acquisition, as substantially all of the $7.5 million value transferred to the Company was allocated to in-process research and development. On the acquisition date, the compound licensed had not yet received regulatory approval and the in-process research and development did not have an alternative use.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consideration transferred during 2022, the Company is obligated to make payments to Pfizer for (a) twelve (12) future development and regulatory milestone payments aggregating up to $70.0 million and sales milestone payments up to an aggregate of $525.0 million based on respective thresholds of net sales of products (developed from the licensed compound) (the “Products”), if any; and (b) an annual earned royalty at a marginal royalty rate in the mid-single digits to low double digits (less than 20%), based on thresholds of net sales of the Company’s Products, if any (collectively, the “Pfizer Contingent Payments”). Royalties are payable on a country-by-country basis for a certain period of years or upon the later expiration of regulatory exclusivity of the Company’s Products in a country.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the first $1.0 million development milestone, included in the Pfizer Contingent Payments, as a component of research and development in the consolidated statement of operations during the year ended December 31, 2023. This amount was fully paid to Pfizer during the year ended December 31, 2024. As of December 31, 2024, no additional Pfizer Contingent Payments are due and accordingly no additional Pfizer Contingent Payments will be recorded in the Company’s financial statements until they are due.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Pfizer Agreement also had an anti-dilution provision to allow Pfizer to maintain an 18% interest in the Company, as detailed in Note</w:t>
      </w:r>
    </w:p>
    <w:p>
      <w:pPr>
        <w:spacing w:after="0" w:line="27" w:lineRule="exact"/>
        <w:rPr>
          <w:sz w:val="20"/>
          <w:szCs w:val="20"/>
          <w:color w:val="auto"/>
        </w:rPr>
      </w:pPr>
    </w:p>
    <w:p>
      <w:pPr>
        <w:jc w:val="both"/>
        <w:ind w:firstLine="8"/>
        <w:spacing w:after="0" w:line="252" w:lineRule="auto"/>
        <w:tabs>
          <w:tab w:leader="none" w:pos="18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prior to the Closing Date of the Business Combination, additional share options and restricted share units were issued to certain employees, executives, and directors that would result in the dilution of Pfizer’s ownership in the Company. In accordance with the anti-dilution provision of the Pfizer Agreement, Pfizer was issued additional Series A-1 convertible preferred shares upon the closing of the Business Combination that were immediately converted to 267,939 Class A Ordinary Shares.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recorded expense related to these Class A Ordinary Shares based on their grant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See Note 9. Following the Business Combination, the anti-dilution provision is no longer in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Lonza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2022, the Company entered into a license agreement (the “Lonza License”) with Lonza Sales AG (“Lonza”) for a worldwide non-exclusive license for Lonza’s gene expression system in exchange for varying considerations depending on a number of factors such as whether the Company enters further into manufacturing agreements with Lonza or with a third party, and whether the Company enters into sublicense agreements with third parties (including up to middle six-figure annual payments per sublicense upon commencement of a sublicense, as well as royalties of up to low-single digit percentages of net sales of certain products over a commercially standard double-digit multi-year term). The Lonza License will remain in effect until terminated. The Company is free to terminate the Lonza License at any time upon 60 days’ notice, with or without cause. Lonza may terminate the Lonza License for cause upon a breach by the Company or for other commercially standard reasons.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October 2023, the Company began drug substance manufacturing with another third party. As a result of manufacturing with a third party other than Lonza, under the terms of the Lonza License the Company had a license fee of $0.4 million due to Lonza in the fourth quarter of 2023 and annually thereafter. The Company recorded $0.4 million for the Lonza License in research and development in the consolidated statements of operations for the years ended December 31, 2024 and 2023. During the year ended December 31, 2024, $0.4 million was paid for the Lonza License and the remaining $0.4 million is included in accounts payable and accrued expenses in the consolidated balance sheet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WuXi Biologics License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2023, the Company entered into a cell line license agreement (the “Cell Line License Agreement”) with WuXi Biologics and its Affiliates (“WuXi Biologics”) for certain of WuXi Biologics’ know-how, cell line, and biological materials (the “WuXi Biologics Licensed Technology”) to manufacture, have manufactured, use, sell and import certain products produced through the use of the cell line licensed by WuXi Biologics under the Cell Line License Agreement (the “WuXi Biologics Licensed Products”). If the Company manufactures all of its commercial supplies of bulk drug product for WuXi Biologics Licensed Products with a manufacturer other than WuXi Biologics or its affiliates, the Company is required to make royalty payments to WuXi Biologics in an amount equal to a fraction of a single digit percentage of global net sales of WuXi Biologics Licensed Products manufactured by a third-party manufacturer (the “Royalty”). If the Company manufactures part of its commercial supplies of the WuXi Biologics Licensed Products with WuXi Biologics or its affiliates, then the Royalty will be reduced accordingly on a pro rata basis. The Cell Line License Agreement will continue indefinitely unless terminated (i) by the Company upon three months’ prior written notice and its payment of all undisputed amounts due to WuXi Biologics through the effective date of termination, (ii) by WuXi Biologics for a material breach by the Company that remains uncured for 30 days after written notice, or (iii) by WuXi Biologics if the Company fails to make a payment and such failure continues for 30 days after receiving notice of such failure. As of December 31, 2024, there are no payments currently due under the Cell Line License Agreement.</w:t>
      </w:r>
    </w:p>
    <w:p>
      <w:pPr>
        <w:spacing w:after="0" w:line="193"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Preferred Shares and Shareholders’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Date of the Business Combination, Pfizer was issued additional Series A-1 convertible preferred shares upon the closing of the Business Combination that were immediately converted to 267,939 Class A Ordinary Shares. The shares were issued in accordance with the anti-dilution provision of the Pfizer Agreement. See Note 9.</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Closing Date and in accordance with the terms and subject to the conditions of the Business Combination, each Ordinary Share of Legacy Zura, par value $0.001 per share, Series A-1 convertible preferred share, outstanding option (whether vested or unvested), and restricted share unit (whether vested or unvested) were canceled and converted into a comparable number of awards that consisted of either the rights to receive or acquire the Company’s Class A Ordinary Shares, par value $0.0001 per share, as determined by the exchange ratio pursuant to the Business Combination Agreement. The exchange ratio was approximately 108.083.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16, 2023, in connection with the closing of the Business Combination and effective upon the Closing Date, the Company authorized 300,000,000 Class A Ordinary Shares, par value of $0.0001 and 1,000,000 preferred shares, par value of $0.0001.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and ATM Program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filed a shelf registration statement on Form S-3 (the “Shelf Registration Statement”), which was declared effective on September 17, 2024. Pursuant to the Shelf Registration Statement, the Company may offer and sell ordinary shares, preference shares, debt securities, warrants and or units having an aggregate public offering price of up to $300.0 million. In connection with the filing of the Shelf Registration Statement, the Company also entered into a sales agreement (the “Sales Agreement”) with Leerink Partners LLC (“Leerink Partners”), relating to the sale of the Company’s Class A Ordinary Shares having an aggregate gross sales price of up to $125.0 million, from time to time through Leerink Partners, acting as sales agent (the “ATM”). The Company incurred $0.6 million of offering expenses in connection with establishing the ATM that reduced additional paid-in capital as of December 31,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18, 2024, the Company sold 1,500,000 Class A Ordinary Shares at a price of $3.80 per share under the ATM, for net proceeds of $5.5 million, after placement agent commissions. See Note 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Warrant Exchange, the Company issued 3,782,190 Class A Ordinary Shares. See Note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 Class A Ordinary Shares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15, 2024, the Company entered into a share surrender and warrant agreement (the “Share Exchange Agreement”) with certain affiliated shareholders (the “Shareholders”), pursuant to which (i) the Shareholders surrendered an aggregate of 4,000,000 Class A Ordinary Shares owned by the Shareholders, for no consideration, which were immediately cancelled and retired, upon surrender; and</w:t>
      </w:r>
    </w:p>
    <w:p>
      <w:pPr>
        <w:spacing w:after="0" w:line="1" w:lineRule="exact"/>
        <w:rPr>
          <w:sz w:val="20"/>
          <w:szCs w:val="20"/>
          <w:color w:val="auto"/>
        </w:rPr>
      </w:pPr>
    </w:p>
    <w:p>
      <w:pPr>
        <w:ind w:firstLine="8"/>
        <w:spacing w:after="0" w:line="260" w:lineRule="auto"/>
        <w:tabs>
          <w:tab w:leader="none" w:pos="26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pre-funded warrants to purchase an aggregate of 4,000,000 Ordinary Shares, with an exercise price of $0.001 per share (the “Share Exchange Warrants”) (the “Share Exchange”).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2024 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18, 2024, the Company entered into subscription agreements (the “Investor Agreements”) with certain institutional and other accredited investors (the “Investors”), whereby the Company agreed to issue 18,732,301 Class A Ordinary Shares at a price of $3.108 per share and pre-funded warrants to purchase up to 16,102,348 Class A Ordinary Shares (the “2024 Pre-Funded Warrants”) at a price of $3.107 per 2024 Pre-Funded Warrant for an aggregate purchase price of $108.3 million. See Note 8 for further information about the 2024 Pre-Funded Warrants.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18, 2024, the Company also entered into subscription agreements (the “Insider Agreements” and together with the Investor Agreements, the “April 2024 Private Placement”) with certain officers, directors and affiliates of the Company (“Insiders” and together with the Investors, the “Subscribers”), whereby the Company issued 1,357,827 Class A Ordinary Shares at a price of $3.13 per share for an aggregate purchase price of $4.2 million.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April 2024 Private Placement closed on April 22, 2024, from which the Company received total gross proceeds of approximately $112.5 million, before deducting transaction costs of $7.2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April 2023 Private Placement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the Company entered into its second PIPE subscription agreement (the “April 2023 Private Placement”) with certain accredited investors (the “Subscribers”), whereby the Company issued 15,041,530 Class A Ordinary Shares, par value $0.0001 per share and pre-funded warrants (the “Pre-Funded Warrants”) to purchase up to 3,782,000 Class A Ordinary Shares. Each Class A Ordinary Share was sold at a price of $4.25 per Class A Ordinary Share and each Pre-Funded Warrant was sold at a price of $4.249 per Pre-Funded Warrant for an aggregate purchase price of $80.0 million. See Note 8.</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Ordinary Shares Reserved for Issuance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summary of shares reserved for issuance as of December 31, 2024 is summarized below:</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7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exercise of warrants to purchase Class A Ordinary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23,884,348</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options to purchase Class A Ordinary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12,217,747</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grant under 2023 Equity Incentive Plan and ESPP</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1,863,283</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upon exercise of Z33 Put Right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issuable upon release of restricted share units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876,923</w:t>
            </w: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reserved for issuance</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40,842,301</w:t>
            </w:r>
          </w:p>
        </w:tc>
      </w:tr>
      <w:tr>
        <w:trPr>
          <w:trHeight w:val="20"/>
        </w:trPr>
        <w:tc>
          <w:tcPr>
            <w:tcW w:w="6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Zura Ordinary Shares and Series A-1 Convertible Preferred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Legacy Zura was authorized to issue Ordinary Shares and Series A-1 convertible preferred shares. The outstanding Ordinary Shares and Series A-1 convertible preferred shares of Legacy Zura are presented on the consolidated statement of changes in redeemable noncontrolling interest, convertible preferred shares, and shareholders’ equity (deficit) as of December 31, 2022, prior to the recapitalization (see Note 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no Legacy Zura Ordinary Shares and no convertible preferred shares were issued and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A-1 Convertible Preferred Shares Rights and Preferences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Series A-1 convertible preferred share was convertible, at the option of the holder thereof, at any time after the date of issuance of such share, into such number shares of the Company’s Ordinary Shares, subject to adjustment.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Series A-1 convertible preferred share would have automatically converted into a share of the Company’s Ordinary Shares, subject to adjustment, immediately upon the occurrence of an initial public offering with a gross aggregate subscription with respect to new Ordinary Shares of greater than $50.0 million. The Ordinary Shares resulting from this conversion would have ranked pari passu with the existing Ordinary Shares at the time of conversion.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Anti-Dilution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the Company issued equity securities, other than pursuant to a share option plan, the Company was required to issue such number of Series A-1 convertible preferred shares to Pfizer as necessary to maintain Pfizer’s ownership interest of 18%, until the Company raised in excess of $30.0 million in equity, where any capital raised above this threshold is not subject to anti-dilution. Upon the closing of the Business Combination, the anti-dilution provision was no longer in effect.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holders of shares of Series A-1 convertible preferred shares were entitled to receive dividends, of profits available for distribution as determined by the Company’s board of directors with the consent of the majority of the shareholders, payable on a pro rata, pari passu basis. No dividends have been declared by the Company’s board of directors.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voluntary or involuntary liquidation or return of capital (other than a conversion, redemption or purchase of shares) of the Company, the holders of the Series A-1 convertible preferred shares were entitled to receive a liquidation preference prior to any distribution to the holders of Ordinary Shares in the amount of $131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holders of the Series A-1 convertible preferred shares were entitled to one vote per share, unless the Series A-1 shares are convertible into a greater number of Ordinary Shares or the holders of Series A-1 convertible preferred shares were entitled to any anti-dilution shares, in which case the holders of Series A-1 convertible preferred shares were entitled to the number of votes that the holder would be entitled upon conversion to Ordinary Shares or after the issuance of the anti-dilution shares,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A-1 convertible preferred shares were not mandatorily redeemable at the option of the holder.</w:t>
      </w:r>
    </w:p>
    <w:p>
      <w:pPr>
        <w:spacing w:after="0" w:line="221"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Exchange</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12, 2024, the Company commenced an exchange offer (the “Exchange Offer”) and consent solicitation (the “Consent Solicitation”) relating to its outstanding warrants that it assumed in connection with the business combination, including (i) public warrants to purchase 5,910,000 Class A Ordinary Shares (the “Public Warrants”) that were held by JATT, and (ii) private placement warrants to purchase 6,899,996 Class A Ordinary Shares (the “Private Placement Warrants”) that were held by JATT shareholders (together with the Public Warrants, the “IPO warrants”). The Company offered to all holders of the IPO warrants the opportunity to receive 0.30 Class A ordinary shares in exchange for each outstanding IPO warrant tendered by the holder and exchanged pursuant to the Exchange Offer. Concurrently with the Exchange Offer, the Company also solicited consents from holders of the IPO warrants to amend that certain warrant agreement, dated as of July 16, 2021, by and between the Company and Continental Stock Transfer &amp; Trust Company (“CST”), as warrant agent (the “Warrant Agreement”) to permit the Company to require that each IPO warrant outstanding upon the closing of the Exchange Offer be exchanged for 0.27 Class A ordinary shares, which is a ratio 10% less than the exchange ratio applicable to the Exchange Offer. Pursuant to the terms of the Warrant Agreement, all except certain specified modifications or amendments required the vote or written consent of holders of at least a majority of the outstanding public warrants and a majority of the outstanding private placement warrants.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12, 2024, the Company completed the Exchange Offer and Consent Solicitation and issued 2,011,017 Class A Ordinary Shares in exchange for 6,703,428 Public Warrants and 1,224,167 Class A Ordinary Shares in exchange for 4,080,580 Private Placement Warrants. In connection with its completion of the Exchange Offer, the Company entered into an amendment, dated August 12, 2024 (the “Warrant Amendment”), to the Warrant Agreement to provide the Company with the right to mandatorily exchange the Company’s remaining outstanding IPO warrants for Class A ordinary shares at an exchange ratio of 0.27 Class A ordinary shares for each IPO warrant. On August 27, 2024, in accordance with the Warrant Amendment, the Company issued 547,006 Class A Ordinary Shares in exchange for the 196,568 outstanding Public Warrants and 1,829,420 outstanding Private Placement Warrants. As a result, there are no outstanding IPO warrants as of December 31, 2024. In connection with the Warrant Exchange, the Company paid out a de minimis amount of cash in lieu of fractional shares.</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approximately $1.6 million of costs directly related to the Warrant Exchange, consisting primarily of dealer manager fees and professional, legal, filing, regulatory, and other costs, which are included in general and administrative expenses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became exercisable into Class A Ordinary Shares commencing 30 days after the Business Combination with an exercise price of $11.50 per share, subject to certain adjustments and would have expired five years from the date of the Business Combination, or earlier upon redemption or liquidation. Each warrant entitled the holder to purchase one share of the Company’s Class A Ordinary Shares at a price of $11.50 per share, subject to certain adjustments.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Public Warrants were redeemable, with 30 days written notice, for cash at a price of $0.01 per warrant if the Reference Value (as defined below) equaled or exceeded $18.00 per share, subject to certain adjustments. The warrant holders had the right to exercise their outstanding warrants prior to the scheduled redemption date at $11.50 per share, subject to certain adjustments. If the Company called the public warrants for redemption, the Company would have the option to require all holders that wished to exercise the Public Warrants to do so on a “cashless basis”, as described in the warrant agreement. For purposes of the redemption, “Reference Value” shall mean the last reported sales price of the Company’s Class A Ordinary Shares for any twenty trading days within the thirty trading-day period ending on the third trading day prior to the date on which notice of the redemption is given.</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Public Warrants are no longer outstanding as of December 31, 2024. See </w:t>
      </w:r>
      <w:r>
        <w:rPr>
          <w:rFonts w:ascii="Times New Roman" w:cs="Times New Roman" w:eastAsia="Times New Roman" w:hAnsi="Times New Roman"/>
          <w:sz w:val="18"/>
          <w:szCs w:val="18"/>
          <w:i w:val="1"/>
          <w:iCs w:val="1"/>
          <w:color w:val="auto"/>
        </w:rPr>
        <w:t>“—Warrant Exchange”</w:t>
      </w:r>
      <w:r>
        <w:rPr>
          <w:rFonts w:ascii="Times New Roman" w:cs="Times New Roman" w:eastAsia="Times New Roman" w:hAnsi="Times New Roman"/>
          <w:sz w:val="18"/>
          <w:szCs w:val="18"/>
          <w:color w:val="auto"/>
        </w:rPr>
        <w:t xml:space="preserve">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Warrants were identical to the Public Warrants, except that the Private Placement Warrants were not transferable, assignable or salable until 30 days after the completion of a Business Combination, subject to certain limited exceptions. Additionally, Private Placement Warrants held by the initial purchasers or their permitted transferees were exercisable on a cashless basis and were non-redeemable.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Private Placement Warrants are no longer outstanding as of December 31, 2024. See </w:t>
      </w:r>
      <w:r>
        <w:rPr>
          <w:rFonts w:ascii="Times New Roman" w:cs="Times New Roman" w:eastAsia="Times New Roman" w:hAnsi="Times New Roman"/>
          <w:sz w:val="18"/>
          <w:szCs w:val="18"/>
          <w:i w:val="1"/>
          <w:iCs w:val="1"/>
          <w:color w:val="auto"/>
        </w:rPr>
        <w:t>“—Warrant Exchange”</w:t>
      </w:r>
      <w:r>
        <w:rPr>
          <w:rFonts w:ascii="Times New Roman" w:cs="Times New Roman" w:eastAsia="Times New Roman" w:hAnsi="Times New Roman"/>
          <w:sz w:val="18"/>
          <w:szCs w:val="18"/>
          <w:color w:val="auto"/>
        </w:rPr>
        <w:t xml:space="preserve"> above.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15, 2024, in conjunction with the Share Exchange Agreement, the Company issued the 4,000,000 Share Exchange Warrants with an exercise price of $0.001 per share and no expiration date. The Share Exchange Warrants are exercisable immediately, are exercisable until such Share Exchange Warrants are exercised in full and have substantially identical terms to the form of 2024 Pre-Funded Warrant (see below). A holder of the Share Exchange Warrants (together with its affiliates and other attribution parties) may not exercise any portion of a Share Exchange Warrant to the extent that immediately prior to or after giving effect to such exercise the holder would beneficially own more than 9.99% of the Company’s outstanding Class A Ordinary Shares immediately after exercise, which percentage may be increased or decreased to any other percentage specified not in excess of 9.99% at the holder’s election upon 61 days’ notice to the Company subject to the terms of the Share Exchange Warrants. See Note 7.</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April 2023 Private Placement, the Company sold to accredited investors pre-funded warrants to purchase up to 3,782,000 Class A Ordinary Shares at a price of $4.249 per pre-funded warrant for an aggregate purchase price of approximately $16.1 million (the “2023 Pre-Funded Warrants”). Each 2023 Pre-Funded Warrant has an exercise price of $0.001 per Class A Ordinary Share and is exercisable for one Class A Ordinary Share at any time or times on or after April 26, 2023 until exercised in full.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April 2024 Private Placement (see Note 7), the Company sold to accredited investors the 2024 Pre-Funded Warrants to purchase up to 16,102,348 Class A Ordinary Shares. Each 2024 Pre-Funded Warrant has an exercise price of $0.001 per Class A Ordinary Share and is exercisable for one Class A Ordinary Share at any time or times on or after April 22, 2024, until exercised in full.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number of warrants outstanding, their exercise price, and expiration dates as of December 31, 2024 and 2023:</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3200" w:type="dxa"/>
            <w:vAlign w:val="bottom"/>
            <w:tcBorders>
              <w:top w:val="single" w:sz="8" w:color="auto"/>
              <w:bottom w:val="single" w:sz="8" w:color="auto"/>
            </w:tcBorders>
          </w:tcPr>
          <w:p>
            <w:pPr>
              <w:ind w:left="1080"/>
              <w:spacing w:after="0" w:line="142" w:lineRule="exact"/>
              <w:rPr>
                <w:sz w:val="20"/>
                <w:szCs w:val="20"/>
                <w:color w:val="auto"/>
              </w:rPr>
            </w:pPr>
            <w:r>
              <w:rPr>
                <w:rFonts w:ascii="Times New Roman" w:cs="Times New Roman" w:eastAsia="Times New Roman" w:hAnsi="Times New Roman"/>
                <w:sz w:val="14"/>
                <w:szCs w:val="14"/>
                <w:b w:val="1"/>
                <w:bCs w:val="1"/>
                <w:color w:val="auto"/>
              </w:rPr>
              <w:t>Warrants Issued</w:t>
            </w:r>
          </w:p>
        </w:tc>
        <w:tc>
          <w:tcPr>
            <w:tcW w:w="160" w:type="dxa"/>
            <w:vAlign w:val="bottom"/>
            <w:tcBorders>
              <w:top w:val="single" w:sz="8" w:color="auto"/>
              <w:bottom w:val="single" w:sz="8" w:color="CCEEFF"/>
            </w:tcBorders>
          </w:tcPr>
          <w:p>
            <w:pPr>
              <w:spacing w:after="0"/>
              <w:rPr>
                <w:sz w:val="12"/>
                <w:szCs w:val="12"/>
                <w:color w:val="auto"/>
              </w:rPr>
            </w:pPr>
          </w:p>
        </w:tc>
        <w:tc>
          <w:tcPr>
            <w:tcW w:w="246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8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10"/>
        </w:trPr>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23,884,348</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jc w:val="right"/>
              <w:ind w:right="227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378"/>
        </w:trPr>
        <w:tc>
          <w:tcPr>
            <w:tcW w:w="3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2"/>
          </w:tcPr>
          <w:p>
            <w:pPr>
              <w:jc w:val="right"/>
              <w:ind w:right="101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42"/>
        </w:trPr>
        <w:tc>
          <w:tcPr>
            <w:tcW w:w="3200" w:type="dxa"/>
            <w:vAlign w:val="bottom"/>
            <w:tcBorders>
              <w:bottom w:val="single" w:sz="8" w:color="auto"/>
            </w:tcBorders>
          </w:tcPr>
          <w:p>
            <w:pPr>
              <w:ind w:left="1080"/>
              <w:spacing w:after="0" w:line="142" w:lineRule="exact"/>
              <w:rPr>
                <w:sz w:val="20"/>
                <w:szCs w:val="20"/>
                <w:color w:val="auto"/>
              </w:rPr>
            </w:pPr>
            <w:r>
              <w:rPr>
                <w:rFonts w:ascii="Times New Roman" w:cs="Times New Roman" w:eastAsia="Times New Roman" w:hAnsi="Times New Roman"/>
                <w:sz w:val="14"/>
                <w:szCs w:val="14"/>
                <w:b w:val="1"/>
                <w:bCs w:val="1"/>
                <w:color w:val="auto"/>
              </w:rPr>
              <w:t>Warrants Issued</w:t>
            </w:r>
          </w:p>
        </w:tc>
        <w:tc>
          <w:tcPr>
            <w:tcW w:w="160" w:type="dxa"/>
            <w:vAlign w:val="bottom"/>
            <w:tcBorders>
              <w:bottom w:val="single" w:sz="8" w:color="CCEEFF"/>
            </w:tcBorders>
          </w:tcPr>
          <w:p>
            <w:pPr>
              <w:spacing w:after="0"/>
              <w:rPr>
                <w:sz w:val="12"/>
                <w:szCs w:val="12"/>
                <w:color w:val="auto"/>
              </w:rPr>
            </w:pPr>
          </w:p>
        </w:tc>
        <w:tc>
          <w:tcPr>
            <w:tcW w:w="246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8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10"/>
        </w:trPr>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6,899,996</w:t>
            </w:r>
          </w:p>
        </w:tc>
        <w:tc>
          <w:tcPr>
            <w:tcW w:w="160" w:type="dxa"/>
            <w:vAlign w:val="bottom"/>
            <w:shd w:val="clear" w:color="auto" w:fill="CCEEFF"/>
          </w:tcPr>
          <w:p>
            <w:pPr>
              <w:spacing w:after="0"/>
              <w:rPr>
                <w:sz w:val="18"/>
                <w:szCs w:val="18"/>
                <w:color w:val="auto"/>
              </w:rPr>
            </w:pPr>
          </w:p>
        </w:tc>
        <w:tc>
          <w:tcPr>
            <w:tcW w:w="2460" w:type="dxa"/>
            <w:vAlign w:val="bottom"/>
            <w:shd w:val="clear" w:color="auto" w:fill="CCEEFF"/>
          </w:tcPr>
          <w:p>
            <w:pPr>
              <w:jc w:val="right"/>
              <w:ind w:right="227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Mar-28</w:t>
            </w:r>
          </w:p>
        </w:tc>
      </w:tr>
      <w:tr>
        <w:trPr>
          <w:trHeight w:val="216"/>
        </w:trPr>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5,910,000</w:t>
            </w:r>
          </w:p>
        </w:tc>
        <w:tc>
          <w:tcPr>
            <w:tcW w:w="2620" w:type="dxa"/>
            <w:vAlign w:val="bottom"/>
            <w:gridSpan w:val="2"/>
          </w:tcPr>
          <w:p>
            <w:pPr>
              <w:jc w:val="right"/>
              <w:ind w:right="22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Mar-28</w:t>
            </w:r>
          </w:p>
        </w:tc>
      </w:tr>
      <w:tr>
        <w:trPr>
          <w:trHeight w:val="216"/>
        </w:trPr>
        <w:tc>
          <w:tcPr>
            <w:tcW w:w="3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3,782,000</w:t>
            </w:r>
          </w:p>
        </w:tc>
        <w:tc>
          <w:tcPr>
            <w:tcW w:w="2620" w:type="dxa"/>
            <w:vAlign w:val="bottom"/>
            <w:gridSpan w:val="2"/>
            <w:shd w:val="clear" w:color="auto" w:fill="CCEEFF"/>
          </w:tcPr>
          <w:p>
            <w:pPr>
              <w:jc w:val="right"/>
              <w:ind w:right="227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7"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16, 2023, JATT’s board of directors approved the Zura Bio Limited 2023 Equity Incentive Plan (the “Equity Incentive Plan”) which became effective on the day immediately preceding the Closing Date of the Business Combination. The Equity Incentive Plan allows for the grant of share options, both incentive and nonqualified share options; stock appreciation rights (“SARS”), alone or in conjunction with other awards; restricted share awards (“RSAs”) and restricted share units (“RSUs”); incentive bonuses, which may be paid in cash, shares, or a combination thereof; and other share-based awards to employees, officers, non-employee directors and other service providers. The Company has granted share options, RSUs and RSAs that generally vest over four years and expire after 10 years. On June 1, 2023, the Company’s board of directors approved an increase to the number of Class A Ordinary Shares that may be issued under the Equity Incentive Plan by an additional 5,564,315 Class A Ordinary Shares. See Note 14.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Class A Ordinary Shares issuable under the Equity Incentive Plan are subject to an annual increase on January 1st of each calendar year beginning on January 1, 2024 and ending on and including January 1, 2029, equal to the lesser of (i) 5.0% of the aggregate number of Class A Ordinary Shares outstanding on the final day of the immediately preceding calendar year, (ii) 8,059,796 Class A Ordinary Shares or (iii) such smaller number of shares as is determined by the board. As of January 1, 2024, the Company's board of directors decided not to apply an increase to the Class A Ordinary Shares issuable under the Equity Incentive Plan for the 2024 calendar year.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16, 2023, JATT’s board of directors approved the Zura Bio Limited 2023 Employee Stock Purchase Plan (the “ESPP”) which became effective on the day immediately preceding the Closing Date of the Business Combination. The maximum number of Class A Ordinary Shares that may be issued under the ESPP is 4,029,898, plus an aggregate number of Class A Ordinary Shares that are automatically added under the Equity Incentive Plan on January 1st of each calendar year, beginning on January 1, 2024 and ending on and including January 1, 2029, as discussed above. The ESPP enables eligible employees of the Company and designated affiliates to purchase Class A Ordinary Shares at a discount of 15%. As of December 31, 2024, the Company has not activated the ESPP.</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a maximum of 13,624,111 Class A Ordinary Shares were authorized for issuance under either the Equity Incentive Plan and ESPP, collectively.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Legacy Zura Option Plans Conversions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8, 2022, Legacy Zura’s board of directors approved two share option plans, the UK Plan (the “UK Plan”) and the US Plan (the “US Plan”) (collectively, the “Option Plans”) which permit the granting of nonqualified share options to certain employees and directors. There were 1,501,165 Ordinary Shares available for issuance under the Option Plans, of which 383,371 Ordinary Shares were authorized for issuance under the US Plan. Upon closing of the Business Combination, all equity awards of Legacy Zura that were issued and outstanding under the Option Plans were converted into comparable equity awards that are settled or exercisable for shares of the Company’s Class A Ordinary Shares under the Equity Incentive Plan. As a result, each of Legacy Zura’s equity awards were converted into an option to purchase Class A Ordinary Shares of the Company based on an exchange ratio of approximately 108.083.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Equity Incentive Plan share options is estimated on the date of grant using the Black-Scholes option pricing model. The Company lacks significant company-specific historical and implied volatility information. Therefore, it estimates its expected share volatility based on the historical volatility of a publicly traded set of peer companies. Due to the lack of historical exercise history, the expected term of the Company’s share options has been determined using the “simplified” method for awards. The risk-free interest rate is determined by reference to the U.S. Treasury yield curve in effect at the time of grant of the award for time periods approximately equal to the expected term of the award. Expected dividend yield is zero based on the fact that the Company has never paid cash dividends and does not expect to pay any cash dividends in the foreseeable future.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the Equity Incentive Plan share options issued during the years ended December 31,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3280" w:type="dxa"/>
            <w:vAlign w:val="bottom"/>
            <w:tcBorders>
              <w:bottom w:val="single" w:sz="8" w:color="CCEEFF"/>
            </w:tcBorders>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101.1 %</w:t>
            </w:r>
          </w:p>
        </w:tc>
        <w:tc>
          <w:tcPr>
            <w:tcW w:w="3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97.1 %</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 years</w:t>
            </w:r>
          </w:p>
        </w:tc>
        <w:tc>
          <w:tcPr>
            <w:tcW w:w="3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 years</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864"/>
        </w:trPr>
        <w:tc>
          <w:tcPr>
            <w:tcW w:w="3280" w:type="dxa"/>
            <w:vAlign w:val="bottom"/>
          </w:tcPr>
          <w:p>
            <w:pPr>
              <w:spacing w:after="0"/>
              <w:rPr>
                <w:sz w:val="24"/>
                <w:szCs w:val="24"/>
                <w:color w:val="auto"/>
              </w:rPr>
            </w:pPr>
          </w:p>
        </w:tc>
        <w:tc>
          <w:tcPr>
            <w:tcW w:w="3840" w:type="dxa"/>
            <w:vAlign w:val="bottom"/>
            <w:gridSpan w:val="2"/>
          </w:tcPr>
          <w:p>
            <w:pPr>
              <w:jc w:val="right"/>
              <w:ind w:right="1890"/>
              <w:spacing w:after="0"/>
              <w:rPr>
                <w:sz w:val="20"/>
                <w:szCs w:val="20"/>
                <w:color w:val="auto"/>
              </w:rPr>
            </w:pPr>
            <w:r>
              <w:rPr>
                <w:rFonts w:ascii="Times New Roman" w:cs="Times New Roman" w:eastAsia="Times New Roman" w:hAnsi="Times New Roman"/>
                <w:sz w:val="18"/>
                <w:szCs w:val="18"/>
                <w:color w:val="auto"/>
              </w:rPr>
              <w:t>F-23</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47"/>
        </w:trPr>
        <w:tc>
          <w:tcPr>
            <w:tcW w:w="32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share option activity for the year ended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4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as of December 31, 2023</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5,791,065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17,752</w:t>
            </w: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7,164,948</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(738,266)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outstanding as of December 31, 2024</w:t>
            </w: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12,217,747</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0" w:type="dxa"/>
            <w:vAlign w:val="bottom"/>
          </w:tcPr>
          <w:p>
            <w:pPr>
              <w:spacing w:after="0"/>
              <w:rPr>
                <w:sz w:val="1"/>
                <w:szCs w:val="1"/>
                <w:color w:val="auto"/>
              </w:rPr>
            </w:pPr>
          </w:p>
        </w:tc>
      </w:tr>
      <w:tr>
        <w:trPr>
          <w:trHeight w:val="197"/>
        </w:trPr>
        <w:tc>
          <w:tcPr>
            <w:tcW w:w="59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Options vested and exercisable as of December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3,672,393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6,080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Included in options outstanding as of December 31, 2024 and 2023 in the table above are 2,165,369 and 2,483,135, respectively, options to purchase Class A Ordinary Shares issued to certain directors, executives, and employees outside of the Equity Incentive Plan.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December 2024, the Company granted 1,053,000 PSOs, included in the table above, that will vest upon the earlier of achieving a one year service condition or upon the Company’s Annual General Meeting (“AGM”). The Company is recording expense over one year as the Company’s management has not deemed it probable that the AGM will be earlier than one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during the years ended December 31, 2024 and 2023 was $2.71 and $5.79,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Market-Based Share Options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20, 2023, the Company granted 306,373 options to purchase Class A Ordinary Shares (“Market-Based Share Options”) to a certain Director of the Board. These awards will vest only to the extent that the 20-day volume weighted average trading price (“VWAP”) of the Class A Ordinary Shares is over $30 per Class A Ordinary Share at any time prior to the fifth anniversary of the grant date. These awards have an exercise price of $8.16 and become exercisable when vested and the market condition is satisfied. These awards expire 10 years from the date of grant. The fair value of these Market-Based Share Options were estimated using a Monte Carlo valuation method for the year ended December 31, 2023. No Market-Based Share Options were granted during the year ended December 31, 2024.</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weighted-average assumptions used at the grant date to determine the fair value of the Company’s Market-Based Share Options granted during the year ended December 31, 2023.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tcPr>
          <w:p>
            <w:pPr>
              <w:jc w:val="center"/>
              <w:ind w:right="31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8"/>
        </w:trPr>
        <w:tc>
          <w:tcPr>
            <w:tcW w:w="8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8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3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r>
      <w:tr>
        <w:trPr>
          <w:trHeight w:val="210"/>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 years</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Market-Based Share Options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expense related to Market-Based Share Options of $0.7 million and $0.5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Units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year ended December 31, 2024:</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 w:type="dxa"/>
            <w:vAlign w:val="bottom"/>
          </w:tcPr>
          <w:p>
            <w:pPr>
              <w:spacing w:after="0"/>
              <w:rPr>
                <w:sz w:val="15"/>
                <w:szCs w:val="15"/>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Grant Date FV</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RSUs outstanding as of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1,563,018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(297,342)</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 and issued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(393,753)</w:t>
            </w:r>
          </w:p>
        </w:tc>
        <w:tc>
          <w:tcPr>
            <w:tcW w:w="140" w:type="dxa"/>
            <w:vAlign w:val="bottom"/>
          </w:tcPr>
          <w:p>
            <w:pPr>
              <w:spacing w:after="0"/>
              <w:rPr>
                <w:sz w:val="18"/>
                <w:szCs w:val="18"/>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 and unissued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0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Unvested RSUs as of December 31, 2024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874,923</w:t>
            </w:r>
          </w:p>
        </w:tc>
        <w:tc>
          <w:tcPr>
            <w:tcW w:w="140" w:type="dxa"/>
            <w:vAlign w:val="bottom"/>
          </w:tcPr>
          <w:p>
            <w:pPr>
              <w:spacing w:after="0"/>
              <w:rPr>
                <w:sz w:val="18"/>
                <w:szCs w:val="18"/>
                <w:color w:val="auto"/>
              </w:rPr>
            </w:pPr>
          </w:p>
        </w:tc>
        <w:tc>
          <w:tcPr>
            <w:tcW w:w="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expense related to RSUs of $2.0 million and $ 1.6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Share Awards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converted RSUs granted to a certain director pursuant to the Equity Incentive Plan into RSAs. The following table summarizes the Company’s RSA activity for the year ended 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92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7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RSAs outstanding as of December 31,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6"/>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(124,998)</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RSAs outstanding as of December 31,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374,995</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Company recorded expense related to RSAs of $1.0 million and $ 0.6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 Modification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24, 2024, the Company entered into a settlement agreement with Someit Sidhu (“Settlement Agreement”) in connection with the Chief Executive Officer (“CEO”) transition. Pursuant to the Settlement Agreement, 1,700,000 share options became fully vested and immediately exercisable and the remaining 250,000 share options will vest annually over three years on the anniversary of the Settlement Agreement. Accordingly, for the year ended December 31, 2024, the Company recorded $5.9 million of share-based compensation expense, in general and administrative expense in the consolidated statement of operations, for the remaining grant date fair value of the 1,700,000 share options and the grant date fair value of the 250,000 share options is being recorded to compensation expense over the revised vesting period. The Company determined that the Settlement Agreement did not result in any incremental expense.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2024, the Company and its Chief Medical Officer (the “CMO”) entered into an agreement regarding the CMO’s departure from the Company (the “Severance Agreement”). In connection with the Severance Agreement, 67,525 of the share options previously granted to the CMO became fully vested and exercisable and 40,515 of the RSUs previously granted to the CMO became fully vested. All remaining share options and RSUs not vested were forfeited and cancelled. During the year ended December 31, 2024, the Company recognized a reversal of approximately $0.1 million of share-based compensation expense related to this modification in research and development expense in the consolidated statement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7, 2023, the Company and its President and Chief Operating Officer (the “COO”) entered into an agreement regarding the COO’s departure from the Company (the “Severance Agreement”). In connection with Severance Agreement, 59,594 of the share options previously granted to the COO became fully vested and exercisable, with any shares purchased under the option subject to an 18-month lockup period. The Company recognized approximately $0.6 million of incremental share-based compensation during the year ended December 31, 2023 related to this share option modification.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Share-based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anti-dilution provisions of the Pfizer Agreement, Pfizer was issued additional Series A-1 convertible preferred shares upon the closing of the Business Combination that were immediately converted to 267,939 Class A Ordinary Shares. During the year ended December 31, 2023, the Company recorded expense of $2.2 million in research and development in the consolidated statement of operations, related to these Class A Ordinary Shares based on their grant-date fair value.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 for all equity arrangements for the year ended December 31, 2024 and 2023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7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r>
      <w:tr>
        <w:trPr>
          <w:trHeight w:val="216"/>
        </w:trPr>
        <w:tc>
          <w:tcPr>
            <w:tcW w:w="7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6,677</w:t>
            </w:r>
          </w:p>
        </w:tc>
      </w:tr>
      <w:tr>
        <w:trPr>
          <w:trHeight w:val="210"/>
        </w:trPr>
        <w:tc>
          <w:tcPr>
            <w:tcW w:w="7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16,798</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9,655</w:t>
            </w: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unrecognized compensation costs related to the unvested share options were $21.2 million, which the Company expects to recognize over a weighted-average period of 2.8 years. As of December 31, 2024, unrecognized compensation costs related to the unvested RSUs were $4.1 million which the Company expects to recognize over a weighted-average period of 2.2 years. As of December 31, 2024, unrecognized compensation costs related to the unvested RSAs were $2.3 million which the Company expects to recognize over a weighted-average period of 2.4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 before income taxes were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21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57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operations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(36,842)</w:t>
            </w:r>
          </w:p>
        </w:tc>
      </w:tr>
      <w:tr>
        <w:trPr>
          <w:trHeight w:val="216"/>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Non-U.S. operations</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(23,721)</w:t>
            </w:r>
          </w:p>
        </w:tc>
      </w:tr>
      <w:tr>
        <w:trPr>
          <w:trHeight w:val="210"/>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(60,563)</w:t>
            </w: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is no provision for income taxes because the Company has incurred losses since its inception and maintains a full valuation allowance against its net deferred tax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expected income tax (benefit) computed using the federal statutory income tax rate to the Company’s effective income tax rate is as follows:</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1860" w:type="dxa"/>
            <w:vAlign w:val="bottom"/>
            <w:gridSpan w:val="4"/>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08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at federal statutory rate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expense, net of federal tax effect</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0.5 %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non-U.S. earnings</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share-based compensation</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Change in deferred tax rate</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09"/>
        </w:trPr>
        <w:tc>
          <w:tcPr>
            <w:tcW w:w="60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difference between the United States (“U.S.”) statutory federal income tax rate and the Company’s effective tax rate in 2024 and 2023 is primarily attributable to no tax benefit being provided on pre-tax operating losses as the Company maintains a full valuation allowance against its deferred tax assets.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 Assets and Valuation Allowance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Company’s net deferred tax assets were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4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6,947</w:t>
            </w:r>
          </w:p>
        </w:tc>
      </w:tr>
      <w:tr>
        <w:trPr>
          <w:trHeight w:val="216"/>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r>
      <w:tr>
        <w:trPr>
          <w:trHeight w:val="216"/>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16"/>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Capitalized start-up costs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17,893</w:t>
            </w:r>
          </w:p>
        </w:tc>
      </w:tr>
      <w:tr>
        <w:trPr>
          <w:trHeight w:val="216"/>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Valuation allowance</w:t>
            </w:r>
          </w:p>
        </w:tc>
        <w:tc>
          <w:tcPr>
            <w:tcW w:w="1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(17,893)</w:t>
            </w:r>
          </w:p>
        </w:tc>
      </w:tr>
      <w:tr>
        <w:trPr>
          <w:trHeight w:val="20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income tax assets, net</w:t>
            </w:r>
          </w:p>
        </w:tc>
        <w:tc>
          <w:tcPr>
            <w:tcW w:w="16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the deferred tax assets will be realized. The ultimate realization of deferred tax assets is based on the assessment of available positive and negative evidence to estimate whether sufficient future taxable income will be generated to permit the utilization of existing deferred tax assets. The Company considered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A significant piece of objective negative evidence evaluated was the cumulative loss incurred since the Company’s inception. Such objective evidence limits the ability to consider subjective evidence such as the Company’s projections for future growth. Based on this assessment, the Company maintained a full valuation allowance against the Company’s net deferred tax assets as of December 31, 2024, and 2023. If these estimates and assumptions change in the future, the Company may be required to reduce the Company’s existing valuation allowance resulting in less income tax expense. The Company’s overall valuation allowance increased by $7.8 million during 2024 resulting from current year losses for which no tax benefit was provided.</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2024, the Company had U.S. federal net operating loss (“NOL”) carryforwards of approximately $12.4 million which may be carried forward indefinitely but are only available to offset 80% of future taxable income. In addition, the Company had $31.1 million of foreign net operating loss carryforwards of which $12.8 million was generated in the United Kingdom and $18.3 million was generated in the Cayman Islands. The NOLs generated in the United Kingdom can be carried forward indefinitely. The NOLs generated in the Cayman Islands have no value as the Cayman Islands do not impose any income tax on corporations. In addition, the Company also has approximately $12.2 million in state net operating loss carryforwards of which the Florida NOL of $0.4 million can be carried forward 20 years and the Virginia NOL of $11.8 may be carried forward indefinitely but is only available to offset 80% of future taxable income.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net operating loss carryforwards are subject to review and possible adjustment by the U.S. and state tax authorities. Net operating loss carryforwards may become subject to an annual limitation in the event of certain cumulative changes in the ownership interest of significant shareholders, as defined under Section 382 of the Internal Revenue Code. This could limit the amount of NOLs that the Company could use on an annual basis to offset future taxable income or tax liabilities. As of December 31, 2024, the Company had not performed an analysis to determine whether any of the Company’s net operating loss carryforwards are subject to limitation under Sections 382 of the Internal Revenue Code.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applies the applicable authoritative guidance which prescribes a comprehensive model for the manner in which a company should recognize, measure, present and disclose in its consolidated financial statements all material uncertain tax positions that the Company has taken or expects to take on a tax return. As of December 31, 2024, the Company had no uncertain tax positions. There are no uncertain tax positions for which it is reasonably possible that the total amount of unrecognized tax benefits will significantly increase or decrease within twelve months of December 31, 2024.</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the United Kingdom and certain state jurisdictions. The U.S federal tax years open to examination by the Internal Revenue Service are 2021 to 2024. The Company’s state and United Kingdom tax years that are open to tax examination are 2020 to 2024.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0" w:hanging="432"/>
        <w:spacing w:after="0"/>
        <w:tabs>
          <w:tab w:leader="none" w:pos="44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158" w:lineRule="exact"/>
        <w:rPr>
          <w:sz w:val="20"/>
          <w:szCs w:val="20"/>
          <w:color w:val="auto"/>
        </w:rPr>
      </w:pPr>
    </w:p>
    <w:p>
      <w:pPr>
        <w:ind w:left="440" w:hanging="432"/>
        <w:spacing w:after="0"/>
        <w:tabs>
          <w:tab w:leader="none" w:pos="4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finder’s fee for the 2022 Lilly License, the Company’s consolidated subsidiary Z33 issued 4,900,222 shares of Z33 Series Seed Preferred Shares to Stone Peach. Zura has the right, but not the obligation to purchase up to 50% of the Series Seed Preferred Shares issued to Stone Peach at a price per share of $2.448869 for a period of two years from the date of the agreement (the “Call Option”). Stone Peach has the right, but not the obligation to sell up to 50% of the Series Seed Preferred Shares issued to Stone Peach to Zura for a price per share of $2.040724 (the “Put Option”). As it is not possible to specifically identify the shares that may be redeemed by exercising the Put Option, and the applicable unit of account is each share, the Company assessed that each share must be considered redeemable until the exercise or the expiration of the Put Option. Accordingly, the Z33 Series Seed Preferred Shares issued to Stone Peach represents redeemable noncontrolling interest.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2023, the Company agreed to, within six months of April 24, 2023, exercise its Call Option on 50% of the Z33 Series Seed Preferred Shares previously issued to Stone Peach. The Company agreed to settle its Call Option by issuing 2,000,000 Class A Ordinary Shares. The amended settlement terms represented an extinguishment and reissuance of the Z33 Series Seed Preferred Shares. The $10.9 million difference between the estimated fair value of the new instrument issued and the carrying value of the Z33 Series Seed Preferred Shares was recorded as a deemed dividend to the redeemable noncontrolling interest and as an adjustment to net loss to arrive at net loss attributable to Class A ordinary shareholders in the consolidated statement of operations.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2023, the Company and Stone Peach amended the terms of the agreement, voiding the Company’s obligation to exercise its Call Option, and instead reverting the Company’s rights and obligations under the Call Option back to that of the original agreement. Stone Peach, in addition to the existing Put Option, was granted the right, but not the obligation to sell up to 50% of the Series Seed Preferred Shares issued to Stone Peach to Zura in exchange for 2,000,000 Class A Ordinary Shares (the “Put Right”). Stone Peach may exercise its Put Option and Put Right at any time between April 24, 2024 and April 24, 2028 under the new agreement. The amended settlement terms represented an extinguishment and reissuance of the Z33 Series Seed Preferred Shares. The $9.2 million difference between the estimated fair value of the new instrument issued and the carrying value of the Z33 Series Seed Preferred Shares was recorded as a deemed contribution from the redeemable noncontrolling interest and as an adjustment to net loss to arrive at net loss attributable to Class A ordinary shareholders, in the consolidated statement of operations. On December 31, 2023, the redeemable noncontrolling interest was accreted to its redemption value and the difference was recorded as an adjustment to net loss to arrive at net loss attributable to Class A ordinary shareholders for the year ended December 31, 2023 in the consolidated statement of operations. On December 31, 2024, the redeemable noncontrolling interest was remeasured from its redemption price to its initial carry amount, decreased for the noncontrolling interest’s share of Z33’s net loss, and the difference was recorded as an adjustment to net loss to arrive at net loss attributable to Class A ordinary shareholders for the year ended December 31, 2024 in the consolidated statement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2023, the redeemable noncontrolling interest balance was $11.7 million and $18.7 million, respectively.</w:t>
      </w:r>
    </w:p>
    <w:p>
      <w:pPr>
        <w:spacing w:after="0" w:line="221" w:lineRule="exact"/>
        <w:rPr>
          <w:sz w:val="20"/>
          <w:szCs w:val="20"/>
          <w:color w:val="auto"/>
        </w:rPr>
      </w:pPr>
    </w:p>
    <w:p>
      <w:pPr>
        <w:ind w:left="440" w:hanging="432"/>
        <w:spacing w:after="0"/>
        <w:tabs>
          <w:tab w:leader="none" w:pos="44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401(k) defined contribution retirement plan (the “401(k) Plan”) for all of its U.S. employees. For the 401(k) Plan, the Company makes a matching contribution up to a maximum of 6% of an employee’s annual salary. For U.K. employees, the Company contributes up to 6% of an employee’s annual salary to defined contribution retirement pension plans. Contributions made by the Company vest 100% upon contribution. For the year-ended December 31, 2024 and 2023, the Company recorded expense of $0.3 million and $0.1 million, respectively for the defined contribution plans.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40" w:hanging="432"/>
        <w:spacing w:after="0"/>
        <w:tabs>
          <w:tab w:leader="none" w:pos="4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2025, the Class A Ordinary Shares reserved for future issuances under the Equity Incentive Plan and ESPP were each increased by the annual automatic increase of 5% of outstanding Class A Ordinary Shares as of December 31, 2024, or 3,264,877 Class A Ordinary Shares.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2025, the Company sold 3,000,000 Class A Ordinary Shares at a price of $1.75 per share under the ATM, for net proceeds of $5.1 million, after placement agent commissions.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2025, the Company granted options to purchase 3,572,790 Class A Ordinary Shares to employees under the Equity Incentive Plan. The share options vest over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DESCRIPTION OF THE COMPANY’S SECURITIES REGISTERED PURSUANT TO SECTION 12 OF THE SECURITIES EXCHANGE ACT OF 1934, AS AMENDED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a company incorporated in the Cayman Islands as an exempted company and our affairs are governed by our Second Amended and Restated Memorandum and Articles of Association (the “MAA”), the Cayman Islands Companies Act and the common law of the Cayman Islands. Pursuant to the MAA, our authorized share capital is $30,100 divided into 300,000,000 Class A Ordinary Shares of a par value of $0.0001 each, no Class B Ordinary Shares, and 1,000,000 Zura preference shares of a par value of $0.0001 each. The following description summarizes certain terms of our shares as set out more particularly in the MAA. Because it is only a summary, it may not contain all the information that is important to you.</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Ordinary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shareholders of record are entitled to one vote for each share held on all matters to be voted on by shareholders.</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members of our Board of Directors serve until the next annual general meeting. There is no cumulative voting with respect to the appointment of directors, with the result that the holders of more than 50% of the shares eligible to vote for the appointment of directors and voting at the applicable meeting can appoint all of the directors. Subject to the rights of any holders of preference shares to appoint directors, the number of directors that shall constitute the Zura Board shall be as determined from time to time exclusively by the Zura Board.</w:t>
      </w:r>
    </w:p>
    <w:p>
      <w:pPr>
        <w:spacing w:after="0" w:line="18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Directors may only be removed for cause by a majority of the other directors then in office or by the affirmative vote of at least two-thirds of the total voting power of all then-outstanding shares of Zura entitled to vote thereon, voting together as a single class.</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shareholders have no conversion, preemptive or other subscription rights and there are no sinking fund or redemption provisions applicable to the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Cayman Islands law, we must keep a register of members and there will be entered therein:</w:t>
      </w:r>
    </w:p>
    <w:p>
      <w:pPr>
        <w:spacing w:after="0" w:line="225" w:lineRule="exact"/>
        <w:rPr>
          <w:sz w:val="20"/>
          <w:szCs w:val="20"/>
          <w:color w:val="auto"/>
        </w:rPr>
      </w:pPr>
    </w:p>
    <w:p>
      <w:pPr>
        <w:ind w:left="340" w:right="360" w:hanging="251"/>
        <w:spacing w:after="0" w:line="282"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the members, a statement of the shares held by each member, and of the amount paid or agreed to be considered as paid, on the shares of each member and the voting rights of the shares of each member;</w:t>
      </w:r>
    </w:p>
    <w:p>
      <w:pPr>
        <w:spacing w:after="0" w:line="161"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voting rights are attached to the shares in issue;</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shares, then the validity of such shares may be subject to re-examination by a Cayman Islands court.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Founder Shares were outstanding JATT Acquisition Corp (“JATT”) Class B Ordinary Shares that automatically converted into Class A Ordinary Shares at the business combination’s closing on a one-for-one basis, subject to adjustment. The Founder Shares are henceforth identical to the other Class A Ordinary Shares, and holders of Founder Shares have the same shareholder rights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39" w:name="page140"/>
    <w:bookmarkEnd w:id="139"/>
    <w:p>
      <w:pPr>
        <w:ind w:right="200"/>
        <w:spacing w:after="0" w:line="282" w:lineRule="auto"/>
        <w:rPr>
          <w:sz w:val="20"/>
          <w:szCs w:val="20"/>
          <w:color w:val="auto"/>
        </w:rPr>
      </w:pPr>
      <w:r>
        <w:rPr>
          <w:rFonts w:ascii="Times New Roman" w:cs="Times New Roman" w:eastAsia="Times New Roman" w:hAnsi="Times New Roman"/>
          <w:sz w:val="18"/>
          <w:szCs w:val="18"/>
          <w:color w:val="auto"/>
        </w:rPr>
        <w:t>public shareholders, except that (i) the Founder Shares are subject to certain transfer restrictions, as described in more detail below and (ii) the Founder Shares are entitled to registration rights.</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With certain limited exceptions, the Founder Shares are not transferable, assignable or salable (except to permitted transferees, each of whom will be subject to the same transfer restrictions) until the earlier of (A) six months after the completion of the Business Combination or (B) subsequent to the Business Combination, (x) if the reported closing price of our Zura Class A Ordinary Shares equals or exceeds $12.00 per share (as adjusted for share sub-divisions, share dividends, reorganizations, recapitalizations and the like) for any 20 trading days within any 30-trading day period commencing at least 150 days after the Business Combination or (y) the date, following the completion of the Business Combination, on which we complete a liquidation, merger, share exchange, reorganization or other similar transaction that results in all of our shareholders having the right to exchange their Class A Ordinary Shares for cash, securities or other property.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MAA provide that preference shares may be issued from time to time in one or more series. Our board of directors are authorized to fix the voting rights, if any, designations, powers, preferences, the relative, participating, optional or other special rights and any qualifications, limitations and restrictions thereof, applicable to the shares of each series. Our board of directors are able to, without shareholder approval, issue preference shares with voting and other rights that could adversely affect the voting power and other rights of the holders of the Class A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outstanding at the date hereof, and do not expect to have any preference shares outstanding immediately following consummation of the Business Combination. Although we do not currently intend to issue any preference shares, we cannot assure you that we will not do so in the future. No preference shares were issued or registered in connection with the Business Combination.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2023 Amended &amp; Restated Registration Rights Agreement (“A&amp;R Registration Rights Agreement”)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March 20, 2023, in connection with and effective upon the consummation of the Business Combination, Zura, JATT Ventures, L.P. and certain other parties entered into the A&amp;R Registration Rights Agreement at the Closing, pursuant to which they agreed to register for resale certain Class A Ordinary Shares and other equity securities that are held by parties thereto from time to time. The A&amp;R Registration Rights Agreement includes customary demand and piggyback registration rights.</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With certain limited exceptions, certain of our Class A Ordinary Shares held by parties to the A&amp;R Registration Rights Agreement are not transferable, assignable or salable (except to permitted transferees, each of whom will be subject to the same transfer restrictions) until the earlier of</w:t>
      </w:r>
    </w:p>
    <w:p>
      <w:pPr>
        <w:spacing w:after="0" w:line="176" w:lineRule="exact"/>
        <w:rPr>
          <w:sz w:val="20"/>
          <w:szCs w:val="20"/>
          <w:color w:val="auto"/>
        </w:rPr>
      </w:pPr>
    </w:p>
    <w:p>
      <w:pPr>
        <w:ind w:right="20" w:firstLine="656"/>
        <w:spacing w:after="0" w:line="256" w:lineRule="auto"/>
        <w:tabs>
          <w:tab w:leader="none" w:pos="943"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months after the completion of the Business Combination or (B) subsequent to the Business Combination, (x) if the reported closing price of our Zura Class A Ordinary Shares equals or exceeds $12.00 per share (as adjusted for share sub-divisions, share dividends, reorganizations, recapitalizations and the like) for any 20 trading days within any 30-trading day period commencing at least 150 days after the Business Combination or (y) the date, following the completion of the Business Combination, on which we complete a liquidation, merger, share exchange, reorganization or other similar transaction that results in all of our shareholders having the right to exchange their Class A Ordinary Shares for cash, securities or other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2023 Private Placement</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Under the terms of the subscription agreements entered into with the investors (the “2023 Subscribers”) in the April 2023 Private Placement (the “2023 PIPE Subscription Agreements”), the Company agreed to prepare and file, within 45 days after the closing of the April 2023 Private Placement (the “2023 Filing Deadline”), one or more registration statements (each a “2023 PIPE Registration Statement”) with the SEC to register for resale the Class A Ordinary Shares (the “2023 PIPE Shares”) issued under the 2023 PIPE Subscription Agreements and the Class A Ordinary Shares issuable upon exercise of the pre-funded warrants (the “2023 Pre-Funded Warrants”) issued to purchase up to 3,782,000 Class A Ordinary Shares (the “2023 Warrant Shares”) issued pursuant to the 2023 PIPE Subscription Agreements, and to cause the applicable 2023 PIPE Registration Statement(s) to become effective within a specified period after the 2023 Filing Deadline. The Company also agreed to use its best efforts to keep such 2023 PIPE Registration Statement effective until the earlier of (i) the date all 2023 PIPE Shares and 2023 Warrant Shares held by or issuable to a 2023 Subscriber may be sold under Rule 144 (“Rule 144”) promulgated under the Securities Act without being subject to any volume or manner of sale requirements, (ii) the date on which all 2023 PIPE Shares and 2023 Warrant Shares have actually been sold pursuant to Rule 144 or pursuant to the 2023 PIPE Registration Statement and (iii) the date which is two years from the date that the initial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612140</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0" w:name="page141"/>
    <w:bookmarkEnd w:id="140"/>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PIPE Registration Statement is declared effective (or any Additional Effectiveness Date (as defined in the 2023 PIPE Subscription Agreements), if applicable). The Company filed the 2023 PIPE Registration Statement and it was declared effective by the SEC on September 14,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2024 Private Placement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Under the terms of the subscription agreements entered into with the investors (the “2024 Subscribers”) in the April 2024 Private Placement (the “2024 PIPE Subscription Agreements”), the Company agreed to prepare and file, within 45 days after the closing of the April 2024 Private Placement (the “2024 Filing Deadline”), one or more registration statements (each a “2024 PIPE Registration Statement”) with the SEC to register for resale the Class A Ordinary Shares (the “2024 PIPE Shares”) issued under the 2024 PIPE Subscription Agreements and the Class A Ordinary Shares issuable upon exercise of the pre-funded warrants (the “2024 Pre-Funded Warrants” and, together with the 2023 Pre-Funded Warrants, the “Pre- Funded Warrants”) issued to purchase up to 18,732,301 Class A Ordinary Shares (the “2024 Warrant Shares”) issued pursuant to the 2024 PIPE Subscription Agreements, and to cause the applicable 2024 PIPE Registration Statement(s) to become effective within a specified period after the 2024 Filing Deadline. The Company also agreed to use its best efforts to keep such 2024 PIPE Registration Statement effective until the earlier of (i) the date all 2024 PIPE Shares and 2024 Warrant Shares held by or issuable to a 2024 Subscriber may be sold under Rule 144 (“Rule 144”) promulgated under the Securities Act without being subject to any volume or manner of sale requirements, (ii) the date on which all 2024 PIPE Shares and 2024 Warrant Shares have actually been sold pursuant to Rule 144 or pursuant to the 2024 PIPE Registration Statement and (iii) the date which is two years from the date that the initial 2024 PIPE Registration Statement is declared effective (or any Additional Effectiveness Date (as defined in the 2024 PIPE Subscription Agreements), if applicable). The Company filed the 2024 PIPE Registration Statement on May 24, 2024, which was subsequently declared effective by the SEC on June 3,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ordinary shares to date and do not expect to pay cash dividends in the foreseeable future. The payment of cash dividends in the future will be dependent upon our ability to comply with relevant legal requirements as well as our revenues and earnings, if any, capital requirements and general financial condition. The payment of any dividends will be within the discretion of the Zura Board. It is the present intention of our board of directors to retain all earnings, if any, for use in our business operations and, accordingly, our board does not anticipate declaring any dividends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transfer agent for our Class A Ordinary Shares is Continental Stock Transfer &amp; Trust Company, 17 Battery Place, New York, New York 10004. We have agreed to indemnify Continental Stock Transfer &amp; Trust Company in its roles as transfer agent, its agents and each of its shareholders,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Our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Class A Ordinary Shares are listed on Nasdaq under the symbol “ZURA”.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 of Shareholders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MAA provide that the directors, the chief executive officer or the chairman of the board of directors may call general meetings, and they shall on a shareholders’ requisition forthwith proceed to convene an extraordinary general meeting of the Company. A shareholders’ requisition is a requisition of shareholders holding at the date of deposit of the requisition not less than 10% in par value of the issued shares which as at that date carry the right to vote at general meetings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Shareholder Proposals and Director Nominations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MAA provide that shareholders seeking to bring business before our annual general meeting, or to nominate candidates for election as directors at our annual general meeting, must provide timely notice of their intent in writing. To be timely, a shareholder’s notice will need to be delivered to our principal executive offices not less than 120 calendar days before the date of the proxy statement released to shareholders in connection with the previous year’s annual general meeting or, if we did not hold an annual general meeting in the previous year, or if the date of the current year’s annual general meeting has been changed by more than 30 days from the date of the previous year’s annual general meeting, then the deadline shall be set by our board of directors with such deadline being a reasonable time before we begin to print and send the related proxy materials. Our MAA also specify certain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1" w:name="page142"/>
    <w:bookmarkEnd w:id="141"/>
    <w:p>
      <w:pPr>
        <w:ind w:right="480"/>
        <w:spacing w:after="0" w:line="282" w:lineRule="auto"/>
        <w:rPr>
          <w:sz w:val="20"/>
          <w:szCs w:val="20"/>
          <w:color w:val="auto"/>
        </w:rPr>
      </w:pPr>
      <w:r>
        <w:rPr>
          <w:rFonts w:ascii="Times New Roman" w:cs="Times New Roman" w:eastAsia="Times New Roman" w:hAnsi="Times New Roman"/>
          <w:sz w:val="18"/>
          <w:szCs w:val="18"/>
          <w:color w:val="auto"/>
        </w:rPr>
        <w:t>requirements as to the form and content of a shareholders’ meeting. These provisions may preclude our shareholders from bringing matters before our annual general meeting or from making nominations for directors at our annual general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authorized but unissued Zura Class A Ordinary Shares and preference shares are available for future issuances without shareholder approval and could be utilized for a variety of corporate purposes, including future offerings to raise additional capital, acquisitions and employee benefit plans. The existence of authorized but unissued and unreserved Zura Class A Ordinary Shares and preference shares could render more difficult or discourage an attempt to obtain control of us by means of a proxy contest, tender offer, merger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ZURA BIO LIMITED INSIDER TRADING POLICY</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urpose</w:t>
      </w:r>
    </w:p>
    <w:p>
      <w:pPr>
        <w:spacing w:after="0" w:line="225"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color w:val="auto"/>
        </w:rPr>
        <w:t>This Insider Trading Policy (this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states the policy with respect to transactions in the securities of Zura Bio Limited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handling of confidential information about the Company and other companies with which the Company does business. The Company’s Board of Directors has adopted this Policy to promote compliance with federal and state securities laws that prohibit certain persons who are aware of material nonpublic information about a company from (i) trading in securities of that company or (ii) providing material nonpublic information to other persons who may trade on the basis of that information (“tipping”).</w:t>
      </w:r>
    </w:p>
    <w:p>
      <w:pPr>
        <w:spacing w:after="0" w:line="179" w:lineRule="exact"/>
        <w:rPr>
          <w:sz w:val="20"/>
          <w:szCs w:val="20"/>
          <w:color w:val="auto"/>
        </w:rPr>
      </w:pPr>
    </w:p>
    <w:p>
      <w:pPr>
        <w:ind w:left="660" w:hanging="652"/>
        <w:spacing w:after="0"/>
        <w:tabs>
          <w:tab w:leader="none" w:pos="6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ersons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Policy applies to all members of the Company’s Board of Directors (collectively,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means “officers” as defined in Rule 16a-1(f)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of the Company and its subsidiaries, as well as other persons as determined by the Company who have access to material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nonpublic information about the Company , such as contractors or consultants (collectively, the “</w:t>
      </w:r>
      <w:r>
        <w:rPr>
          <w:rFonts w:ascii="Times New Roman" w:cs="Times New Roman" w:eastAsia="Times New Roman" w:hAnsi="Times New Roman"/>
          <w:sz w:val="18"/>
          <w:szCs w:val="18"/>
          <w:b w:val="1"/>
          <w:bCs w:val="1"/>
          <w:color w:val="auto"/>
        </w:rPr>
        <w:t>Covered Persons</w:t>
      </w:r>
      <w:r>
        <w:rPr>
          <w:rFonts w:ascii="Times New Roman" w:cs="Times New Roman" w:eastAsia="Times New Roman" w:hAnsi="Times New Roman"/>
          <w:sz w:val="18"/>
          <w:szCs w:val="18"/>
          <w:color w:val="auto"/>
        </w:rPr>
        <w:t>” and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This Policy also applies to any Covered Person’s family members, other members of that person’s household,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entities whose transactions in securities are controlled by that person, as described below under “</w:t>
      </w:r>
      <w:r>
        <w:rPr>
          <w:rFonts w:ascii="Times New Roman" w:cs="Times New Roman" w:eastAsia="Times New Roman" w:hAnsi="Times New Roman"/>
          <w:sz w:val="18"/>
          <w:szCs w:val="18"/>
          <w:b w:val="1"/>
          <w:bCs w:val="1"/>
          <w:i w:val="1"/>
          <w:iCs w:val="1"/>
          <w:color w:val="auto"/>
        </w:rPr>
        <w:t>Transactions by Related Persons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Transactions by Entities That You Direct or Control.</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This policy applies to all transactions in the Company’s securities, as well as derivative securities that are not issued by the Company, such as exchange-traded put or call options or swaps relating to the Company’s securities. Accordingly, for purposes of this policy, the terms “</w:t>
      </w:r>
      <w:r>
        <w:rPr>
          <w:rFonts w:ascii="Times New Roman" w:cs="Times New Roman" w:eastAsia="Times New Roman" w:hAnsi="Times New Roman"/>
          <w:sz w:val="18"/>
          <w:szCs w:val="18"/>
          <w:b w:val="1"/>
          <w:bCs w:val="1"/>
          <w:i w:val="1"/>
          <w:iCs w:val="1"/>
          <w:color w:val="auto"/>
        </w:rPr>
        <w:t>trade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trading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include not only purchases and sales of the Company’s shares in the public market but also any other purchases, sales, transfers, gifts or other acquisitions and dispositions of ordinary shares, options, warrants and other securities (including debt securities) and other arrangements or transactions that affect economic exposure to changes in the prices of these securities. Transactions in mutual funds that are invested in Company Securities are not transactions subject to this Policy. This Policy similarly applies to transactions in or relating to the securities of other publicly traded companies, as described below under “</w:t>
      </w:r>
      <w:r>
        <w:rPr>
          <w:rFonts w:ascii="Times New Roman" w:cs="Times New Roman" w:eastAsia="Times New Roman" w:hAnsi="Times New Roman"/>
          <w:sz w:val="18"/>
          <w:szCs w:val="18"/>
          <w:b w:val="1"/>
          <w:bCs w:val="1"/>
          <w:i w:val="1"/>
          <w:iCs w:val="1"/>
          <w:color w:val="auto"/>
        </w:rPr>
        <w:t>Trading in Securities of Other Companies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IV.</w:t>
      </w:r>
      <w:r>
        <w:rPr>
          <w:sz w:val="20"/>
          <w:szCs w:val="20"/>
          <w:color w:val="auto"/>
        </w:rPr>
        <w:tab/>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ndividual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esponsibility</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Related Persons or Controlled Entity (each as defined below)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Administrator (as defined below) or any other officer,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under “</w:t>
      </w:r>
      <w:r>
        <w:rPr>
          <w:rFonts w:ascii="Times New Roman" w:cs="Times New Roman" w:eastAsia="Times New Roman" w:hAnsi="Times New Roman"/>
          <w:sz w:val="18"/>
          <w:szCs w:val="18"/>
          <w:b w:val="1"/>
          <w:bCs w:val="1"/>
          <w:i w:val="1"/>
          <w:iCs w:val="1"/>
          <w:color w:val="auto"/>
        </w:rPr>
        <w:t>Consequences of Violations.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660" w:hanging="652"/>
        <w:spacing w:after="0"/>
        <w:tabs>
          <w:tab w:leader="none" w:pos="66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5"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of this Policy is the Company’s General Counsel, or such other individual designated by the Company’s Board of Directors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3" w:name="page144"/>
    <w:bookmarkEnd w:id="143"/>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w:t>
      </w:r>
      <w:r>
        <w:rPr>
          <w:sz w:val="20"/>
          <w:szCs w:val="20"/>
          <w:color w:val="auto"/>
        </w:rPr>
        <w:tab/>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rincipal</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tatement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olicy</w:t>
      </w:r>
    </w:p>
    <w:p>
      <w:pPr>
        <w:spacing w:after="0" w:line="225" w:lineRule="exact"/>
        <w:rPr>
          <w:sz w:val="20"/>
          <w:szCs w:val="20"/>
          <w:color w:val="auto"/>
        </w:rPr>
      </w:pPr>
    </w:p>
    <w:p>
      <w:pPr>
        <w:jc w:val="both"/>
        <w:ind w:right="20" w:firstLine="656"/>
        <w:spacing w:after="0" w:line="268" w:lineRule="auto"/>
        <w:tabs>
          <w:tab w:leader="none" w:pos="129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in Company Securities and Disclosure of Nonpublic Information</w:t>
      </w:r>
      <w:r>
        <w:rPr>
          <w:rFonts w:ascii="Times New Roman" w:cs="Times New Roman" w:eastAsia="Times New Roman" w:hAnsi="Times New Roman"/>
          <w:sz w:val="18"/>
          <w:szCs w:val="18"/>
          <w:color w:val="auto"/>
        </w:rPr>
        <w:t>. No director, officer or other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(or any other person designated by this Policy or by the Administrator as subject to this Policy) who is aware of material nonpublic information relating to the Company may, directly or indirectly through family members or other persons or entities:</w:t>
      </w:r>
    </w:p>
    <w:p>
      <w:pPr>
        <w:spacing w:after="0" w:line="174"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944"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engage in any transactions in Company Securities, except as otherwise specified in this Policy under the heading “</w:t>
      </w:r>
      <w:r>
        <w:rPr>
          <w:rFonts w:ascii="Times New Roman" w:cs="Times New Roman" w:eastAsia="Times New Roman" w:hAnsi="Times New Roman"/>
          <w:sz w:val="18"/>
          <w:szCs w:val="18"/>
          <w:b w:val="1"/>
          <w:bCs w:val="1"/>
          <w:i w:val="1"/>
          <w:iCs w:val="1"/>
          <w:color w:val="auto"/>
        </w:rPr>
        <w:t>Limited Exceptions;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recommend the purchase or sale of any Company Securities;</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944"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to persons outside of the Company, including, but not limited to, family, friends, business associates, investors and consultants, except as required in the performance of regular corporate duties and only to the extent appropriate confidentiality protections are effective and the disclosure conforms to Company policies; or</w:t>
      </w:r>
    </w:p>
    <w:p>
      <w:pPr>
        <w:spacing w:after="0" w:line="179" w:lineRule="exact"/>
        <w:rPr>
          <w:rFonts w:ascii="Times New Roman" w:cs="Times New Roman" w:eastAsia="Times New Roman" w:hAnsi="Times New Roman"/>
          <w:sz w:val="18"/>
          <w:szCs w:val="18"/>
          <w:b w:val="1"/>
          <w:bCs w:val="1"/>
          <w:color w:val="auto"/>
        </w:rPr>
      </w:pPr>
    </w:p>
    <w:p>
      <w:pPr>
        <w:ind w:left="1960" w:hanging="656"/>
        <w:spacing w:after="0"/>
        <w:tabs>
          <w:tab w:leader="none" w:pos="1960"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assist anyone engaged in the above activities.</w:t>
      </w:r>
    </w:p>
    <w:p>
      <w:pPr>
        <w:spacing w:after="0" w:line="221" w:lineRule="exact"/>
        <w:rPr>
          <w:rFonts w:ascii="Times New Roman" w:cs="Times New Roman" w:eastAsia="Times New Roman" w:hAnsi="Times New Roman"/>
          <w:sz w:val="18"/>
          <w:szCs w:val="18"/>
          <w:b w:val="1"/>
          <w:bCs w:val="1"/>
          <w:color w:val="auto"/>
        </w:rPr>
      </w:pPr>
    </w:p>
    <w:p>
      <w:pPr>
        <w:jc w:val="both"/>
        <w:ind w:firstLine="656"/>
        <w:spacing w:after="0" w:line="262" w:lineRule="auto"/>
        <w:tabs>
          <w:tab w:leader="none" w:pos="129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Trading in Securities of Other Companies</w:t>
      </w:r>
      <w:r>
        <w:rPr>
          <w:rFonts w:ascii="Times New Roman" w:cs="Times New Roman" w:eastAsia="Times New Roman" w:hAnsi="Times New Roman"/>
          <w:sz w:val="18"/>
          <w:szCs w:val="18"/>
          <w:color w:val="auto"/>
        </w:rPr>
        <w:t>. No director, officer or other employee of the Company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designated by this Policy or by the Administrator as subject to this Policy) who, in the course of your relationship with the Company, learns of </w:t>
      </w:r>
      <w:r>
        <w:rPr>
          <w:rFonts w:ascii="Times New Roman" w:cs="Times New Roman" w:eastAsia="Times New Roman" w:hAnsi="Times New Roman"/>
          <w:sz w:val="18"/>
          <w:szCs w:val="18"/>
          <w:b w:val="1"/>
          <w:bCs w:val="1"/>
          <w:u w:val="single" w:color="auto"/>
          <w:color w:val="auto"/>
        </w:rPr>
        <w:t>material nonpublic information</w:t>
      </w:r>
      <w:r>
        <w:rPr>
          <w:rFonts w:ascii="Times New Roman" w:cs="Times New Roman" w:eastAsia="Times New Roman" w:hAnsi="Times New Roman"/>
          <w:sz w:val="18"/>
          <w:szCs w:val="18"/>
          <w:color w:val="auto"/>
        </w:rPr>
        <w:t xml:space="preserve"> about a publicly traded company with which the Company does or intends to do business, including a customer, supplier, service provider or collaborator of the Company, may trade in that company’s securities.</w:t>
      </w:r>
    </w:p>
    <w:p>
      <w:pPr>
        <w:spacing w:after="0" w:line="176" w:lineRule="exact"/>
        <w:rPr>
          <w:rFonts w:ascii="Times New Roman" w:cs="Times New Roman" w:eastAsia="Times New Roman" w:hAnsi="Times New Roman"/>
          <w:sz w:val="18"/>
          <w:szCs w:val="18"/>
          <w:b w:val="1"/>
          <w:bCs w:val="1"/>
          <w:color w:val="auto"/>
        </w:rPr>
      </w:pPr>
    </w:p>
    <w:p>
      <w:pPr>
        <w:jc w:val="both"/>
        <w:ind w:firstLine="656"/>
        <w:spacing w:after="0" w:line="259" w:lineRule="auto"/>
        <w:tabs>
          <w:tab w:leader="none" w:pos="1296"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Exceptions</w:t>
      </w:r>
      <w:r>
        <w:rPr>
          <w:rFonts w:ascii="Times New Roman" w:cs="Times New Roman" w:eastAsia="Times New Roman" w:hAnsi="Times New Roman"/>
          <w:sz w:val="18"/>
          <w:szCs w:val="18"/>
          <w:color w:val="auto"/>
        </w:rPr>
        <w:t>. There are no exceptions to this Policy, except as specifically noted herein. Transactions that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or justifiable for independent reasons (such as the need to raise money for an emergency expenditure), or small transactions, are not excluded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w:t>
      </w:r>
      <w:r>
        <w:rPr>
          <w:sz w:val="20"/>
          <w:szCs w:val="20"/>
          <w:color w:val="auto"/>
        </w:rPr>
        <w:tab/>
      </w: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 of</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aterial</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onpublic</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nformation</w:t>
      </w:r>
    </w:p>
    <w:p>
      <w:pPr>
        <w:spacing w:after="0" w:line="225" w:lineRule="exact"/>
        <w:rPr>
          <w:sz w:val="20"/>
          <w:szCs w:val="20"/>
          <w:color w:val="auto"/>
        </w:rPr>
      </w:pPr>
    </w:p>
    <w:p>
      <w:pPr>
        <w:jc w:val="both"/>
        <w:ind w:firstLine="656"/>
        <w:spacing w:after="0" w:line="268" w:lineRule="auto"/>
        <w:tabs>
          <w:tab w:leader="none" w:pos="1296"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Information</w:t>
      </w:r>
      <w:r>
        <w:rPr>
          <w:rFonts w:ascii="Times New Roman" w:cs="Times New Roman" w:eastAsia="Times New Roman" w:hAnsi="Times New Roman"/>
          <w:sz w:val="18"/>
          <w:szCs w:val="18"/>
          <w:color w:val="auto"/>
        </w:rPr>
        <w:t>. Information is considered “material” if it would influence a reasonable investor to buy, hold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 securities. There is no bright-line standard for assessing materiality; rather, materiality is based on an assessment of all of the facts and circumstances, and is often evaluated by enforcement authorities with the benefit of hindsight.</w:t>
      </w:r>
    </w:p>
    <w:p>
      <w:pPr>
        <w:spacing w:after="0" w:line="175"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While it is not possible to define all categories of material information, some examples of information that ordinarily would be regarded as material are:</w:t>
      </w:r>
    </w:p>
    <w:p>
      <w:pPr>
        <w:spacing w:after="0" w:line="162" w:lineRule="exact"/>
        <w:rPr>
          <w:sz w:val="20"/>
          <w:szCs w:val="20"/>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or financial results or projections, including earnings guidance;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analyst upgrades or downgrades of the Company or one of its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transactions, such as mergers, acquisitions or restructurings;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share repurchase or recapitalization matters;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or equity financing matters;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results or trial data;</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Board of Directors or senior management;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disagreements with auditors;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the existence of severe liquidity problems;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proceedings and investigations;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ban on trading in Company Securities or other securities;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4" w:name="page145"/>
    <w:bookmarkEnd w:id="144"/>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other proprietary information; and</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corporate developments, including with respect to research and development activities.</w:t>
      </w:r>
    </w:p>
    <w:p>
      <w:pPr>
        <w:spacing w:after="0" w:line="203" w:lineRule="exact"/>
        <w:rPr>
          <w:sz w:val="20"/>
          <w:szCs w:val="20"/>
          <w:color w:val="auto"/>
        </w:rPr>
      </w:pPr>
    </w:p>
    <w:p>
      <w:pPr>
        <w:jc w:val="both"/>
        <w:ind w:firstLine="656"/>
        <w:spacing w:after="0" w:line="268" w:lineRule="auto"/>
        <w:tabs>
          <w:tab w:leader="none" w:pos="1296"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Nonpublic Information</w:t>
      </w:r>
      <w:r>
        <w:rPr>
          <w:rFonts w:ascii="Times New Roman" w:cs="Times New Roman" w:eastAsia="Times New Roman" w:hAnsi="Times New Roman"/>
          <w:sz w:val="18"/>
          <w:szCs w:val="18"/>
          <w:color w:val="auto"/>
        </w:rPr>
        <w:t>. Information is considered “nonpublic” if that information has not been broadly disclosed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marketplace, such as by press release or a filing with the U.S.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and/or the investing public has not had time to fully absorb that information. Nonpublic information may include:</w:t>
      </w:r>
    </w:p>
    <w:p>
      <w:pPr>
        <w:spacing w:after="0" w:line="175" w:lineRule="exact"/>
        <w:rPr>
          <w:sz w:val="20"/>
          <w:szCs w:val="20"/>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to a select group of persons subject to confidentiality obligations to the Company;</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undisclosed facts that are the subject of rumors, even if the rumors are widely circulated;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has been entrusted to the Company on a confidential basis.</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general rule, information should not be considered fully absorbed by the investing public until the second business day after the day on which the information is released. If, for example, the Company makes an announcement at 9 am ET on Monday, a person subject to this Policy should not trade in Company Securities until the market opens on Wednesday. If such an announcement were made at 6 pm ET on Monday, the person subject to this Policy should not trade in Company Securities until the market opens on Thursday. Depending on the particular circumstances, the Company may determine that a longer or shorter period should apply.</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VIII.</w:t>
        <w:tab/>
        <w:t>T</w:t>
      </w:r>
      <w:r>
        <w:rPr>
          <w:rFonts w:ascii="Times New Roman" w:cs="Times New Roman" w:eastAsia="Times New Roman" w:hAnsi="Times New Roman"/>
          <w:sz w:val="12"/>
          <w:szCs w:val="12"/>
          <w:b w:val="1"/>
          <w:bCs w:val="1"/>
          <w:color w:val="auto"/>
        </w:rPr>
        <w:t>ransactions by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ersons and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This Policy applies to your family members who reside with you, anyone else who lives in your household and any family members who do not live in your household but whose transactions in Company Securities are directed by you or are subject to your direct or control, such as parents or children who consult with you before they trade in Company Securities (collectively, “</w:t>
      </w:r>
      <w:r>
        <w:rPr>
          <w:rFonts w:ascii="Times New Roman" w:cs="Times New Roman" w:eastAsia="Times New Roman" w:hAnsi="Times New Roman"/>
          <w:sz w:val="18"/>
          <w:szCs w:val="18"/>
          <w:b w:val="1"/>
          <w:bCs w:val="1"/>
          <w:color w:val="auto"/>
        </w:rPr>
        <w:t>Related Persons</w:t>
      </w:r>
      <w:r>
        <w:rPr>
          <w:rFonts w:ascii="Times New Roman" w:cs="Times New Roman" w:eastAsia="Times New Roman" w:hAnsi="Times New Roman"/>
          <w:sz w:val="18"/>
          <w:szCs w:val="18"/>
          <w:color w:val="auto"/>
        </w:rPr>
        <w:t>”). You are responsible for the transactions of your Related Persons and therefore should make them aware of the need to confer with you before they trade in Company Securities, and you should treat all such transactions for the purposes of this Policy and applicable securities laws as if the transactions were for your own account.</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IX.</w:t>
      </w:r>
      <w:r>
        <w:rPr>
          <w:sz w:val="20"/>
          <w:szCs w:val="20"/>
          <w:color w:val="auto"/>
        </w:rPr>
        <w:tab/>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ransactions by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ntities</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hat</w:t>
      </w:r>
      <w:r>
        <w:rPr>
          <w:rFonts w:ascii="Times New Roman" w:cs="Times New Roman" w:eastAsia="Times New Roman" w:hAnsi="Times New Roman"/>
          <w:sz w:val="18"/>
          <w:szCs w:val="18"/>
          <w:b w:val="1"/>
          <w:bCs w:val="1"/>
          <w:color w:val="auto"/>
        </w:rPr>
        <w:t xml:space="preserve"> Y</w:t>
      </w:r>
      <w:r>
        <w:rPr>
          <w:rFonts w:ascii="Times New Roman" w:cs="Times New Roman" w:eastAsia="Times New Roman" w:hAnsi="Times New Roman"/>
          <w:sz w:val="12"/>
          <w:szCs w:val="12"/>
          <w:b w:val="1"/>
          <w:bCs w:val="1"/>
          <w:color w:val="auto"/>
        </w:rPr>
        <w:t>ou</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 or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ontrol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Policy applies to any entities that you direct or control, including any corporations, partnerships or trusts (collectively,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Entities</w:t>
      </w:r>
      <w:r>
        <w:rPr>
          <w:rFonts w:ascii="Times New Roman" w:cs="Times New Roman" w:eastAsia="Times New Roman" w:hAnsi="Times New Roman"/>
          <w:sz w:val="18"/>
          <w:szCs w:val="18"/>
          <w:color w:val="auto"/>
        </w:rPr>
        <w:t>”), and transactions by these Controlled Entities should be treated for the purposes of this Policy and applicable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laws as if they were for your own account.</w:t>
      </w:r>
    </w:p>
    <w:p>
      <w:pPr>
        <w:spacing w:after="0" w:line="203"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2"/>
          <w:szCs w:val="12"/>
          <w:b w:val="1"/>
          <w:bCs w:val="1"/>
          <w:color w:val="auto"/>
        </w:rPr>
        <w:t>imited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xceptions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This Policy does not apply in the case of the following transactions (although these transactions may nevertheless be subject to the requirements of Section 16 of the Exchange Act, applicable to directors and executive officers):</w:t>
      </w:r>
    </w:p>
    <w:p>
      <w:pPr>
        <w:spacing w:after="0" w:line="158" w:lineRule="exact"/>
        <w:rPr>
          <w:sz w:val="20"/>
          <w:szCs w:val="20"/>
          <w:color w:val="auto"/>
        </w:rPr>
      </w:pPr>
    </w:p>
    <w:p>
      <w:pPr>
        <w:jc w:val="both"/>
        <w:ind w:firstLine="656"/>
        <w:spacing w:after="0" w:line="255" w:lineRule="auto"/>
        <w:tabs>
          <w:tab w:leader="none" w:pos="129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Exercises</w:t>
      </w:r>
      <w:r>
        <w:rPr>
          <w:rFonts w:ascii="Times New Roman" w:cs="Times New Roman" w:eastAsia="Times New Roman" w:hAnsi="Times New Roman"/>
          <w:sz w:val="18"/>
          <w:szCs w:val="18"/>
          <w:color w:val="auto"/>
        </w:rPr>
        <w:t>. This Policy does not apply generally to the exercise of an option, including a cashless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solely through the Company or the exercise of a tax withholding right through the Company to satisfy tax withholding requirements. However, this Policy does apply to any sale of shares received upon exercise of an option, including any deemed sale caused by an election to make a cashless exercise through a broker, or any other market sale for the purpose of generating the cash necessary to pay the option exercise price and changes to the instructions regarding the level of withholding contributions that are used to purchase shares. This Policy also applies to an employee’s initial election to participate in the Company’s Employee Stock Purchase Plan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changes to an employee’s election to participate in the ESPP for any enrollment period and to the subsequent sale of shares acquired pursuant to the ESPP.</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68" w:lineRule="auto"/>
        <w:tabs>
          <w:tab w:leader="none" w:pos="1296"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Sell-to-Cover Transactions. </w:t>
      </w:r>
      <w:r>
        <w:rPr>
          <w:rFonts w:ascii="Times New Roman" w:cs="Times New Roman" w:eastAsia="Times New Roman" w:hAnsi="Times New Roman"/>
          <w:sz w:val="18"/>
          <w:szCs w:val="18"/>
          <w:color w:val="auto"/>
        </w:rPr>
        <w:t>This policy does not apply to the sale of shares for the limited purpose of covering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(and any associated broker or other fees) (a “</w:t>
      </w:r>
      <w:r>
        <w:rPr>
          <w:rFonts w:ascii="Times New Roman" w:cs="Times New Roman" w:eastAsia="Times New Roman" w:hAnsi="Times New Roman"/>
          <w:sz w:val="18"/>
          <w:szCs w:val="18"/>
          <w:b w:val="1"/>
          <w:bCs w:val="1"/>
          <w:i w:val="1"/>
          <w:iCs w:val="1"/>
          <w:color w:val="auto"/>
        </w:rPr>
        <w:t>sell-to-cover transaction</w:t>
      </w:r>
      <w:r>
        <w:rPr>
          <w:rFonts w:ascii="Times New Roman" w:cs="Times New Roman" w:eastAsia="Times New Roman" w:hAnsi="Times New Roman"/>
          <w:sz w:val="18"/>
          <w:szCs w:val="18"/>
          <w:color w:val="auto"/>
        </w:rPr>
        <w:t>”), provided that, (i) if required by the Company, prior to such sale, you irrevocably elect to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5" w:name="page146"/>
    <w:bookmarkEnd w:id="145"/>
    <w:p>
      <w:pPr>
        <w:spacing w:after="0" w:line="282" w:lineRule="auto"/>
        <w:rPr>
          <w:sz w:val="20"/>
          <w:szCs w:val="20"/>
          <w:color w:val="auto"/>
        </w:rPr>
      </w:pPr>
      <w:r>
        <w:rPr>
          <w:rFonts w:ascii="Times New Roman" w:cs="Times New Roman" w:eastAsia="Times New Roman" w:hAnsi="Times New Roman"/>
          <w:sz w:val="18"/>
          <w:szCs w:val="18"/>
          <w:color w:val="auto"/>
        </w:rPr>
        <w:t>such shares to cover tax withholding obligations in a manner approved by the Company or (ii) such sell-to-cover transaction is effected pursuant to a sell-to-cover program mandated by the Company.</w:t>
      </w:r>
    </w:p>
    <w:p>
      <w:pPr>
        <w:spacing w:after="0" w:line="158" w:lineRule="exact"/>
        <w:rPr>
          <w:sz w:val="20"/>
          <w:szCs w:val="20"/>
          <w:color w:val="auto"/>
        </w:rPr>
      </w:pPr>
    </w:p>
    <w:p>
      <w:pPr>
        <w:ind w:right="20" w:firstLine="656"/>
        <w:spacing w:after="0" w:line="286" w:lineRule="auto"/>
        <w:tabs>
          <w:tab w:leader="none" w:pos="1296"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Sales in a Registered Public Offering. </w:t>
      </w:r>
      <w:r>
        <w:rPr>
          <w:rFonts w:ascii="Times New Roman" w:cs="Times New Roman" w:eastAsia="Times New Roman" w:hAnsi="Times New Roman"/>
          <w:sz w:val="18"/>
          <w:szCs w:val="18"/>
          <w:color w:val="auto"/>
        </w:rPr>
        <w:t>This policy does not apply to sales of the Company’s securities as a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in a registered public offering in accordance with applicable securities laws.</w:t>
      </w:r>
    </w:p>
    <w:p>
      <w:pPr>
        <w:spacing w:after="0" w:line="154"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1296"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10b5-1 Plans</w:t>
      </w:r>
      <w:r>
        <w:rPr>
          <w:rFonts w:ascii="Times New Roman" w:cs="Times New Roman" w:eastAsia="Times New Roman" w:hAnsi="Times New Roman"/>
          <w:sz w:val="18"/>
          <w:szCs w:val="18"/>
          <w:color w:val="auto"/>
        </w:rPr>
        <w:t>. Rule 10b5-1 under the Exchange Act provides a defense from insider trading liability under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10b-5. In order to be eligible to rely 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18"/>
          <w:szCs w:val="18"/>
          <w:b w:val="1"/>
          <w:bCs w:val="1"/>
          <w:i w:val="1"/>
          <w:iCs w:val="1"/>
          <w:color w:val="auto"/>
        </w:rPr>
        <w:t>Rule 10b5-1 Plan</w:t>
      </w:r>
      <w:r>
        <w:rPr>
          <w:rFonts w:ascii="Times New Roman" w:cs="Times New Roman" w:eastAsia="Times New Roman" w:hAnsi="Times New Roman"/>
          <w:sz w:val="18"/>
          <w:szCs w:val="18"/>
          <w:color w:val="auto"/>
        </w:rPr>
        <w:t>”). If the plan meets the requirements of Rule 10b5-1, Company Securities may be purchased or sold without regard to certain insider trading restrictions. To comply with this Policy, a Rule 10b5-1 Plan must be approved by the Administrator and meet the requirements of Rule 10b5-1 and the Company’s “</w:t>
      </w:r>
      <w:r>
        <w:rPr>
          <w:rFonts w:ascii="Times New Roman" w:cs="Times New Roman" w:eastAsia="Times New Roman" w:hAnsi="Times New Roman"/>
          <w:sz w:val="18"/>
          <w:szCs w:val="18"/>
          <w:i w:val="1"/>
          <w:iCs w:val="1"/>
          <w:color w:val="auto"/>
        </w:rPr>
        <w:t>Guidelines for Rule 10b5-1 Plans.</w:t>
      </w:r>
      <w:r>
        <w:rPr>
          <w:rFonts w:ascii="Times New Roman" w:cs="Times New Roman" w:eastAsia="Times New Roman" w:hAnsi="Times New Roman"/>
          <w:sz w:val="18"/>
          <w:szCs w:val="18"/>
          <w:color w:val="auto"/>
        </w:rPr>
        <w:t>” In general, to ensure that a Rule 10b5-1 Plan is entered into at a time when the person entering into the plan is not aware of material nonpublic information, it must be entered into during an Open Trading Window (as defined below). Any Rule 10b5-1 Plan must be submitted for approval at least five business days prior to the entry into the Rule 10b5-1 Plan.</w:t>
      </w:r>
    </w:p>
    <w:p>
      <w:pPr>
        <w:spacing w:after="0" w:line="184"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296"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401(k) Plan. </w:t>
      </w:r>
      <w:r>
        <w:rPr>
          <w:rFonts w:ascii="Times New Roman" w:cs="Times New Roman" w:eastAsia="Times New Roman" w:hAnsi="Times New Roman"/>
          <w:sz w:val="18"/>
          <w:szCs w:val="18"/>
          <w:color w:val="auto"/>
        </w:rPr>
        <w:t>This Policy does not apply to purchases of Company Securities in the Company’s 401(k) plan resulting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your periodic contribution of money to the plan pursuant to your payroll deduction election. This Policy does apply, however, to certain elections you may make under the 401(k) plan, including: (i) an election to increase or decrease the percentage of your periodic contributions that will be allocated to any Company fund; (ii) an election to make an intra-plan transfer of an existing account balance into or out of any Company fund; (iii) an election to borrow money against your 401(k) plan account if the loan will result in a liquidation of some or all of any Company fund balance; and (iv) an election to pre-pay a plan loan if the pre-payment will result in allocation of loan proceeds to any Company fund.</w:t>
      </w:r>
    </w:p>
    <w:p>
      <w:pPr>
        <w:spacing w:after="0" w:line="1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w:t>
      </w:r>
      <w:r>
        <w:rPr>
          <w:sz w:val="20"/>
          <w:szCs w:val="20"/>
          <w:color w:val="auto"/>
        </w:rPr>
        <w:tab/>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pecial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rohibited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Therefore, it is the Company’s policy that any persons covered by this Policy may not engage in any of the following transactions, or should otherwise consider the Company’s preferences as described below:</w:t>
      </w:r>
    </w:p>
    <w:p>
      <w:pPr>
        <w:spacing w:after="0" w:line="176" w:lineRule="exact"/>
        <w:rPr>
          <w:sz w:val="20"/>
          <w:szCs w:val="20"/>
          <w:color w:val="auto"/>
        </w:rPr>
      </w:pPr>
    </w:p>
    <w:p>
      <w:pPr>
        <w:jc w:val="both"/>
        <w:ind w:firstLine="656"/>
        <w:spacing w:after="0" w:line="268" w:lineRule="auto"/>
        <w:tabs>
          <w:tab w:leader="none" w:pos="1296"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Inherently Speculative Transactions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 Covered Person may engage in short sales, transactions in put options, call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options or other derivative securities on an exchange or in any other organized market, or in any other inherently speculative transactions with respect to the Company’s shares.</w:t>
      </w:r>
    </w:p>
    <w:p>
      <w:pPr>
        <w:spacing w:after="0" w:line="170"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296"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Hedging Transactions. </w:t>
      </w:r>
      <w:r>
        <w:rPr>
          <w:rFonts w:ascii="Times New Roman" w:cs="Times New Roman" w:eastAsia="Times New Roman" w:hAnsi="Times New Roman"/>
          <w:sz w:val="18"/>
          <w:szCs w:val="18"/>
          <w:color w:val="auto"/>
        </w:rPr>
        <w:t>Hedging or monetization transactions can be accomplished through a number of possible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mechanisms, including through the use of financial instruments such as prepaid variable forwards, equity swaps, collars and exchange funds. Such hedging transactions may permit a Covered Person to continue to own the Company’s securities obtained through employee benefit plans or otherwise, but without the full risks and rewards of ownership. When that occurs, the Covered Person may no longer have the same objectives as the Company’s other shareholders. Therefore, Covered Persons are prohibited from engaging in any such transactions.</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1296"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Margin Accounts and Pledged Securities</w:t>
      </w:r>
      <w:r>
        <w:rPr>
          <w:rFonts w:ascii="Times New Roman" w:cs="Times New Roman" w:eastAsia="Times New Roman" w:hAnsi="Times New Roman"/>
          <w:sz w:val="18"/>
          <w:szCs w:val="18"/>
          <w:color w:val="auto"/>
        </w:rPr>
        <w:t>. Securities held in a margin account as collateral for a margin loan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prohibited from holding the Company’s securities in a margin account or otherwise pledging the Company’s securities as collateral for a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6" w:name="page147"/>
    <w:bookmarkEnd w:id="146"/>
    <w:p>
      <w:pPr>
        <w:jc w:val="both"/>
        <w:ind w:firstLine="656"/>
        <w:spacing w:after="0" w:line="255" w:lineRule="auto"/>
        <w:tabs>
          <w:tab w:leader="none" w:pos="1296"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Standing and Limit Orders</w:t>
      </w:r>
      <w:r>
        <w:rPr>
          <w:rFonts w:ascii="Times New Roman" w:cs="Times New Roman" w:eastAsia="Times New Roman" w:hAnsi="Times New Roman"/>
          <w:sz w:val="18"/>
          <w:szCs w:val="18"/>
          <w:color w:val="auto"/>
        </w:rPr>
        <w:t>. Standing and limit orders (except standing and limit orders under approved Rule 10b5-1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Covered Person determines that they must use a standing order or limit order (other than under an approved Rule 10b5-1 Plan, as discussed above), the order should be limited to short duration and the person using such standing order or limit order is required to cancel such instructions immediately in the event restrictions are imposed on their ability to trade pursuant to the “Quarterly Trading Restrictions” and “</w:t>
      </w:r>
      <w:r>
        <w:rPr>
          <w:rFonts w:ascii="Times New Roman" w:cs="Times New Roman" w:eastAsia="Times New Roman" w:hAnsi="Times New Roman"/>
          <w:sz w:val="18"/>
          <w:szCs w:val="18"/>
          <w:b w:val="1"/>
          <w:bCs w:val="1"/>
          <w:i w:val="1"/>
          <w:iCs w:val="1"/>
          <w:color w:val="auto"/>
        </w:rPr>
        <w:t>Event-Specific Trading Restriction Periods</w:t>
      </w:r>
      <w:r>
        <w:rPr>
          <w:rFonts w:ascii="Times New Roman" w:cs="Times New Roman" w:eastAsia="Times New Roman" w:hAnsi="Times New Roman"/>
          <w:sz w:val="18"/>
          <w:szCs w:val="18"/>
          <w:color w:val="auto"/>
        </w:rPr>
        <w:t>” provisions below.</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w:t>
      </w:r>
      <w:r>
        <w:rPr>
          <w:sz w:val="20"/>
          <w:szCs w:val="20"/>
          <w:color w:val="auto"/>
        </w:rPr>
        <w:tab/>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rocedures</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72" w:lineRule="exact"/>
        <w:rPr>
          <w:sz w:val="20"/>
          <w:szCs w:val="20"/>
          <w:color w:val="auto"/>
        </w:rPr>
      </w:pPr>
    </w:p>
    <w:p>
      <w:pPr>
        <w:jc w:val="both"/>
        <w:ind w:firstLine="656"/>
        <w:spacing w:after="0" w:line="254" w:lineRule="auto"/>
        <w:tabs>
          <w:tab w:leader="none" w:pos="1296"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Pre-Clearance Procedures</w:t>
      </w:r>
      <w:r>
        <w:rPr>
          <w:rFonts w:ascii="Times New Roman" w:cs="Times New Roman" w:eastAsia="Times New Roman" w:hAnsi="Times New Roman"/>
          <w:sz w:val="18"/>
          <w:szCs w:val="18"/>
          <w:color w:val="auto"/>
        </w:rPr>
        <w:t>. No director, officer or designated employees or other persons of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or the Related Persons and Controlled Entities of such persons (“</w:t>
      </w:r>
      <w:r>
        <w:rPr>
          <w:rFonts w:ascii="Times New Roman" w:cs="Times New Roman" w:eastAsia="Times New Roman" w:hAnsi="Times New Roman"/>
          <w:sz w:val="18"/>
          <w:szCs w:val="18"/>
          <w:b w:val="1"/>
          <w:bCs w:val="1"/>
          <w:i w:val="1"/>
          <w:iCs w:val="1"/>
          <w:color w:val="auto"/>
        </w:rPr>
        <w:t>Restricted Persons</w:t>
      </w:r>
      <w:r>
        <w:rPr>
          <w:rFonts w:ascii="Times New Roman" w:cs="Times New Roman" w:eastAsia="Times New Roman" w:hAnsi="Times New Roman"/>
          <w:sz w:val="18"/>
          <w:szCs w:val="18"/>
          <w:color w:val="auto"/>
        </w:rPr>
        <w:t xml:space="preserve">”), may engage in </w:t>
      </w:r>
      <w:r>
        <w:rPr>
          <w:rFonts w:ascii="Times New Roman" w:cs="Times New Roman" w:eastAsia="Times New Roman" w:hAnsi="Times New Roman"/>
          <w:sz w:val="18"/>
          <w:szCs w:val="18"/>
          <w:b w:val="1"/>
          <w:bCs w:val="1"/>
          <w:u w:val="single" w:color="auto"/>
          <w:color w:val="auto"/>
        </w:rPr>
        <w:t>any transaction</w:t>
      </w:r>
      <w:r>
        <w:rPr>
          <w:rFonts w:ascii="Times New Roman" w:cs="Times New Roman" w:eastAsia="Times New Roman" w:hAnsi="Times New Roman"/>
          <w:sz w:val="18"/>
          <w:szCs w:val="18"/>
          <w:color w:val="auto"/>
        </w:rPr>
        <w:t xml:space="preserve"> in Company Securities without first obtaining pre-clearance of the transaction from the Administrator. The list of Restricted Persons is updated periodically by the Administrator. You will be notified by the Administrator if you are considered a Restricted Person for purposes of this Policy. Restricted Persons should submit </w:t>
      </w:r>
      <w:r>
        <w:rPr>
          <w:rFonts w:ascii="Times New Roman" w:cs="Times New Roman" w:eastAsia="Times New Roman" w:hAnsi="Times New Roman"/>
          <w:sz w:val="18"/>
          <w:szCs w:val="18"/>
          <w:b w:val="1"/>
          <w:bCs w:val="1"/>
          <w:u w:val="single" w:color="auto"/>
          <w:color w:val="auto"/>
        </w:rPr>
        <w:t>a request for pre-clearance to the Administrator at least two business days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advance of the proposed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Administrator is under no obligation to approve a transaction submitted for pre-clearance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may determine not to permit the transaction. If a Restricted Person seeks pre- clearance and permission to engage in the transaction is denied, then he or she should refrain from initiating any transaction in Company Securities and should not inform any other person of the restriction.</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any material nonpublic information about the Company and should describe fully those circumstances to the Administrator. The requestor should also indicate whether he or she has effected any non-exempt “opposite-way” transactions (e.g., an open market sale would be “opposite” any open market purchase, and vice versa) within the past six months, and should be prepared to report the proposed transaction on an appropriate Form 4 or Form 5. The requestor should also be prepared to comply with SEC Rule 144 and file Form 144, if necessary, at the time of any sale.</w:t>
      </w:r>
    </w:p>
    <w:p>
      <w:pPr>
        <w:spacing w:after="0" w:line="18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 request for pre-clearance must be made in writing, preferably by submission of a completed Request for Pre-Clearance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Policy. Pre-cleared transactions should be effected promptly, but by no later than two business days from the date of the Request for Pre-Clearance. Requestors are required to refresh the request for pre-clearance if a pre-cleared transaction is not effected within the prescribed two business days.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Furthermore, requestors must immediately notify the Administrator following the execution of any transaction</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56"/>
        <w:spacing w:after="0" w:line="259" w:lineRule="auto"/>
        <w:tabs>
          <w:tab w:leader="none" w:pos="1296"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Trading Restrictions</w:t>
      </w:r>
      <w:r>
        <w:rPr>
          <w:rFonts w:ascii="Times New Roman" w:cs="Times New Roman" w:eastAsia="Times New Roman" w:hAnsi="Times New Roman"/>
          <w:sz w:val="18"/>
          <w:szCs w:val="18"/>
          <w:color w:val="auto"/>
        </w:rPr>
        <w:t>. Restricted Persons may not conduct any transactions involving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(other than as specified by this Policy) except during an Open Trading Window. An “</w:t>
      </w:r>
      <w:r>
        <w:rPr>
          <w:rFonts w:ascii="Times New Roman" w:cs="Times New Roman" w:eastAsia="Times New Roman" w:hAnsi="Times New Roman"/>
          <w:sz w:val="18"/>
          <w:szCs w:val="18"/>
          <w:b w:val="1"/>
          <w:bCs w:val="1"/>
          <w:i w:val="1"/>
          <w:iCs w:val="1"/>
          <w:color w:val="auto"/>
        </w:rPr>
        <w:t>Open Trading Window</w:t>
      </w:r>
      <w:r>
        <w:rPr>
          <w:rFonts w:ascii="Times New Roman" w:cs="Times New Roman" w:eastAsia="Times New Roman" w:hAnsi="Times New Roman"/>
          <w:sz w:val="18"/>
          <w:szCs w:val="18"/>
          <w:color w:val="auto"/>
        </w:rPr>
        <w:t>” generally begins after two full trading days have elapsed since the public dissemination of the Company’s quarterly (or annual) earnings and ends 15 calendar days prior to the end of the then current quarter. The Administrator will notify Restricted Persons of the opening and closing of the trading window.</w:t>
      </w:r>
    </w:p>
    <w:p>
      <w:pPr>
        <w:spacing w:after="0" w:line="179"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1296"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Event-Specific Trading Restriction Periods</w:t>
      </w:r>
      <w:r>
        <w:rPr>
          <w:rFonts w:ascii="Times New Roman" w:cs="Times New Roman" w:eastAsia="Times New Roman" w:hAnsi="Times New Roman"/>
          <w:sz w:val="18"/>
          <w:szCs w:val="18"/>
          <w:color w:val="auto"/>
        </w:rPr>
        <w:t>. From time to time, an event may occur that is material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 known by only a few individuals. So long as the event remains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47" w:name="page148"/>
    <w:bookmarkEnd w:id="147"/>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and nonpublic, the persons designated by the Administrator may not trade Company Securities. In addition, material developments impacting the Company may occur in a particular fiscal quarter that, in the judgment of the Administrator, make it advisable that designated persons should refrain from trading in Company Securities even during the ordinary Open Trading Window described above. In that situation, the Administrator may notify these persons that they should not trade in the Company’s Securities, without disclosing the reason for the restriction. The existence of an event-specific trading restriction period or the closing of the Open Trading Window will be announced by the Administrator to persons designated by the Administrator. </w:t>
      </w:r>
      <w:r>
        <w:rPr>
          <w:rFonts w:ascii="Times New Roman" w:cs="Times New Roman" w:eastAsia="Times New Roman" w:hAnsi="Times New Roman"/>
          <w:sz w:val="18"/>
          <w:szCs w:val="18"/>
          <w:b w:val="1"/>
          <w:bCs w:val="1"/>
          <w:u w:val="single" w:color="auto"/>
          <w:color w:val="auto"/>
        </w:rPr>
        <w:t>Even if the Administrator has not designated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 person who should not trade due to an event-specific restriction, you may not trade while aware of material nonpublic information</w:t>
      </w:r>
      <w:r>
        <w:rPr>
          <w:rFonts w:ascii="Times New Roman" w:cs="Times New Roman" w:eastAsia="Times New Roman" w:hAnsi="Times New Roman"/>
          <w:sz w:val="18"/>
          <w:szCs w:val="18"/>
          <w:b w:val="1"/>
          <w:bCs w:val="1"/>
          <w:color w:val="auto"/>
        </w:rPr>
        <w:t>.</w:t>
      </w:r>
    </w:p>
    <w:p>
      <w:pPr>
        <w:spacing w:after="0" w:line="188" w:lineRule="exact"/>
        <w:rPr>
          <w:sz w:val="20"/>
          <w:szCs w:val="20"/>
          <w:color w:val="auto"/>
        </w:rPr>
      </w:pPr>
    </w:p>
    <w:p>
      <w:pPr>
        <w:ind w:left="1300" w:hanging="644"/>
        <w:spacing w:after="0"/>
        <w:tabs>
          <w:tab w:leader="none" w:pos="130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944"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quarterly trading restrictions and event-driven trading restrictions do not apply to those transactions to which this Policy does not apply, as described above under the heading “</w:t>
      </w:r>
      <w:r>
        <w:rPr>
          <w:rFonts w:ascii="Times New Roman" w:cs="Times New Roman" w:eastAsia="Times New Roman" w:hAnsi="Times New Roman"/>
          <w:sz w:val="18"/>
          <w:szCs w:val="18"/>
          <w:b w:val="1"/>
          <w:bCs w:val="1"/>
          <w:i w:val="1"/>
          <w:iCs w:val="1"/>
          <w:color w:val="auto"/>
        </w:rPr>
        <w:t>Limited Exceptions,</w:t>
      </w:r>
      <w:r>
        <w:rPr>
          <w:rFonts w:ascii="Times New Roman" w:cs="Times New Roman" w:eastAsia="Times New Roman" w:hAnsi="Times New Roman"/>
          <w:sz w:val="18"/>
          <w:szCs w:val="18"/>
          <w:color w:val="auto"/>
        </w:rPr>
        <w:t>” nor do they apply to an election to participate in an employer plan during an open enrollment period.</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944"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Administrator in his or her discretion may approve other or further exceptions to these requirements on a case-by-case basis in extraordinary circumstances. Any request for an exception pursuant to this paragraph must be submitted in advance and in writing, and any approval must be in writing.</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XIII.</w:t>
        <w:tab/>
        <w:t>P</w:t>
      </w:r>
      <w:r>
        <w:rPr>
          <w:rFonts w:ascii="Times New Roman" w:cs="Times New Roman" w:eastAsia="Times New Roman" w:hAnsi="Times New Roman"/>
          <w:sz w:val="12"/>
          <w:szCs w:val="12"/>
          <w:b w:val="1"/>
          <w:bCs w:val="1"/>
          <w:color w:val="auto"/>
        </w:rPr>
        <w:t>ost</w:t>
      </w: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p>
    <w:p>
      <w:pPr>
        <w:spacing w:after="0" w:line="22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w:t>
      </w:r>
      <w:r>
        <w:rPr>
          <w:rFonts w:ascii="Times New Roman" w:cs="Times New Roman" w:eastAsia="Times New Roman" w:hAnsi="Times New Roman"/>
          <w:sz w:val="18"/>
          <w:szCs w:val="18"/>
          <w:b w:val="1"/>
          <w:bCs w:val="1"/>
          <w:i w:val="1"/>
          <w:iCs w:val="1"/>
          <w:color w:val="auto"/>
        </w:rPr>
        <w:t>Additional Procedures</w:t>
      </w:r>
      <w:r>
        <w:rPr>
          <w:rFonts w:ascii="Times New Roman" w:cs="Times New Roman" w:eastAsia="Times New Roman" w:hAnsi="Times New Roman"/>
          <w:sz w:val="18"/>
          <w:szCs w:val="18"/>
          <w:color w:val="auto"/>
        </w:rPr>
        <w:t>” above and applicable to directors and certain executives will continue to apply for a period of six months after a termination of service, in order to facilitate compliance with Section 16 of the Exchange Act.</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XIV.</w:t>
      </w:r>
      <w:r>
        <w:rPr>
          <w:sz w:val="20"/>
          <w:szCs w:val="20"/>
          <w:color w:val="auto"/>
        </w:rPr>
        <w:tab/>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onsequences of</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iolations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purchase or sale of securities while aware of material nonpublic information, or the disclosure of material nonpublic information to others who then trade in the Company’s Securities, is prohibited by federal and state laws. Insider trading violations are pursued vigorously by the SEC, the U.S. Department of Justice and state enforcement authorities.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addition, an individual’s failure to comply with this Policy may subject the individual to Company-imposed sanctions, up to and including termination of employment,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XV.</w:t>
      </w:r>
      <w:r>
        <w:rPr>
          <w:sz w:val="20"/>
          <w:szCs w:val="20"/>
          <w:color w:val="auto"/>
        </w:rPr>
        <w:tab/>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eporting of</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2"/>
          <w:szCs w:val="12"/>
          <w:b w:val="1"/>
          <w:bCs w:val="1"/>
          <w:color w:val="auto"/>
        </w:rPr>
        <w:t>iolations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Any person who violates this Policy or any federal or state law governing insider trading or tipping, or who knows of or reasonably suspects any such violation by another person, should report the matter immediately to his or her supervisor and/or to the Administrator identified in Section 5. Employees are obligated to report suspected and actual violations of Company policy or the law. Doing so brings the concern into the open so that it can be resolved quickly and more serious harm can be prevented. Failure to do so could result in disciplinary action up to and including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8" w:name="page149"/>
    <w:bookmarkEnd w:id="148"/>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If you encounter a situation or are considering a course of action and its appropriateness is unclear, do not hesitate to reach out the Administrator with any questions; even the appearance of impropriety can be very damaging and should be avoided, and the Administrator may be in the best position to provide helpful information or other resources.</w:t>
      </w:r>
    </w:p>
    <w:p>
      <w:pPr>
        <w:spacing w:after="0" w:line="17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XVI.</w:t>
        <w:tab/>
        <w:t>C</w:t>
      </w:r>
      <w:r>
        <w:rPr>
          <w:rFonts w:ascii="Times New Roman" w:cs="Times New Roman" w:eastAsia="Times New Roman" w:hAnsi="Times New Roman"/>
          <w:sz w:val="12"/>
          <w:szCs w:val="12"/>
          <w:b w:val="1"/>
          <w:bCs w:val="1"/>
          <w:color w:val="auto"/>
        </w:rPr>
        <w:t>ertification</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All persons subject to this Policy may be required to certify and re-certify, from time to time, their understanding of, and intent to comply with, this Policy.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XVII.</w:t>
        <w:tab/>
        <w:t>A</w:t>
      </w:r>
      <w:r>
        <w:rPr>
          <w:rFonts w:ascii="Times New Roman" w:cs="Times New Roman" w:eastAsia="Times New Roman" w:hAnsi="Times New Roman"/>
          <w:sz w:val="12"/>
          <w:szCs w:val="12"/>
          <w:b w:val="1"/>
          <w:bCs w:val="1"/>
          <w:color w:val="auto"/>
        </w:rPr>
        <w:t>mendment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This Policy may be amended by the Board of Directors or any committee or designee to which the Board of Directors delegates this authority.</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Administrator has the authority to make determinations under, and interpretations of, this Policy, as specified in this Policy under the heading “</w:t>
      </w:r>
      <w:r>
        <w:rPr>
          <w:rFonts w:ascii="Times New Roman" w:cs="Times New Roman" w:eastAsia="Times New Roman" w:hAnsi="Times New Roman"/>
          <w:sz w:val="18"/>
          <w:szCs w:val="18"/>
          <w:b w:val="1"/>
          <w:bCs w:val="1"/>
          <w:i w:val="1"/>
          <w:iCs w:val="1"/>
          <w:color w:val="auto"/>
        </w:rPr>
        <w:t>Administration of the Policy.</w:t>
      </w:r>
      <w:r>
        <w:rPr>
          <w:rFonts w:ascii="Times New Roman" w:cs="Times New Roman" w:eastAsia="Times New Roman" w:hAnsi="Times New Roman"/>
          <w:sz w:val="18"/>
          <w:szCs w:val="18"/>
          <w:color w:val="auto"/>
        </w:rPr>
        <w:t>” In addition, the Administrator is authorized to approve amendments to this Policy that: (i) correct obvious errors (e.g., typographical or grammatical errors); (ii) are necessitated by changes in legal requirements; (iii) are necessary to clarify the meaning of this Policy; or (iv) are administrative in nature, such as the provisions of this Policy under the heading “</w:t>
      </w:r>
      <w:r>
        <w:rPr>
          <w:rFonts w:ascii="Times New Roman" w:cs="Times New Roman" w:eastAsia="Times New Roman" w:hAnsi="Times New Roman"/>
          <w:sz w:val="18"/>
          <w:szCs w:val="18"/>
          <w:b w:val="1"/>
          <w:bCs w:val="1"/>
          <w:i w:val="1"/>
          <w:iCs w:val="1"/>
          <w:color w:val="auto"/>
        </w:rPr>
        <w:t>Additional Procedures.</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Effective: </w:t>
      </w:r>
      <w:r>
        <w:rPr>
          <w:rFonts w:ascii="Times New Roman" w:cs="Times New Roman" w:eastAsia="Times New Roman" w:hAnsi="Times New Roman"/>
          <w:sz w:val="18"/>
          <w:szCs w:val="18"/>
          <w:i w:val="1"/>
          <w:iCs w:val="1"/>
          <w:color w:val="auto"/>
        </w:rPr>
        <w:t>March 27,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March 24,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149" w:name="page150"/>
    <w:bookmarkEnd w:id="149"/>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Request for Pre-Clearance</w:t>
      </w:r>
    </w:p>
    <w:p>
      <w:pPr>
        <w:spacing w:after="0" w:line="23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For pre-clearance to transact in Company Securities.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Upon executing a transaction, Restricted Persons must immediately notify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Vehicle (check one)</w:t>
            </w:r>
          </w:p>
        </w:tc>
        <w:tc>
          <w:tcPr>
            <w:tcW w:w="62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Transaction Initiated By (check one)</w:t>
            </w:r>
          </w:p>
        </w:tc>
      </w:tr>
      <w:tr>
        <w:trPr>
          <w:trHeight w:val="209"/>
        </w:trPr>
        <w:tc>
          <w:tcPr>
            <w:tcW w:w="3720" w:type="dxa"/>
            <w:vAlign w:val="bottom"/>
            <w:tcBorders>
              <w:bottom w:val="single" w:sz="8" w:color="auto"/>
            </w:tcBorders>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Open Market Transaction</w:t>
            </w:r>
          </w:p>
        </w:tc>
        <w:tc>
          <w:tcPr>
            <w:tcW w:w="6220" w:type="dxa"/>
            <w:vAlign w:val="bottom"/>
            <w:tcBorders>
              <w:bottom w:val="single" w:sz="8" w:color="auto"/>
            </w:tcBorders>
          </w:tcPr>
          <w:p>
            <w:pPr>
              <w:ind w:left="1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or immediate family member directly</w:t>
            </w:r>
          </w:p>
        </w:tc>
      </w:tr>
      <w:tr>
        <w:trPr>
          <w:trHeight w:val="210"/>
        </w:trPr>
        <w:tc>
          <w:tcPr>
            <w:tcW w:w="3720" w:type="dxa"/>
            <w:vAlign w:val="bottom"/>
            <w:tcBorders>
              <w:bottom w:val="single" w:sz="8" w:color="auto"/>
            </w:tcBorders>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Equity Compensation Plan</w:t>
            </w:r>
          </w:p>
        </w:tc>
        <w:tc>
          <w:tcPr>
            <w:tcW w:w="6220" w:type="dxa"/>
            <w:vAlign w:val="bottom"/>
            <w:tcBorders>
              <w:bottom w:val="single" w:sz="8" w:color="auto"/>
            </w:tcBorders>
          </w:tcPr>
          <w:p>
            <w:pPr>
              <w:ind w:left="1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Court or government decree (e.g., divorce decree)</w:t>
            </w:r>
          </w:p>
        </w:tc>
      </w:tr>
      <w:tr>
        <w:trPr>
          <w:trHeight w:val="296"/>
        </w:trPr>
        <w:tc>
          <w:tcPr>
            <w:tcW w:w="372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Other (specify):</w:t>
            </w:r>
          </w:p>
        </w:tc>
        <w:tc>
          <w:tcPr>
            <w:tcW w:w="6220" w:type="dxa"/>
            <w:vAlign w:val="bottom"/>
          </w:tcPr>
          <w:p>
            <w:pPr>
              <w:ind w:left="1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(provide name, firm, telephone and e-mail):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-637540</wp:posOffset>
            </wp:positionV>
            <wp:extent cx="6301105" cy="27686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4">
                      <a:extLst>
                        <a:ext uri="{28A0092B-C50C-407E-A947-70E740481C1C}"/>
                      </a:extLst>
                    </a:blip>
                    <a:srcRect/>
                    <a:stretch>
                      <a:fillRect/>
                    </a:stretch>
                  </pic:blipFill>
                  <pic:spPr bwMode="auto">
                    <a:xfrm>
                      <a:off x="0" y="0"/>
                      <a:ext cx="6301105" cy="2768600"/>
                    </a:xfrm>
                    <a:prstGeom prst="rect">
                      <a:avLst/>
                    </a:prstGeom>
                    <a:noFill/>
                  </pic:spPr>
                </pic:pic>
              </a:graphicData>
            </a:graphic>
          </wp:anchor>
        </w:drawing>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Type of Transaction (check one)</w:t>
      </w:r>
    </w:p>
    <w:p>
      <w:pPr>
        <w:spacing w:after="0" w:line="31" w:lineRule="exact"/>
        <w:rPr>
          <w:sz w:val="20"/>
          <w:szCs w:val="20"/>
          <w:color w:val="auto"/>
        </w:rPr>
      </w:pPr>
    </w:p>
    <w:p>
      <w:pPr>
        <w:ind w:left="240" w:hanging="213"/>
        <w:spacing w:after="0"/>
        <w:tabs>
          <w:tab w:leader="none" w:pos="240"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Purchase or acquire Company Securities</w:t>
      </w:r>
    </w:p>
    <w:p>
      <w:pPr>
        <w:spacing w:after="0" w:line="37" w:lineRule="exact"/>
        <w:rPr>
          <w:rFonts w:ascii="MS PGothic" w:cs="MS PGothic" w:eastAsia="MS PGothic" w:hAnsi="MS PGothic"/>
          <w:sz w:val="18"/>
          <w:szCs w:val="18"/>
          <w:color w:val="auto"/>
        </w:rPr>
      </w:pPr>
    </w:p>
    <w:p>
      <w:pPr>
        <w:ind w:left="240" w:hanging="213"/>
        <w:spacing w:after="0"/>
        <w:tabs>
          <w:tab w:leader="none" w:pos="240"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Sell or dispose of Company Securities</w:t>
      </w:r>
    </w:p>
    <w:p>
      <w:pPr>
        <w:spacing w:after="0" w:line="22" w:lineRule="exact"/>
        <w:rPr>
          <w:rFonts w:ascii="MS PGothic" w:cs="MS PGothic" w:eastAsia="MS PGothic" w:hAnsi="MS PGothic"/>
          <w:sz w:val="18"/>
          <w:szCs w:val="18"/>
          <w:color w:val="auto"/>
        </w:rPr>
      </w:pPr>
    </w:p>
    <w:p>
      <w:pPr>
        <w:ind w:left="240" w:hanging="213"/>
        <w:spacing w:after="0"/>
        <w:tabs>
          <w:tab w:leader="none" w:pos="240"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Move Company Securities from one account to another (e.g., in or out of a trust)</w:t>
      </w:r>
    </w:p>
    <w:p>
      <w:pPr>
        <w:spacing w:after="0" w:line="22" w:lineRule="exact"/>
        <w:rPr>
          <w:rFonts w:ascii="MS PGothic" w:cs="MS PGothic" w:eastAsia="MS PGothic" w:hAnsi="MS PGothic"/>
          <w:sz w:val="18"/>
          <w:szCs w:val="18"/>
          <w:color w:val="auto"/>
        </w:rPr>
      </w:pPr>
    </w:p>
    <w:p>
      <w:pPr>
        <w:ind w:left="240" w:hanging="213"/>
        <w:spacing w:after="0"/>
        <w:tabs>
          <w:tab w:leader="none" w:pos="240"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Dispose of fractional shares</w:t>
      </w:r>
    </w:p>
    <w:p>
      <w:pPr>
        <w:spacing w:after="0" w:line="22" w:lineRule="exact"/>
        <w:rPr>
          <w:rFonts w:ascii="MS PGothic" w:cs="MS PGothic" w:eastAsia="MS PGothic" w:hAnsi="MS PGothic"/>
          <w:sz w:val="18"/>
          <w:szCs w:val="18"/>
          <w:color w:val="auto"/>
        </w:rPr>
      </w:pPr>
    </w:p>
    <w:p>
      <w:pPr>
        <w:ind w:left="240" w:hanging="213"/>
        <w:spacing w:after="0"/>
        <w:tabs>
          <w:tab w:leader="none" w:pos="240"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Pledge Company Securities for margin account, or otherwise</w:t>
      </w:r>
    </w:p>
    <w:p>
      <w:pPr>
        <w:spacing w:after="0" w:line="22" w:lineRule="exact"/>
        <w:rPr>
          <w:rFonts w:ascii="MS PGothic" w:cs="MS PGothic" w:eastAsia="MS PGothic" w:hAnsi="MS PGothic"/>
          <w:sz w:val="18"/>
          <w:szCs w:val="18"/>
          <w:color w:val="auto"/>
        </w:rPr>
      </w:pPr>
    </w:p>
    <w:p>
      <w:pPr>
        <w:ind w:left="240" w:hanging="213"/>
        <w:spacing w:after="0"/>
        <w:tabs>
          <w:tab w:leader="none" w:pos="240"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Exercise options without subsequent sale</w:t>
      </w:r>
    </w:p>
    <w:p>
      <w:pPr>
        <w:spacing w:after="0" w:line="22" w:lineRule="exact"/>
        <w:rPr>
          <w:rFonts w:ascii="MS PGothic" w:cs="MS PGothic" w:eastAsia="MS PGothic" w:hAnsi="MS PGothic"/>
          <w:sz w:val="18"/>
          <w:szCs w:val="18"/>
          <w:color w:val="auto"/>
        </w:rPr>
      </w:pPr>
    </w:p>
    <w:p>
      <w:pPr>
        <w:ind w:left="240" w:hanging="213"/>
        <w:spacing w:after="0"/>
        <w:tabs>
          <w:tab w:leader="none" w:pos="240" w:val="left"/>
        </w:tabs>
        <w:numPr>
          <w:ilvl w:val="0"/>
          <w:numId w:val="9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Exercise options with subsequent sale (e.g., a “cashless exercise”)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(describe):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Transaction Detail (provide the following information)</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Number of securities: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Estimated share price:</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Contemplated execution date:</w:t>
      </w:r>
    </w:p>
    <w:p>
      <w:pPr>
        <w:spacing w:after="0" w:line="23" w:lineRule="exact"/>
        <w:rPr>
          <w:sz w:val="20"/>
          <w:szCs w:val="20"/>
          <w:color w:val="auto"/>
        </w:rPr>
      </w:pPr>
    </w:p>
    <w:p>
      <w:pPr>
        <w:ind w:left="20"/>
        <w:spacing w:after="0"/>
        <w:tabs>
          <w:tab w:leader="none" w:pos="3380" w:val="left"/>
        </w:tabs>
        <w:rPr>
          <w:sz w:val="20"/>
          <w:szCs w:val="20"/>
          <w:color w:val="auto"/>
        </w:rPr>
      </w:pPr>
      <w:r>
        <w:rPr>
          <w:rFonts w:ascii="Times New Roman" w:cs="Times New Roman" w:eastAsia="Times New Roman" w:hAnsi="Times New Roman"/>
          <w:sz w:val="18"/>
          <w:szCs w:val="18"/>
          <w:color w:val="auto"/>
        </w:rPr>
        <w:t>Date of your last “opposite way” transaction</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7" w:right="9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certify that I have fully disclosed the information requested in this form, I have read the Zura Bio Limited Insider Trading Policy, I am not in possession of material nonpublic information, and to the best of my knowledge and belief the proposed transaction will not violate the Zura Bio Limited Insider Trading Policy.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(Sign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(Print Name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8">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15684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terms used but not defined herein have the meanings ascribed to them in the Zura Bio Limited Insider Trading Policy.</w:t>
      </w:r>
    </w:p>
    <w:p>
      <w:pPr>
        <w:spacing w:after="0" w:line="225" w:lineRule="exact"/>
        <w:rPr>
          <w:sz w:val="20"/>
          <w:szCs w:val="20"/>
          <w:color w:val="auto"/>
        </w:rPr>
      </w:pPr>
    </w:p>
    <w:p>
      <w:pPr>
        <w:ind w:firstLine="22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If a Section 16 insider buys and sells (or sells and buys) Company Securities within a six-month time frame and such transactions are not exempt under SEC rules, the two transactions can be “matched” for purposes of Section 16. The insider may be sued and will be strictly liable for any profits made, </w:t>
      </w:r>
      <w:r>
        <w:rPr>
          <w:rFonts w:ascii="Times New Roman" w:cs="Times New Roman" w:eastAsia="Times New Roman" w:hAnsi="Times New Roman"/>
          <w:sz w:val="18"/>
          <w:szCs w:val="18"/>
          <w:b w:val="1"/>
          <w:bCs w:val="1"/>
          <w:i w:val="1"/>
          <w:iCs w:val="1"/>
          <w:u w:val="single" w:color="auto"/>
          <w:color w:val="auto"/>
        </w:rPr>
        <w:t>regardless of whether the insider was in possession of material nonpublic information</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Statements on Form S-8 No. 333-272842 and Form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S-3 Nos. 333-281905, 333-272628 and 333-279719 of Zura Bio Limited of our report dated March 24, 2025, relating to the</w:t>
      </w:r>
    </w:p>
    <w:p>
      <w:pPr>
        <w:spacing w:after="0"/>
        <w:rPr>
          <w:sz w:val="20"/>
          <w:szCs w:val="20"/>
          <w:color w:val="auto"/>
        </w:rPr>
      </w:pPr>
      <w:r>
        <w:rPr>
          <w:rFonts w:ascii="Times New Roman" w:cs="Times New Roman" w:eastAsia="Times New Roman" w:hAnsi="Times New Roman"/>
          <w:sz w:val="19"/>
          <w:szCs w:val="19"/>
          <w:color w:val="auto"/>
        </w:rPr>
        <w:t>consolidated financial statements, which appear in this Annual Report on Form 10-K for the year ended December 31, 2024.</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Brunswick,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Lisicki, certify that:</w:t>
      </w:r>
    </w:p>
    <w:p>
      <w:pPr>
        <w:spacing w:after="0" w:line="225" w:lineRule="exact"/>
        <w:rPr>
          <w:sz w:val="20"/>
          <w:szCs w:val="20"/>
          <w:color w:val="auto"/>
        </w:rPr>
      </w:pPr>
    </w:p>
    <w:p>
      <w:pPr>
        <w:ind w:left="520" w:hanging="188"/>
        <w:spacing w:after="0"/>
        <w:tabs>
          <w:tab w:leader="none" w:pos="5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Zura Bio Limited;</w:t>
      </w:r>
    </w:p>
    <w:p>
      <w:pPr>
        <w:spacing w:after="0" w:line="225" w:lineRule="exact"/>
        <w:rPr>
          <w:rFonts w:ascii="Times New Roman" w:cs="Times New Roman" w:eastAsia="Times New Roman" w:hAnsi="Times New Roman"/>
          <w:sz w:val="18"/>
          <w:szCs w:val="18"/>
          <w:color w:val="auto"/>
        </w:rPr>
      </w:pPr>
    </w:p>
    <w:p>
      <w:pPr>
        <w:ind w:right="500" w:firstLine="332"/>
        <w:spacing w:after="0" w:line="266" w:lineRule="auto"/>
        <w:tabs>
          <w:tab w:leader="none" w:pos="5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332"/>
        <w:spacing w:after="0" w:line="266" w:lineRule="auto"/>
        <w:tabs>
          <w:tab w:leader="none" w:pos="5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32"/>
        <w:spacing w:after="0" w:line="282" w:lineRule="auto"/>
        <w:tabs>
          <w:tab w:leader="none" w:pos="5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right="40" w:firstLine="656"/>
        <w:spacing w:after="0" w:line="266" w:lineRule="auto"/>
        <w:tabs>
          <w:tab w:leader="none" w:pos="89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 w:firstLine="656"/>
        <w:spacing w:after="0" w:line="266" w:lineRule="auto"/>
        <w:tabs>
          <w:tab w:leader="none" w:pos="90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89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332"/>
        <w:spacing w:after="0" w:line="266" w:lineRule="auto"/>
        <w:tabs>
          <w:tab w:leader="none" w:pos="50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right="40" w:firstLine="656"/>
        <w:spacing w:after="0" w:line="312" w:lineRule="auto"/>
        <w:tabs>
          <w:tab w:leader="none" w:pos="893"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right="660" w:firstLine="656"/>
        <w:spacing w:after="0" w:line="282" w:lineRule="auto"/>
        <w:tabs>
          <w:tab w:leader="none" w:pos="903"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Robert Lisicki</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Robert Lisicki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Verender Badial, certify that:</w:t>
      </w:r>
    </w:p>
    <w:p>
      <w:pPr>
        <w:spacing w:after="0" w:line="225" w:lineRule="exact"/>
        <w:rPr>
          <w:sz w:val="20"/>
          <w:szCs w:val="20"/>
          <w:color w:val="auto"/>
        </w:rPr>
      </w:pPr>
    </w:p>
    <w:p>
      <w:pPr>
        <w:ind w:left="520" w:hanging="188"/>
        <w:spacing w:after="0"/>
        <w:tabs>
          <w:tab w:leader="none" w:pos="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Zura Bio Limited;</w:t>
      </w:r>
    </w:p>
    <w:p>
      <w:pPr>
        <w:spacing w:after="0" w:line="225" w:lineRule="exact"/>
        <w:rPr>
          <w:rFonts w:ascii="Times New Roman" w:cs="Times New Roman" w:eastAsia="Times New Roman" w:hAnsi="Times New Roman"/>
          <w:sz w:val="18"/>
          <w:szCs w:val="18"/>
          <w:color w:val="auto"/>
        </w:rPr>
      </w:pPr>
    </w:p>
    <w:p>
      <w:pPr>
        <w:ind w:right="500" w:firstLine="332"/>
        <w:spacing w:after="0" w:line="266" w:lineRule="auto"/>
        <w:tabs>
          <w:tab w:leader="none" w:pos="5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332"/>
        <w:spacing w:after="0" w:line="266" w:lineRule="auto"/>
        <w:tabs>
          <w:tab w:leader="none" w:pos="5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80" w:firstLine="332"/>
        <w:spacing w:after="0" w:line="282" w:lineRule="auto"/>
        <w:tabs>
          <w:tab w:leader="none" w:pos="5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right="40" w:firstLine="656"/>
        <w:spacing w:after="0" w:line="266" w:lineRule="auto"/>
        <w:tabs>
          <w:tab w:leader="none" w:pos="89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0" w:firstLine="656"/>
        <w:spacing w:after="0" w:line="266" w:lineRule="auto"/>
        <w:tabs>
          <w:tab w:leader="none" w:pos="90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89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40" w:firstLine="332"/>
        <w:spacing w:after="0" w:line="266" w:lineRule="auto"/>
        <w:tabs>
          <w:tab w:leader="none" w:pos="50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right="40" w:firstLine="656"/>
        <w:spacing w:after="0" w:line="312" w:lineRule="auto"/>
        <w:tabs>
          <w:tab w:leader="none" w:pos="893" w:val="left"/>
        </w:tabs>
        <w:numPr>
          <w:ilvl w:val="1"/>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9" w:lineRule="exact"/>
        <w:rPr>
          <w:rFonts w:ascii="Times New Roman" w:cs="Times New Roman" w:eastAsia="Times New Roman" w:hAnsi="Times New Roman"/>
          <w:sz w:val="17"/>
          <w:szCs w:val="17"/>
          <w:color w:val="auto"/>
        </w:rPr>
      </w:pPr>
    </w:p>
    <w:p>
      <w:pPr>
        <w:ind w:right="660" w:firstLine="656"/>
        <w:spacing w:after="0" w:line="282" w:lineRule="auto"/>
        <w:tabs>
          <w:tab w:leader="none" w:pos="90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Verender Badial</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Verender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left="1000" w:right="2380"/>
        <w:spacing w:after="0" w:line="266" w:lineRule="auto"/>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Zura Bio Limited (the “Company”) on Form 10-K for the year ended December 31, 2024, as filed with the Securities and Exchange Commission on the date hereof (the “Report”), I, Robert Lisicki, Chief Executive Officer of the Company, certify, pursuant to 18 U.S.C. § 1350, as adopted pursuant to § 906 of the Sarbanes-Oxley Act of 2002, that:</w:t>
      </w:r>
    </w:p>
    <w:p>
      <w:pPr>
        <w:spacing w:after="0" w:line="176" w:lineRule="exact"/>
        <w:rPr>
          <w:sz w:val="20"/>
          <w:szCs w:val="20"/>
          <w:color w:val="auto"/>
        </w:rPr>
      </w:pPr>
    </w:p>
    <w:p>
      <w:pPr>
        <w:ind w:left="520" w:hanging="188"/>
        <w:spacing w:after="0"/>
        <w:tabs>
          <w:tab w:leader="none" w:pos="5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0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 covered by the Report.</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Robert Lisicki</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Robert Lisicki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left="1000" w:right="2380"/>
        <w:spacing w:after="0" w:line="266" w:lineRule="auto"/>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 2002</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Zura Bio Limited (the “Company”) on Form 10-K for the year ended December 31, 2024 as filed with the Securities and Exchange Commission on the date hereof (the “Report”), I, Verender Badial, Chief Financial Officer of the Company, certify, pursuant to 18 U.S.C. § 1350, as adopted pursuant to § 906 of the Sarbanes-Oxley Act of 2002, that:</w:t>
      </w:r>
    </w:p>
    <w:p>
      <w:pPr>
        <w:spacing w:after="0" w:line="176" w:lineRule="exact"/>
        <w:rPr>
          <w:sz w:val="20"/>
          <w:szCs w:val="20"/>
          <w:color w:val="auto"/>
        </w:rPr>
      </w:pPr>
    </w:p>
    <w:p>
      <w:pPr>
        <w:ind w:left="580" w:hanging="248"/>
        <w:spacing w:after="0"/>
        <w:tabs>
          <w:tab w:leader="none" w:pos="5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7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Verender Badial</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Verender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-127635</wp:posOffset>
            </wp:positionV>
            <wp:extent cx="31457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lvl w:ilvl="1">
      <w:lvlJc w:val="left"/>
      <w:lvlText w:val="o"/>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1)"/>
      <w:numFmt w:val="lowerRoman"/>
      <w:start w:val="1"/>
    </w:lvl>
  </w:abstractNum>
  <w:abstractNum w:abstractNumId="25">
    <w:nsid w:val="579BE4F1"/>
    <w:multiLevelType w:val="hybridMultilevel"/>
    <w:lvl w:ilvl="0">
      <w:lvlJc w:val="left"/>
      <w:lvlText w:val="%1"/>
      <w:numFmt w:val="upperLetter"/>
      <w:start w:val="35"/>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
      <w:numFmt w:val="bullet"/>
      <w:start w:val="1"/>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
      <w:numFmt w:val="bullet"/>
      <w:start w:val="1"/>
    </w:lvl>
  </w:abstractNum>
  <w:abstractNum w:abstractNumId="34">
    <w:nsid w:val="5DB70AE5"/>
    <w:multiLevelType w:val="hybridMultilevel"/>
    <w:lvl w:ilvl="0">
      <w:lvlJc w:val="left"/>
      <w:lvlText w:val="(%1)"/>
      <w:numFmt w:val="lowerLetter"/>
      <w:start w:val="3"/>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1)"/>
      <w:numFmt w:val="lowerLetter"/>
      <w:start w:val="1"/>
    </w:lvl>
  </w:abstractNum>
  <w:abstractNum w:abstractNumId="52">
    <w:nsid w:val="11447B73"/>
    <w:multiLevelType w:val="hybridMultilevel"/>
    <w:lvl w:ilvl="0">
      <w:lvlJc w:val="left"/>
      <w:lvlText w:val="(%1)"/>
      <w:numFmt w:val="decimal"/>
      <w:start w:val="1"/>
    </w:lvl>
  </w:abstractNum>
  <w:abstractNum w:abstractNumId="53">
    <w:nsid w:val="42963E5A"/>
    <w:multiLevelType w:val="hybridMultilevel"/>
    <w:lvl w:ilvl="0">
      <w:lvlJc w:val="left"/>
      <w:lvlText w:val="†"/>
      <w:numFmt w:val="bullet"/>
      <w:start w:val="1"/>
    </w:lvl>
    <w:lvl w:ilvl="1">
      <w:lvlJc w:val="left"/>
      <w:lvlText w:val="%2"/>
      <w:numFmt w:val="decimal"/>
      <w:start w:val="104"/>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
      <w:numFmt w:val="bullet"/>
      <w:start w:val="1"/>
    </w:lvl>
  </w:abstractNum>
  <w:abstractNum w:abstractNumId="56">
    <w:nsid w:val="1A32234B"/>
    <w:multiLevelType w:val="hybridMultilevel"/>
    <w:lvl w:ilvl="0">
      <w:lvlJc w:val="left"/>
      <w:lvlText w:val="+"/>
      <w:numFmt w:val="bullet"/>
      <w:start w:val="1"/>
    </w:lvl>
  </w:abstractNum>
  <w:abstractNum w:abstractNumId="57">
    <w:nsid w:val="3B0FD379"/>
    <w:multiLevelType w:val="hybridMultilevel"/>
    <w:lvl w:ilvl="0">
      <w:lvlJc w:val="left"/>
      <w:lvlText w:val="(%1)"/>
      <w:numFmt w:val="decimal"/>
      <w:start w:val="1"/>
    </w:lvl>
  </w:abstractNum>
  <w:abstractNum w:abstractNumId="58">
    <w:nsid w:val="68EB2F63"/>
    <w:multiLevelType w:val="hybridMultilevel"/>
    <w:lvl w:ilvl="0">
      <w:lvlJc w:val="left"/>
      <w:lvlText w:val="%1."/>
      <w:numFmt w:val="decimal"/>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1."/>
      <w:numFmt w:val="decimal"/>
      <w:start w:val="2"/>
    </w:lvl>
  </w:abstractNum>
  <w:abstractNum w:abstractNumId="61">
    <w:nsid w:val="6A5EE64"/>
    <w:multiLevelType w:val="hybridMultilevel"/>
    <w:lvl w:ilvl="0">
      <w:lvlJc w:val="left"/>
      <w:lvlText w:val="%1."/>
      <w:numFmt w:val="decimal"/>
      <w:start w:val="3"/>
    </w:lvl>
  </w:abstractNum>
  <w:abstractNum w:abstractNumId="62">
    <w:nsid w:val="14330624"/>
    <w:multiLevelType w:val="hybridMultilevel"/>
    <w:lvl w:ilvl="0">
      <w:lvlJc w:val="left"/>
      <w:lvlText w:val="%1."/>
      <w:numFmt w:val="decimal"/>
      <w:start w:val="4"/>
    </w:lvl>
  </w:abstractNum>
  <w:abstractNum w:abstractNumId="63">
    <w:nsid w:val="7FFFCA11"/>
    <w:multiLevelType w:val="hybridMultilevel"/>
    <w:lvl w:ilvl="0">
      <w:lvlJc w:val="left"/>
      <w:lvlText w:val="%1."/>
      <w:numFmt w:val="decimal"/>
      <w:start w:val="5"/>
    </w:lvl>
  </w:abstractNum>
  <w:abstractNum w:abstractNumId="64">
    <w:nsid w:val="1A27709E"/>
    <w:multiLevelType w:val="hybridMultilevel"/>
    <w:lvl w:ilvl="0">
      <w:lvlJc w:val="left"/>
      <w:lvlText w:val="%1."/>
      <w:numFmt w:val="decimal"/>
      <w:start w:val="6"/>
    </w:lvl>
  </w:abstractNum>
  <w:abstractNum w:abstractNumId="65">
    <w:nsid w:val="71EA1109"/>
    <w:multiLevelType w:val="hybridMultilevel"/>
    <w:lvl w:ilvl="0">
      <w:lvlJc w:val="left"/>
      <w:lvlText w:val="%1."/>
      <w:numFmt w:val="decimal"/>
      <w:start w:val="7"/>
    </w:lvl>
  </w:abstractNum>
  <w:abstractNum w:abstractNumId="66">
    <w:nsid w:val="100F59DC"/>
    <w:multiLevelType w:val="hybridMultilevel"/>
    <w:lvl w:ilvl="0">
      <w:lvlJc w:val="left"/>
      <w:lvlText w:val="%1."/>
      <w:numFmt w:val="decimal"/>
      <w:start w:val="7"/>
    </w:lvl>
  </w:abstractNum>
  <w:abstractNum w:abstractNumId="67">
    <w:nsid w:val="7FB7E0AA"/>
    <w:multiLevelType w:val="hybridMultilevel"/>
    <w:lvl w:ilvl="0">
      <w:lvlJc w:val="left"/>
      <w:lvlText w:val="(%1)"/>
      <w:numFmt w:val="lowerRoman"/>
      <w:start w:val="2"/>
    </w:lvl>
  </w:abstractNum>
  <w:abstractNum w:abstractNumId="68">
    <w:nsid w:val="6EB5BD4"/>
    <w:multiLevelType w:val="hybridMultilevel"/>
    <w:lvl w:ilvl="0">
      <w:lvlJc w:val="left"/>
      <w:lvlText w:val="%1."/>
      <w:numFmt w:val="decimal"/>
      <w:start w:val="8"/>
    </w:lvl>
  </w:abstractNum>
  <w:abstractNum w:abstractNumId="69">
    <w:nsid w:val="6F6DD9AC"/>
    <w:multiLevelType w:val="hybridMultilevel"/>
    <w:lvl w:ilvl="0">
      <w:lvlJc w:val="left"/>
      <w:lvlText w:val="%1."/>
      <w:numFmt w:val="decimal"/>
      <w:start w:val="9"/>
    </w:lvl>
  </w:abstractNum>
  <w:abstractNum w:abstractNumId="70">
    <w:nsid w:val="94211F2"/>
    <w:multiLevelType w:val="hybridMultilevel"/>
    <w:lvl w:ilvl="0">
      <w:lvlJc w:val="left"/>
      <w:lvlText w:val="%1."/>
      <w:numFmt w:val="decimal"/>
      <w:start w:val="11"/>
    </w:lvl>
  </w:abstractNum>
  <w:abstractNum w:abstractNumId="71">
    <w:nsid w:val="885E1B"/>
    <w:multiLevelType w:val="hybridMultilevel"/>
    <w:lvl w:ilvl="0">
      <w:lvlJc w:val="left"/>
      <w:lvlText w:val="%1."/>
      <w:numFmt w:val="decimal"/>
      <w:start w:val="12"/>
    </w:lvl>
  </w:abstractNum>
  <w:abstractNum w:abstractNumId="72">
    <w:nsid w:val="76272110"/>
    <w:multiLevelType w:val="hybridMultilevel"/>
    <w:lvl w:ilvl="0">
      <w:lvlJc w:val="left"/>
      <w:lvlText w:val="%1."/>
      <w:numFmt w:val="decimal"/>
      <w:start w:val="13"/>
    </w:lvl>
  </w:abstractNum>
  <w:abstractNum w:abstractNumId="73">
    <w:nsid w:val="4C04A8AF"/>
    <w:multiLevelType w:val="hybridMultilevel"/>
    <w:lvl w:ilvl="0">
      <w:lvlJc w:val="left"/>
      <w:lvlText w:val="%1."/>
      <w:numFmt w:val="decimal"/>
      <w:start w:val="14"/>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1)"/>
      <w:numFmt w:val="upperLetter"/>
      <w:start w:val="1"/>
    </w:lvl>
  </w:abstractNum>
  <w:abstractNum w:abstractNumId="76">
    <w:nsid w:val="3222E7CD"/>
    <w:multiLevelType w:val="hybridMultilevel"/>
    <w:lvl w:ilvl="0">
      <w:lvlJc w:val="left"/>
      <w:lvlText w:val="%1."/>
      <w:numFmt w:val="upperLetter"/>
      <w:start w:val="9"/>
    </w:lvl>
  </w:abstractNum>
  <w:abstractNum w:abstractNumId="77">
    <w:nsid w:val="74DE0EE3"/>
    <w:multiLevelType w:val="hybridMultilevel"/>
    <w:lvl w:ilvl="0">
      <w:lvlJc w:val="left"/>
      <w:lvlText w:val="%1."/>
      <w:numFmt w:val="upperLetter"/>
      <w:start w:val="35"/>
    </w:lvl>
  </w:abstractNum>
  <w:abstractNum w:abstractNumId="78">
    <w:nsid w:val="68EBC550"/>
    <w:multiLevelType w:val="hybridMultilevel"/>
    <w:lvl w:ilvl="0">
      <w:lvlJc w:val="left"/>
      <w:lvlText w:val="%1."/>
      <w:numFmt w:val="upperLetter"/>
      <w:start w:val="61"/>
    </w:lvl>
  </w:abstractNum>
  <w:abstractNum w:abstractNumId="79">
    <w:nsid w:val="2DF6D648"/>
    <w:multiLevelType w:val="hybridMultilevel"/>
    <w:lvl w:ilvl="0">
      <w:lvlJc w:val="left"/>
      <w:lvlText w:val="%1."/>
      <w:numFmt w:val="upperLetter"/>
      <w:start w:val="22"/>
    </w:lvl>
  </w:abstractNum>
  <w:abstractNum w:abstractNumId="80">
    <w:nsid w:val="46B7D447"/>
    <w:multiLevelType w:val="hybridMultilevel"/>
    <w:lvl w:ilvl="0">
      <w:lvlJc w:val="left"/>
      <w:lvlText w:val="(%1)"/>
      <w:numFmt w:val="lowerLetter"/>
      <w:start w:val="1"/>
    </w:lvl>
    <w:lvl w:ilvl="1">
      <w:lvlJc w:val="left"/>
      <w:lvlText w:val="(%2)"/>
      <w:numFmt w:val="lowerRoman"/>
      <w:start w:val="1"/>
    </w:lvl>
  </w:abstractNum>
  <w:abstractNum w:abstractNumId="81">
    <w:nsid w:val="4A2AC315"/>
    <w:multiLevelType w:val="hybridMultilevel"/>
    <w:lvl w:ilvl="0">
      <w:lvlJc w:val="left"/>
      <w:lvlText w:val="(%1)"/>
      <w:numFmt w:val="lowerLetter"/>
      <w:start w:val="1"/>
    </w:lvl>
  </w:abstractNum>
  <w:abstractNum w:abstractNumId="82">
    <w:nsid w:val="39EE015C"/>
    <w:multiLevelType w:val="hybridMultilevel"/>
    <w:lvl w:ilvl="0">
      <w:lvlJc w:val="left"/>
      <w:lvlText w:val="●"/>
      <w:numFmt w:val="bullet"/>
      <w:start w:val="1"/>
    </w:lvl>
  </w:abstractNum>
  <w:abstractNum w:abstractNumId="83">
    <w:nsid w:val="57FC4FBB"/>
    <w:multiLevelType w:val="hybridMultilevel"/>
    <w:lvl w:ilvl="0">
      <w:lvlJc w:val="left"/>
      <w:lvlText w:val="●"/>
      <w:numFmt w:val="bullet"/>
      <w:start w:val="1"/>
    </w:lvl>
  </w:abstractNum>
  <w:abstractNum w:abstractNumId="84">
    <w:nsid w:val="CC1016F"/>
    <w:multiLevelType w:val="hybridMultilevel"/>
    <w:lvl w:ilvl="0">
      <w:lvlJc w:val="left"/>
      <w:lvlText w:val="(%1)"/>
      <w:numFmt w:val="lowerLetter"/>
      <w:start w:val="2"/>
    </w:lvl>
  </w:abstractNum>
  <w:abstractNum w:abstractNumId="85">
    <w:nsid w:val="43F18422"/>
    <w:multiLevelType w:val="hybridMultilevel"/>
    <w:lvl w:ilvl="0">
      <w:lvlJc w:val="left"/>
      <w:lvlText w:val="●"/>
      <w:numFmt w:val="bullet"/>
      <w:start w:val="1"/>
    </w:lvl>
  </w:abstractNum>
  <w:abstractNum w:abstractNumId="86">
    <w:nsid w:val="60EF0119"/>
    <w:multiLevelType w:val="hybridMultilevel"/>
    <w:lvl w:ilvl="0">
      <w:lvlJc w:val="left"/>
      <w:lvlText w:val="%1."/>
      <w:numFmt w:val="upperLetter"/>
      <w:start w:val="24"/>
    </w:lvl>
  </w:abstractNum>
  <w:abstractNum w:abstractNumId="87">
    <w:nsid w:val="26F324BA"/>
    <w:multiLevelType w:val="hybridMultilevel"/>
    <w:lvl w:ilvl="0">
      <w:lvlJc w:val="left"/>
      <w:lvlText w:val="(%1)"/>
      <w:numFmt w:val="lowerLetter"/>
      <w:start w:val="1"/>
    </w:lvl>
  </w:abstractNum>
  <w:abstractNum w:abstractNumId="88">
    <w:nsid w:val="7F01579B"/>
    <w:multiLevelType w:val="hybridMultilevel"/>
    <w:lvl w:ilvl="0">
      <w:lvlJc w:val="left"/>
      <w:lvlText w:val="(%1)"/>
      <w:numFmt w:val="lowerLetter"/>
      <w:start w:val="3"/>
    </w:lvl>
  </w:abstractNum>
  <w:abstractNum w:abstractNumId="89">
    <w:nsid w:val="49DA307D"/>
    <w:multiLevelType w:val="hybridMultilevel"/>
    <w:lvl w:ilvl="0">
      <w:lvlJc w:val="left"/>
      <w:lvlText w:val="(%1)"/>
      <w:numFmt w:val="lowerLetter"/>
      <w:start w:val="1"/>
    </w:lvl>
  </w:abstractNum>
  <w:abstractNum w:abstractNumId="90">
    <w:nsid w:val="7055A5F5"/>
    <w:multiLevelType w:val="hybridMultilevel"/>
    <w:lvl w:ilvl="0">
      <w:lvlJc w:val="left"/>
      <w:lvlText w:val="(%1)"/>
      <w:numFmt w:val="lowerLetter"/>
      <w:start w:val="4"/>
    </w:lvl>
  </w:abstractNum>
  <w:abstractNum w:abstractNumId="91">
    <w:nsid w:val="5FB8370B"/>
    <w:multiLevelType w:val="hybridMultilevel"/>
    <w:lvl w:ilvl="0">
      <w:lvlJc w:val="left"/>
      <w:lvlText w:val="(%1)"/>
      <w:numFmt w:val="lowerLetter"/>
      <w:start w:val="1"/>
    </w:lvl>
  </w:abstractNum>
  <w:abstractNum w:abstractNumId="92">
    <w:nsid w:val="50801EE1"/>
    <w:multiLevelType w:val="hybridMultilevel"/>
    <w:lvl w:ilvl="0">
      <w:lvlJc w:val="left"/>
      <w:lvlText w:val="(%1)"/>
      <w:numFmt w:val="lowerLetter"/>
      <w:start w:val="2"/>
    </w:lvl>
  </w:abstractNum>
  <w:abstractNum w:abstractNumId="93">
    <w:nsid w:val="488AC1A"/>
    <w:multiLevelType w:val="hybridMultilevel"/>
    <w:lvl w:ilvl="0">
      <w:lvlJc w:val="left"/>
      <w:lvlText w:val="(%1)"/>
      <w:numFmt w:val="lowerLetter"/>
      <w:start w:val="4"/>
    </w:lvl>
    <w:lvl w:ilvl="1">
      <w:lvlJc w:val="left"/>
      <w:lvlText w:val="(%2)"/>
      <w:numFmt w:val="lowerRoman"/>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 "/>
      <w:numFmt w:val="bullet"/>
      <w:start w:val="1"/>
    </w:lvl>
  </w:abstractNum>
  <w:abstractNum w:abstractNumId="96">
    <w:nsid w:val="7672BD23"/>
    <w:multiLevelType w:val="hybridMultilevel"/>
    <w:lvl w:ilvl="0">
      <w:lvlJc w:val="left"/>
      <w:lvlText w:val="  "/>
      <w:numFmt w:val="bullet"/>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lvl w:ilvl="1">
      <w:lvlJc w:val="left"/>
      <w:lvlText w:val="(%2)"/>
      <w:numFmt w:val="lowerLetter"/>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37" Type="http://schemas.openxmlformats.org/officeDocument/2006/relationships/image" Target="media/image116.png"/><Relationship Id="rId158" Type="http://schemas.openxmlformats.org/officeDocument/2006/relationships/image" Target="media/image117.pn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png"/><Relationship Id="rId168" Type="http://schemas.openxmlformats.org/officeDocument/2006/relationships/image" Target="media/image125.png"/><Relationship Id="rId169"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73" Type="http://schemas.openxmlformats.org/officeDocument/2006/relationships/image" Target="media/image130.png"/><Relationship Id="rId174" Type="http://schemas.openxmlformats.org/officeDocument/2006/relationships/image" Target="media/image131.png"/><Relationship Id="rId175" Type="http://schemas.openxmlformats.org/officeDocument/2006/relationships/image" Target="media/image132.png"/><Relationship Id="rId176" Type="http://schemas.openxmlformats.org/officeDocument/2006/relationships/image" Target="media/image133.pn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180" Type="http://schemas.openxmlformats.org/officeDocument/2006/relationships/image" Target="media/image137.png"/><Relationship Id="rId181" Type="http://schemas.openxmlformats.org/officeDocument/2006/relationships/image" Target="media/image138.png"/><Relationship Id="rId182" Type="http://schemas.openxmlformats.org/officeDocument/2006/relationships/image" Target="media/image139.pn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png"/><Relationship Id="rId186" Type="http://schemas.openxmlformats.org/officeDocument/2006/relationships/image" Target="media/image143.png"/><Relationship Id="rId187" Type="http://schemas.openxmlformats.org/officeDocument/2006/relationships/image" Target="media/image144.png"/><Relationship Id="rId188" Type="http://schemas.openxmlformats.org/officeDocument/2006/relationships/image" Target="media/image145.png"/><Relationship Id="rId189" Type="http://schemas.openxmlformats.org/officeDocument/2006/relationships/image" Target="media/image146.png"/><Relationship Id="rId190" Type="http://schemas.openxmlformats.org/officeDocument/2006/relationships/image" Target="media/image147.png"/><Relationship Id="rId191" Type="http://schemas.openxmlformats.org/officeDocument/2006/relationships/image" Target="media/image148.pn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png"/><Relationship Id="rId196" Type="http://schemas.openxmlformats.org/officeDocument/2006/relationships/image" Target="media/image153.png"/><Relationship Id="rId197" Type="http://schemas.openxmlformats.org/officeDocument/2006/relationships/image" Target="media/image154.png"/><Relationship Id="rId198" Type="http://schemas.openxmlformats.org/officeDocument/2006/relationships/image" Target="media/image155.png"/><Relationship Id="rId199" Type="http://schemas.openxmlformats.org/officeDocument/2006/relationships/image" Target="media/image156.png"/><Relationship Id="rId200" Type="http://schemas.openxmlformats.org/officeDocument/2006/relationships/image" Target="media/image157.png"/><Relationship Id="rId201" Type="http://schemas.openxmlformats.org/officeDocument/2006/relationships/image" Target="media/image158.pn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png"/><Relationship Id="rId205" Type="http://schemas.openxmlformats.org/officeDocument/2006/relationships/image" Target="media/image162.png"/><Relationship Id="rId206" Type="http://schemas.openxmlformats.org/officeDocument/2006/relationships/image" Target="media/image163.png"/><Relationship Id="rId207" Type="http://schemas.openxmlformats.org/officeDocument/2006/relationships/image" Target="media/image164.png"/><Relationship Id="rId208" Type="http://schemas.openxmlformats.org/officeDocument/2006/relationships/image" Target="media/image165.png"/><Relationship Id="rId209" Type="http://schemas.openxmlformats.org/officeDocument/2006/relationships/image" Target="media/image166.pn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123" Type="http://schemas.openxmlformats.org/officeDocument/2006/relationships/hyperlink" Target="https://www.sec.gov/Archives/edgar/data/1855644/000110465922072223/tm2218710d1_ex2-1.htm" TargetMode="External"/><Relationship Id="rId124" Type="http://schemas.openxmlformats.org/officeDocument/2006/relationships/hyperlink" Target="https://www.sec.gov/Archives/edgar/data/1855644/000110465922111238/tm2218919d12_ex2-2.htm" TargetMode="External"/><Relationship Id="rId125" Type="http://schemas.openxmlformats.org/officeDocument/2006/relationships/hyperlink" Target="https://www.sec.gov/Archives/edgar/data/1855644/000110465922119158/tm2230640d1_ex2-2.htm" TargetMode="External"/><Relationship Id="rId126" Type="http://schemas.openxmlformats.org/officeDocument/2006/relationships/hyperlink" Target="https://www.sec.gov/Archives/edgar/data/1855644/000110465923005068/tm233516d1_ex2-1.htm" TargetMode="External"/><Relationship Id="rId127" Type="http://schemas.openxmlformats.org/officeDocument/2006/relationships/hyperlink" Target="https://www.sec.gov/Archives/edgar/data/1855644/000110465923036697/tm2310353d1_ex3-1.htm" TargetMode="External"/><Relationship Id="rId128" Type="http://schemas.openxmlformats.org/officeDocument/2006/relationships/hyperlink" Target="https://www.sec.gov/Archives/edgar/data/1855644/000110465922093035/jatt-20220630xex4d5.htm" TargetMode="External"/><Relationship Id="rId129" Type="http://schemas.openxmlformats.org/officeDocument/2006/relationships/hyperlink" Target="https://www.sec.gov/Archives/edgar/data/1855644/000110465922093035/jatt-20220630xex4d6.htm" TargetMode="External"/><Relationship Id="rId130" Type="http://schemas.openxmlformats.org/officeDocument/2006/relationships/hyperlink" Target="https://www.sec.gov/Archives/edgar/data/1855644/000110465923055196/tm2314291d1_ex4-1.htm" TargetMode="External"/><Relationship Id="rId131" Type="http://schemas.openxmlformats.org/officeDocument/2006/relationships/hyperlink" Target="https://www.sec.gov/Archives/edgar/data/1855644/000110465924091602/tm2422174d1_ex4-1.htm" TargetMode="External"/><Relationship Id="rId132" Type="http://schemas.openxmlformats.org/officeDocument/2006/relationships/hyperlink" Target="https://www.sec.gov/Archives/edgar/data/1855644/000110465924050169/tm2412407d1_ex4-1.htm" TargetMode="External"/><Relationship Id="rId133" Type="http://schemas.openxmlformats.org/officeDocument/2006/relationships/hyperlink" Target="https://www.sec.gov/Archives/edgar/data/1855644/000110465923023189/tm2218919d27_ex10-17.htm" TargetMode="External"/><Relationship Id="rId134" Type="http://schemas.openxmlformats.org/officeDocument/2006/relationships/hyperlink" Target="https://www.sec.gov/Archives/edgar/data/1855644/000110465923023189/tm2218919d27_ex10-22.htm" TargetMode="External"/><Relationship Id="rId135" Type="http://schemas.openxmlformats.org/officeDocument/2006/relationships/hyperlink" Target="https://www.sec.gov/Archives/edgar/data/1855644/000110465923009979/tm2218919d21_ex10-29.htm" TargetMode="External"/><Relationship Id="rId136" Type="http://schemas.openxmlformats.org/officeDocument/2006/relationships/hyperlink" Target="https://www.sec.gov/Archives/edgar/data/1855644/000110465923055196/tm2314291d1_ex10-1.htm" TargetMode="External"/><Relationship Id="rId138" Type="http://schemas.openxmlformats.org/officeDocument/2006/relationships/hyperlink" Target="https://www.sec.gov/Archives/edgar/data/1855644/000110465923043201/tm2312086d1_ex10-1.htm" TargetMode="External"/><Relationship Id="rId139" Type="http://schemas.openxmlformats.org/officeDocument/2006/relationships/hyperlink" Target="https://www.sec.gov/Archives/edgar/data/1855644/000110465923014347/tm2218919d24_ex10-31.htm" TargetMode="External"/><Relationship Id="rId140" Type="http://schemas.openxmlformats.org/officeDocument/2006/relationships/hyperlink" Target="https://www.sec.gov/Archives/edgar/data/1855644/000110465923062684/tm2315164-1_def14a.htm#tANC" TargetMode="External"/><Relationship Id="rId141" Type="http://schemas.openxmlformats.org/officeDocument/2006/relationships/hyperlink" Target="https://www.sec.gov/Archives/edgar/data/1855644/000110465923090605/tm235378d7_ex10-38.htm" TargetMode="External"/><Relationship Id="rId142" Type="http://schemas.openxmlformats.org/officeDocument/2006/relationships/hyperlink" Target="https://www.sec.gov/Archives/edgar/data/1855644/000110465923043355/tm2312164d1_ex10-1.htm" TargetMode="External"/><Relationship Id="rId143" Type="http://schemas.openxmlformats.org/officeDocument/2006/relationships/hyperlink" Target="https://www.sec.gov/Archives/edgar/data/1855644/000110465923043355/tm2312164d1_ex10-2.htm" TargetMode="External"/><Relationship Id="rId144" Type="http://schemas.openxmlformats.org/officeDocument/2006/relationships/hyperlink" Target="https://www.sec.gov/Archives/edgar/data/1855644/000141057823001121/zura-20230331xex10d28.htm" TargetMode="External"/><Relationship Id="rId145" Type="http://schemas.openxmlformats.org/officeDocument/2006/relationships/hyperlink" Target="https://www.sec.gov/Archives/edgar/data/1855644/000110465923124000/tm2332309d1_ex10-1.htm" TargetMode="External"/><Relationship Id="rId146" Type="http://schemas.openxmlformats.org/officeDocument/2006/relationships/hyperlink" Target="https://www.sec.gov/Archives/edgar/data/1855644/000110465924001984/tm242343d1_ex10-1.htm" TargetMode="External"/><Relationship Id="rId147" Type="http://schemas.openxmlformats.org/officeDocument/2006/relationships/hyperlink" Target="https://www.sec.gov/Archives/edgar/data/1855644/000110465924082476/tm2420123d1_ex10-1.htm" TargetMode="External"/><Relationship Id="rId148" Type="http://schemas.openxmlformats.org/officeDocument/2006/relationships/hyperlink" Target="https://www.sec.gov/Archives/edgar/data/1855644/000110465924088395/tm2421034d1_ex10-1.htm" TargetMode="External"/><Relationship Id="rId149" Type="http://schemas.openxmlformats.org/officeDocument/2006/relationships/hyperlink" Target="https://www.sec.gov/Archives/edgar/data/1855644/000110465924091602/tm2422174d1_ex10-1.htm" TargetMode="External"/><Relationship Id="rId150" Type="http://schemas.openxmlformats.org/officeDocument/2006/relationships/hyperlink" Target="https://www.sec.gov/Archives/edgar/data/1855644/000110465924050169/tm2412407d1_ex10-1.htm" TargetMode="External"/><Relationship Id="rId151" Type="http://schemas.openxmlformats.org/officeDocument/2006/relationships/hyperlink" Target="https://www.sec.gov/Archives/edgar/data/1855644/000110465924096413/tm2422475d1_ex1-2.htm" TargetMode="External"/><Relationship Id="rId152" Type="http://schemas.openxmlformats.org/officeDocument/2006/relationships/hyperlink" Target="https://www.sec.gov/Archives/edgar/data/1855644/000110465923036697/tm2310353d1_ex10-2.htm" TargetMode="External"/><Relationship Id="rId153" Type="http://schemas.openxmlformats.org/officeDocument/2006/relationships/hyperlink" Target="https://www.sec.gov/Archives/edgar/data/1855644/000110465923036697/tm2310353d1_ex10-13.htm" TargetMode="External"/><Relationship Id="rId154" Type="http://schemas.openxmlformats.org/officeDocument/2006/relationships/hyperlink" Target="https://www.sec.gov/Archives/edgar/data/1855644/000110465923036697/tm2310353d1_ex10-12.htm" TargetMode="External"/><Relationship Id="rId155" Type="http://schemas.openxmlformats.org/officeDocument/2006/relationships/hyperlink" Target="https://www.sec.gov/Archives/edgar/data/1855644/000110465922127098/jatt-20220930xex10d27.htm" TargetMode="External"/><Relationship Id="rId156" Type="http://schemas.openxmlformats.org/officeDocument/2006/relationships/hyperlink" Target="https://www.sec.gov/Archives/edgar/data/1855644/000110465923090605/tm235378d7_ex10-39.htm" TargetMode="External"/><Relationship Id="rId157" Type="http://schemas.openxmlformats.org/officeDocument/2006/relationships/hyperlink" Target="https://www.sec.gov/Archives/edgar/data/1855644/000110465924027049/tm242343d2_ex16-1.htm" TargetMode="External"/><Relationship Id="rId159" Type="http://schemas.openxmlformats.org/officeDocument/2006/relationships/hyperlink" Target="https://www.sec.gov/Archives/edgar/data/1855644/000110465922111238/tm2218919d12_ex21-2.htm" TargetMode="External"/><Relationship Id="rId160" Type="http://schemas.openxmlformats.org/officeDocument/2006/relationships/hyperlink" Target="https://www.sec.gov/Archives/edgar/data/1855644/000141057824000329/zura-20231231x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2025-03-25T06:09:07Z</dcterms:created>
  <dcterms:modified xsi:type="dcterms:W3CDTF">2025-03-25T06:09:07Z</dcterms:modified>
</cp:coreProperties>
</file>