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60325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74930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11" w:lineRule="exact"/>
        <w:rPr>
          <w:sz w:val="24"/>
          <w:szCs w:val="24"/>
          <w:color w:val="auto"/>
        </w:rPr>
      </w:pPr>
    </w:p>
    <w:p>
      <w:pPr>
        <w:ind w:left="420" w:hanging="400"/>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0" w:lineRule="exact"/>
        <w:rPr>
          <w:sz w:val="24"/>
          <w:szCs w:val="24"/>
          <w:color w:val="auto"/>
        </w:rPr>
      </w:pPr>
    </w:p>
    <w:p>
      <w:pPr>
        <w:ind w:left="420" w:hanging="400"/>
        <w:spacing w:after="0"/>
        <w:tabs>
          <w:tab w:leader="none" w:pos="42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w:t>
      </w:r>
    </w:p>
    <w:p>
      <w:pPr>
        <w:spacing w:after="0" w:line="39" w:lineRule="exact"/>
        <w:rPr>
          <w:sz w:val="24"/>
          <w:szCs w:val="24"/>
          <w:color w:val="auto"/>
        </w:rPr>
      </w:pPr>
    </w:p>
    <w:p>
      <w:pPr>
        <w:ind w:left="420"/>
        <w:spacing w:after="0"/>
        <w:tabs>
          <w:tab w:leader="none" w:pos="3240" w:val="left"/>
        </w:tabs>
        <w:rPr>
          <w:sz w:val="20"/>
          <w:szCs w:val="20"/>
          <w:color w:val="auto"/>
        </w:rPr>
      </w:pPr>
      <w:r>
        <w:rPr>
          <w:rFonts w:ascii="Times New Roman" w:cs="Times New Roman" w:eastAsia="Times New Roman" w:hAnsi="Times New Roman"/>
          <w:sz w:val="16"/>
          <w:szCs w:val="16"/>
          <w:b w:val="1"/>
          <w:bCs w:val="1"/>
          <w:color w:val="auto"/>
        </w:rPr>
        <w:t>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001-40598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81915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ZURA BIO LIMITED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60325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p>
      <w:pPr>
        <w:spacing w:after="0" w:line="2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8"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p>
      <w:pPr>
        <w:spacing w:after="0" w:line="19"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p>
      <w:pPr>
        <w:spacing w:after="0" w:line="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1489 W. Warm Springs Road, Suite 110</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Henderson, NV 89014 USA</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6"/>
          <w:szCs w:val="16"/>
          <w:b w:val="1"/>
          <w:bCs w:val="1"/>
          <w:color w:val="auto"/>
        </w:rPr>
        <w:t>98-1725736</w:t>
      </w:r>
    </w:p>
    <w:p>
      <w:pPr>
        <w:spacing w:after="0" w:line="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Identification No.)</w:t>
      </w:r>
    </w:p>
    <w:p>
      <w:pPr>
        <w:spacing w:after="0" w:line="238"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6"/>
          <w:szCs w:val="16"/>
          <w:b w:val="1"/>
          <w:bCs w:val="1"/>
          <w:color w:val="auto"/>
        </w:rPr>
        <w:t>92037</w:t>
      </w:r>
    </w:p>
    <w:p>
      <w:pPr>
        <w:spacing w:after="0" w:line="28"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6"/>
          <w:szCs w:val="16"/>
          <w:b w:val="1"/>
          <w:bCs w:val="1"/>
          <w:color w:val="auto"/>
        </w:rPr>
        <w:t>(Zip Code)</w:t>
      </w:r>
    </w:p>
    <w:p>
      <w:pPr>
        <w:spacing w:after="0" w:line="103" w:lineRule="exact"/>
        <w:rPr>
          <w:sz w:val="24"/>
          <w:szCs w:val="24"/>
          <w:color w:val="auto"/>
        </w:rPr>
      </w:pPr>
    </w:p>
    <w:p>
      <w:pPr>
        <w:sectPr>
          <w:pgSz w:w="11900" w:h="16838" w:orient="portrait"/>
          <w:cols w:equalWidth="0" w:num="2">
            <w:col w:w="6080" w:space="720"/>
            <w:col w:w="3120"/>
          </w:cols>
          <w:pgMar w:left="980" w:top="661" w:right="9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(702) 757-6133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73025</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gridSpan w:val="2"/>
            <w:vMerge w:val="continue"/>
          </w:tcPr>
          <w:p>
            <w:pPr>
              <w:spacing w:after="0"/>
              <w:rPr>
                <w:sz w:val="15"/>
                <w:szCs w:val="15"/>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Class A Ordinary Shares</w:t>
            </w:r>
          </w:p>
        </w:tc>
        <w:tc>
          <w:tcPr>
            <w:tcW w:w="14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ZURA</w:t>
            </w:r>
          </w:p>
        </w:tc>
        <w:tc>
          <w:tcPr>
            <w:tcW w:w="160" w:type="dxa"/>
            <w:vAlign w:val="bottom"/>
          </w:tcPr>
          <w:p>
            <w:pPr>
              <w:spacing w:after="0"/>
              <w:rPr>
                <w:sz w:val="10"/>
                <w:szCs w:val="10"/>
                <w:color w:val="auto"/>
              </w:rPr>
            </w:pPr>
          </w:p>
        </w:tc>
        <w:tc>
          <w:tcPr>
            <w:tcW w:w="44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6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ZURAW</w:t>
            </w:r>
          </w:p>
        </w:tc>
        <w:tc>
          <w:tcPr>
            <w:tcW w:w="44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(The Nasdaq Capital Market)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60" w:type="dxa"/>
            <w:vAlign w:val="bottom"/>
            <w:gridSpan w:val="2"/>
            <w:vMerge w:val="continue"/>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44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Capital Market)</w:t>
            </w:r>
          </w:p>
        </w:tc>
        <w:tc>
          <w:tcPr>
            <w:tcW w:w="0" w:type="dxa"/>
            <w:vAlign w:val="bottom"/>
          </w:tcPr>
          <w:p>
            <w:pPr>
              <w:spacing w:after="0"/>
              <w:rPr>
                <w:sz w:val="1"/>
                <w:szCs w:val="1"/>
                <w:color w:val="auto"/>
              </w:rPr>
            </w:pPr>
          </w:p>
        </w:tc>
      </w:tr>
    </w:tbl>
    <w:p>
      <w:pPr>
        <w:spacing w:after="0" w:line="55"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40" w:val="left"/>
          <w:tab w:leader="none" w:pos="1000" w:val="left"/>
        </w:tabs>
        <w:rPr>
          <w:sz w:val="20"/>
          <w:szCs w:val="20"/>
          <w:color w:val="auto"/>
        </w:rPr>
      </w:pPr>
      <w:r>
        <w:rPr>
          <w:rFonts w:ascii="Times New Roman" w:cs="Times New Roman" w:eastAsia="Times New Roman" w:hAnsi="Times New Roman"/>
          <w:sz w:val="14"/>
          <w:szCs w:val="14"/>
          <w:color w:val="auto"/>
        </w:rPr>
        <w:t>days.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85"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266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ind w:left="26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0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5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68"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ind w:right="2280"/>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9, 2024, the registrant had 43,593,678 Class A Ordinary Shares and 12,809,996 Public Warrants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478790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50165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92710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360" w:type="dxa"/>
            <w:vAlign w:val="bottom"/>
            <w:gridSpan w:val="4"/>
            <w:vMerge w:val="restart"/>
          </w:tcPr>
          <w:p>
            <w:pPr>
              <w:spacing w:after="0"/>
              <w:rPr>
                <w:sz w:val="15"/>
                <w:szCs w:val="15"/>
                <w:color w:val="auto"/>
              </w:rPr>
            </w:pPr>
          </w:p>
        </w:tc>
        <w:tc>
          <w:tcPr>
            <w:tcW w:w="832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600" w:type="dxa"/>
            <w:vAlign w:val="bottom"/>
            <w:gridSpan w:val="2"/>
            <w:vMerge w:val="continue"/>
          </w:tcPr>
          <w:p>
            <w:pPr>
              <w:spacing w:after="0"/>
              <w:rPr>
                <w:sz w:val="14"/>
                <w:szCs w:val="14"/>
                <w:color w:val="auto"/>
              </w:rPr>
            </w:pPr>
          </w:p>
        </w:tc>
        <w:tc>
          <w:tcPr>
            <w:tcW w:w="360" w:type="dxa"/>
            <w:vAlign w:val="bottom"/>
            <w:gridSpan w:val="4"/>
            <w:vMerge w:val="continue"/>
          </w:tcPr>
          <w:p>
            <w:pPr>
              <w:spacing w:after="0"/>
              <w:rPr>
                <w:sz w:val="14"/>
                <w:szCs w:val="14"/>
                <w:color w:val="auto"/>
              </w:rPr>
            </w:pPr>
          </w:p>
        </w:tc>
        <w:tc>
          <w:tcPr>
            <w:tcW w:w="8320" w:type="dxa"/>
            <w:vAlign w:val="bottom"/>
            <w:gridSpan w:val="17"/>
            <w:vMerge w:val="continue"/>
          </w:tcPr>
          <w:p>
            <w:pPr>
              <w:spacing w:after="0"/>
              <w:rPr>
                <w:sz w:val="14"/>
                <w:szCs w:val="14"/>
                <w:color w:val="auto"/>
              </w:rPr>
            </w:pP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w:t>
            </w:r>
          </w:p>
        </w:tc>
        <w:tc>
          <w:tcPr>
            <w:tcW w:w="83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4660" w:type="dxa"/>
            <w:vAlign w:val="bottom"/>
            <w:gridSpan w:val="6"/>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Redeemable Noncontrolling Interest, Convertible Preferred</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and Shareholders’ Equity (Deficit)</w:t>
            </w:r>
          </w:p>
        </w:tc>
        <w:tc>
          <w:tcPr>
            <w:tcW w:w="4920" w:type="dxa"/>
            <w:vAlign w:val="bottom"/>
            <w:tcBorders>
              <w:top w:val="single" w:sz="8" w:color="0000EE"/>
            </w:tcBorders>
            <w:gridSpan w:val="6"/>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3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2.</w:t>
            </w:r>
          </w:p>
        </w:tc>
        <w:tc>
          <w:tcPr>
            <w:tcW w:w="83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3.</w:t>
            </w:r>
          </w:p>
        </w:tc>
        <w:tc>
          <w:tcPr>
            <w:tcW w:w="83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980" w:type="dxa"/>
            <w:vAlign w:val="bottom"/>
            <w:tcBorders>
              <w:left w:val="single" w:sz="8" w:color="0000EE"/>
            </w:tcBorders>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4.</w:t>
            </w:r>
          </w:p>
        </w:tc>
        <w:tc>
          <w:tcPr>
            <w:tcW w:w="83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83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39"/>
        </w:trPr>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300" w:type="dxa"/>
            <w:vAlign w:val="bottom"/>
            <w:gridSpan w:val="3"/>
          </w:tcPr>
          <w:p>
            <w:pPr>
              <w:spacing w:after="0"/>
              <w:rPr>
                <w:sz w:val="24"/>
                <w:szCs w:val="24"/>
                <w:color w:val="auto"/>
              </w:rPr>
            </w:pPr>
          </w:p>
        </w:tc>
        <w:tc>
          <w:tcPr>
            <w:tcW w:w="18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44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80" w:type="dxa"/>
            <w:vAlign w:val="bottom"/>
            <w:gridSpan w:val="2"/>
          </w:tcPr>
          <w:p>
            <w:pPr>
              <w:spacing w:after="0"/>
              <w:rPr>
                <w:sz w:val="18"/>
                <w:szCs w:val="18"/>
                <w:color w:val="auto"/>
              </w:rPr>
            </w:pPr>
          </w:p>
        </w:tc>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7420" w:type="dxa"/>
            <w:vAlign w:val="bottom"/>
            <w:gridSpan w:val="15"/>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2.</w:t>
            </w:r>
          </w:p>
        </w:tc>
        <w:tc>
          <w:tcPr>
            <w:tcW w:w="83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3.</w:t>
            </w:r>
          </w:p>
        </w:tc>
        <w:tc>
          <w:tcPr>
            <w:tcW w:w="83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600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4.</w:t>
            </w:r>
          </w:p>
        </w:tc>
        <w:tc>
          <w:tcPr>
            <w:tcW w:w="83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560" w:type="dxa"/>
            <w:vAlign w:val="bottom"/>
            <w:gridSpan w:val="1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5.</w:t>
            </w:r>
          </w:p>
        </w:tc>
        <w:tc>
          <w:tcPr>
            <w:tcW w:w="83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2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6.</w:t>
            </w:r>
          </w:p>
        </w:tc>
        <w:tc>
          <w:tcPr>
            <w:tcW w:w="83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safe harbor provisions of the Private Securities Litigation Reform Act of 1995.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 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Quarterly Report on Form 10-Q may include, for example, statements about:</w:t>
      </w:r>
    </w:p>
    <w:p>
      <w:pPr>
        <w:spacing w:after="0" w:line="192"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product candidates and their related benefits;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potential benefits or limitations of competing products both in development and approved;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our vision and strategy;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key events and initiation of our studies and release of clinical data;</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general acceptability and maintenance of our products by regulatory authorities, payors, physicians, and patients;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future operating expenses,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operations, including funds that may be necessary to complete development of our product candidates;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have not completed any clinical trials, and have no products approved for commercial sale;</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have incurred significant losses since inception, and expect to incur significant losses for the foreseeable future and may not be able to achieve or sustain profitability in the future;</w:t>
      </w:r>
    </w:p>
    <w:p>
      <w:pPr>
        <w:spacing w:after="0" w:line="161"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require substantial additional capital to finance our operations, and if we are unable to raise such capital when needed or on acceptable terms, we may be forced to delay, reduce, and/or eliminate one or more of our development programs or future commercialization efforts;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existing contracts;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contract development manufacturing organizations for the manufacture of clinical materials;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products, and any related restrictions or limitations of any approved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general economic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growth;</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from other companies;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the ability to adequately protect our intellectual property rights.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and other factors that could cause actual results to differ from those implied by the forward-looking statements in this Quarterly Report on Form 10-Q are more fully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Company’s Registration Statement on Form 10-K filed with the SEC on March 28, 2024. New risk factors emerge from time to time and it is not possible to predict all such risk factors, nor can Zura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Zura or persons acting on its behalf are expressly qualified in their entirety by the foregoing cautionary statements. Zura undertakes no obligations to update or revise publicly any forward-looking statements, whether as a result of new information, future events or otherwise, except as required by law.</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statements of belief and similar statements reflect the beliefs and opinions of Zura on the relevant subject. These statements are based upon information available to Zura as of the date of this Quarterly Report on Form 10-Q, and while Zura believes such information forms a reasonable basis for such statements, such information may be limited or incomplete, and statements should not be read to indicate that Zura has conducted an exhaustive inquiry into, or review of, all potentially available relevant information. These statements are inherently uncertain and you should not put undue reliance on these statements, including, for example, statements about:</w:t>
      </w:r>
    </w:p>
    <w:p>
      <w:pPr>
        <w:spacing w:after="0" w:line="183"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liquidity and trading of our public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attraction and retention of qualified directors, officers, employees, and key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a highly competitive market;</w:t>
      </w:r>
    </w:p>
    <w:p>
      <w:pPr>
        <w:spacing w:after="0" w:line="225" w:lineRule="exact"/>
        <w:rPr>
          <w:rFonts w:ascii="Times New Roman" w:cs="Times New Roman" w:eastAsia="Times New Roman" w:hAnsi="Times New Roman"/>
          <w:sz w:val="18"/>
          <w:szCs w:val="18"/>
          <w:color w:val="auto"/>
        </w:rPr>
      </w:pPr>
    </w:p>
    <w:p>
      <w:pPr>
        <w:ind w:left="680" w:right="96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from larger pharmaceutical and biotechnology companies that have greater resources, technology, relationships, and/or expertise;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protect and enhance our corporate reputation and brand;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from future regulatory, judicial, and legislative changes in our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any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research, discover and develop additional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not infringe on the rights of others;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business plans and strategy;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factors set forth in our documents filed, or to be filed, with the SEC.</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the management of Zura prove incorrect, actual results may vary in material respects from those projected in these forward-looking statements.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Zura or other matters addressed in this Quarterly Report on Form 10-Q and attributable to Zura or any person acting on their behalf are expressly qualified in their entirety by the cautionary statements contained or referred to in this Quarterly Report on Form 10-Q. Except to the extent required by applicable law or regulations, Zura undertakes no obligation to update these forward-looking statements to reflect events or circumstances after the date of this Quarterly Report on Form 10-Q or to reflect the occurrence of unanticipated events.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90,483</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shares, $0.0001 par value, 1,000,000 authorized as of March 31, 2024, and December 31,</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 -0- issued and outstanding as of March 31, 2024, and December 31, 2023</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300,000,000 authorized, 43,593,678 issued and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as of March 31, 2024, and December 31, 2023</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(111,241)</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Zura Bio Limited shareholders’ equity</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62,550</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60,871</w:t>
            </w:r>
          </w:p>
        </w:tc>
        <w:tc>
          <w:tcPr>
            <w:tcW w:w="0" w:type="dxa"/>
            <w:vAlign w:val="bottom"/>
          </w:tcPr>
          <w:p>
            <w:pPr>
              <w:spacing w:after="0"/>
              <w:rPr>
                <w:sz w:val="1"/>
                <w:szCs w:val="1"/>
                <w:color w:val="auto"/>
              </w:rPr>
            </w:pPr>
          </w:p>
        </w:tc>
      </w:tr>
      <w:tr>
        <w:trPr>
          <w:trHeight w:val="210"/>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shareholders’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90,483</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11"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22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(income)/expense</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note payable</w:t>
            </w: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(income)/expense, net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redeemable noncontrolling interest</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redeemable noncontrolling interest to redemption value</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Adjustment of redeemable noncontrolling interest from redemption value to carrying value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Class A Ordinary Shareholders of Zura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Class A Ordinary Shareholders of Zura, basic and diluted</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vMerge w:val="continue"/>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20" w:type="dxa"/>
            <w:vAlign w:val="bottom"/>
            <w:vMerge w:val="continue"/>
          </w:tcPr>
          <w:p>
            <w:pPr>
              <w:spacing w:after="0"/>
              <w:rPr>
                <w:sz w:val="17"/>
                <w:szCs w:val="17"/>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Class A Ordinary Shares used in computing net loss per share attributable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 Class A Ordinary Shareholders of Zura, basic and diluted</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46,914,542</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3,551,906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117" w:lineRule="exact"/>
        <w:rPr>
          <w:sz w:val="20"/>
          <w:szCs w:val="20"/>
          <w:color w:val="auto"/>
        </w:rPr>
      </w:pPr>
    </w:p>
    <w:p>
      <w:pPr>
        <w:jc w:val="center"/>
        <w:ind w:left="1160" w:right="220"/>
        <w:spacing w:after="0" w:line="263"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Convertible Preferred Shares, and Shareholders’ Equity (Deficit)</w:t>
      </w:r>
    </w:p>
    <w:p>
      <w:pPr>
        <w:spacing w:after="0" w:line="1" w:lineRule="exact"/>
        <w:rPr>
          <w:sz w:val="20"/>
          <w:szCs w:val="20"/>
          <w:color w:val="auto"/>
        </w:rPr>
      </w:pPr>
    </w:p>
    <w:p>
      <w:pPr>
        <w:ind w:left="480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841"/>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59" w:lineRule="exact"/>
        <w:rPr>
          <w:sz w:val="20"/>
          <w:szCs w:val="20"/>
          <w:color w:val="auto"/>
        </w:rPr>
      </w:pPr>
    </w:p>
    <w:tbl>
      <w:tblPr>
        <w:tblLayout w:type="fixed"/>
        <w:tblInd w:w="1" w:type="dxa"/>
        <w:tblCellMar>
          <w:top w:w="0" w:type="dxa"/>
          <w:left w:w="0" w:type="dxa"/>
          <w:bottom w:w="0" w:type="dxa"/>
          <w:right w:w="0" w:type="dxa"/>
        </w:tblCellMar>
      </w:tblPr>
      <w:tr>
        <w:trPr>
          <w:trHeight w:val="39"/>
        </w:trPr>
        <w:tc>
          <w:tcPr>
            <w:tcW w:w="1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7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3"/>
                <w:szCs w:val="3"/>
                <w:color w:val="auto"/>
              </w:rPr>
            </w:pPr>
          </w:p>
        </w:tc>
        <w:tc>
          <w:tcPr>
            <w:tcW w:w="1120" w:type="dxa"/>
            <w:vAlign w:val="bottom"/>
            <w:gridSpan w:val="3"/>
            <w:vMerge w:val="restart"/>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3"/>
                <w:szCs w:val="3"/>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1"/>
        </w:trPr>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700" w:type="dxa"/>
            <w:vAlign w:val="bottom"/>
            <w:gridSpan w:val="6"/>
            <w:vMerge w:val="continue"/>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11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700" w:type="dxa"/>
            <w:vAlign w:val="bottom"/>
            <w:gridSpan w:val="6"/>
          </w:tcPr>
          <w:p>
            <w:pPr>
              <w:jc w:val="center"/>
              <w:ind w:right="80"/>
              <w:spacing w:after="0" w:line="176" w:lineRule="exact"/>
              <w:rPr>
                <w:sz w:val="20"/>
                <w:szCs w:val="20"/>
                <w:color w:val="auto"/>
              </w:rPr>
            </w:pPr>
            <w:r>
              <w:rPr>
                <w:rFonts w:ascii="Times New Roman" w:cs="Times New Roman" w:eastAsia="Times New Roman" w:hAnsi="Times New Roman"/>
                <w:sz w:val="14"/>
                <w:szCs w:val="14"/>
                <w:b w:val="1"/>
                <w:bCs w:val="1"/>
                <w:color w:val="auto"/>
                <w:w w:val="96"/>
              </w:rPr>
              <w:t>Shares</w:t>
            </w:r>
            <w:r>
              <w:rPr>
                <w:rFonts w:ascii="Times New Roman" w:cs="Times New Roman" w:eastAsia="Times New Roman" w:hAnsi="Times New Roman"/>
                <w:sz w:val="20"/>
                <w:szCs w:val="20"/>
                <w:color w:val="auto"/>
                <w:w w:val="96"/>
                <w:vertAlign w:val="superscript"/>
              </w:rPr>
              <w:t>(1)</w:t>
            </w:r>
          </w:p>
        </w:tc>
        <w:tc>
          <w:tcPr>
            <w:tcW w:w="80" w:type="dxa"/>
            <w:vAlign w:val="bottom"/>
            <w:tcBorders>
              <w:left w:val="single" w:sz="8" w:color="auto"/>
            </w:tcBorders>
          </w:tcPr>
          <w:p>
            <w:pPr>
              <w:spacing w:after="0"/>
              <w:rPr>
                <w:sz w:val="15"/>
                <w:szCs w:val="15"/>
                <w:color w:val="auto"/>
              </w:rPr>
            </w:pPr>
          </w:p>
        </w:tc>
        <w:tc>
          <w:tcPr>
            <w:tcW w:w="1580" w:type="dxa"/>
            <w:vAlign w:val="bottom"/>
            <w:gridSpan w:val="5"/>
          </w:tcPr>
          <w:p>
            <w:pPr>
              <w:jc w:val="center"/>
              <w:ind w:right="140"/>
              <w:spacing w:after="0" w:line="176" w:lineRule="exact"/>
              <w:rPr>
                <w:sz w:val="20"/>
                <w:szCs w:val="20"/>
                <w:color w:val="auto"/>
              </w:rPr>
            </w:pPr>
            <w:r>
              <w:rPr>
                <w:rFonts w:ascii="Times New Roman" w:cs="Times New Roman" w:eastAsia="Times New Roman" w:hAnsi="Times New Roman"/>
                <w:sz w:val="14"/>
                <w:szCs w:val="14"/>
                <w:b w:val="1"/>
                <w:bCs w:val="1"/>
                <w:color w:val="auto"/>
                <w:w w:val="99"/>
              </w:rPr>
              <w:t>Ordinary Shares</w:t>
            </w:r>
            <w:r>
              <w:rPr>
                <w:rFonts w:ascii="Times New Roman" w:cs="Times New Roman" w:eastAsia="Times New Roman" w:hAnsi="Times New Roman"/>
                <w:sz w:val="20"/>
                <w:szCs w:val="20"/>
                <w:color w:val="auto"/>
                <w:w w:val="99"/>
                <w:vertAlign w:val="superscript"/>
              </w:rPr>
              <w:t>(1)</w:t>
            </w:r>
          </w:p>
        </w:tc>
        <w:tc>
          <w:tcPr>
            <w:tcW w:w="8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3"/>
            <w:vMerge w:val="continue"/>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0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94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7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6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67"/>
        </w:trPr>
        <w:tc>
          <w:tcPr>
            <w:tcW w:w="190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as of December</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left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18,680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43,593,678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162,820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(103,494)</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left w:val="single" w:sz="8" w:color="auto"/>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lef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(7,747)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 of redeemable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left w:val="single" w:sz="8" w:color="auto"/>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from redemption value to</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carrying value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(7,017)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lef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900" w:type="dxa"/>
            <w:vAlign w:val="bottom"/>
            <w:vMerge w:val="continue"/>
          </w:tcPr>
          <w:p>
            <w:pPr>
              <w:spacing w:after="0"/>
              <w:rPr>
                <w:sz w:val="14"/>
                <w:szCs w:val="14"/>
                <w:color w:val="auto"/>
              </w:rPr>
            </w:pPr>
          </w:p>
        </w:tc>
        <w:tc>
          <w:tcPr>
            <w:tcW w:w="80" w:type="dxa"/>
            <w:vAlign w:val="bottom"/>
            <w:vMerge w:val="restart"/>
          </w:tcPr>
          <w:p>
            <w:pPr>
              <w:spacing w:after="0"/>
              <w:rPr>
                <w:sz w:val="14"/>
                <w:szCs w:val="14"/>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11,663</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tcPr>
          <w:p>
            <w:pPr>
              <w:spacing w:after="0"/>
              <w:rPr>
                <w:sz w:val="14"/>
                <w:szCs w:val="14"/>
                <w:color w:val="auto"/>
              </w:rPr>
            </w:pPr>
          </w:p>
        </w:tc>
        <w:tc>
          <w:tcPr>
            <w:tcW w:w="80" w:type="dxa"/>
            <w:vAlign w:val="bottom"/>
            <w:tcBorders>
              <w:left w:val="single" w:sz="8" w:color="auto"/>
            </w:tcBorders>
            <w:vMerge w:val="restart"/>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43,593,678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172,246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(111,241)</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1,541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62,550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0" w:type="dxa"/>
            <w:vAlign w:val="bottom"/>
            <w:tcBorders>
              <w:left w:val="single" w:sz="8" w:color="auto"/>
            </w:tcBorders>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9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left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31, 2022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10,000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13,510,415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12,500</w:t>
            </w:r>
          </w:p>
        </w:tc>
        <w:tc>
          <w:tcPr>
            <w:tcW w:w="80" w:type="dxa"/>
            <w:vAlign w:val="bottom"/>
          </w:tcPr>
          <w:p>
            <w:pPr>
              <w:spacing w:after="0"/>
              <w:rPr>
                <w:sz w:val="18"/>
                <w:szCs w:val="18"/>
                <w:color w:val="auto"/>
              </w:rPr>
            </w:pPr>
          </w:p>
        </w:tc>
        <w:tc>
          <w:tcPr>
            <w:tcW w:w="88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279,720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(32,056)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(32,056)</w:t>
            </w:r>
          </w:p>
        </w:tc>
        <w:tc>
          <w:tcPr>
            <w:tcW w:w="0" w:type="dxa"/>
            <w:vAlign w:val="bottom"/>
          </w:tcPr>
          <w:p>
            <w:pPr>
              <w:spacing w:after="0"/>
              <w:rPr>
                <w:sz w:val="1"/>
                <w:szCs w:val="1"/>
                <w:color w:val="auto"/>
              </w:rPr>
            </w:pPr>
          </w:p>
        </w:tc>
      </w:tr>
      <w:tr>
        <w:trPr>
          <w:trHeight w:val="206"/>
        </w:trPr>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A-1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convertible preferred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as license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80" w:type="dxa"/>
            <w:vAlign w:val="bottom"/>
          </w:tcPr>
          <w:p>
            <w:pPr>
              <w:spacing w:after="0"/>
              <w:rPr>
                <w:sz w:val="18"/>
                <w:szCs w:val="18"/>
                <w:color w:val="auto"/>
              </w:rPr>
            </w:pPr>
          </w:p>
        </w:tc>
        <w:tc>
          <w:tcPr>
            <w:tcW w:w="80" w:type="dxa"/>
            <w:vAlign w:val="bottom"/>
            <w:tcBorders>
              <w:left w:val="single" w:sz="8" w:color="auto"/>
            </w:tcBorders>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Series A-1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left w:val="single" w:sz="8" w:color="auto"/>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convertible preferred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to Class A</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Ordinary Shares in</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connection with Business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Combination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(13,778,354)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8"/>
              </w:rPr>
              <w:t>(14,686)</w:t>
            </w:r>
          </w:p>
        </w:tc>
        <w:tc>
          <w:tcPr>
            <w:tcW w:w="88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13,778,354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A</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Ordinary Shares 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connection with Business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Combination, including</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PIPE Investment,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Purchase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and Backstop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 of $4.0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million of transaction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12,444,081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Class A</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left w:val="single" w:sz="8" w:color="auto"/>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Ordinary Shares to settle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license consideration</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liability</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public</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warrant liability to equity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left w:val="single" w:sz="8" w:color="auto"/>
            </w:tcBorders>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left w:val="single" w:sz="8" w:color="auto"/>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lef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(203)</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of redeemable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left w:val="single" w:sz="8" w:color="auto"/>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 to</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redemption value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tcBorders>
              <w:left w:val="single" w:sz="8" w:color="auto"/>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900" w:type="dxa"/>
            <w:vAlign w:val="bottom"/>
            <w:vMerge w:val="continue"/>
          </w:tcPr>
          <w:p>
            <w:pPr>
              <w:spacing w:after="0"/>
              <w:rPr>
                <w:sz w:val="14"/>
                <w:szCs w:val="14"/>
                <w:color w:val="auto"/>
              </w:rPr>
            </w:pPr>
          </w:p>
        </w:tc>
        <w:tc>
          <w:tcPr>
            <w:tcW w:w="80" w:type="dxa"/>
            <w:vAlign w:val="bottom"/>
            <w:vMerge w:val="restart"/>
          </w:tcPr>
          <w:p>
            <w:pPr>
              <w:spacing w:after="0"/>
              <w:rPr>
                <w:sz w:val="14"/>
                <w:szCs w:val="14"/>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10,000</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tcPr>
          <w:p>
            <w:pPr>
              <w:spacing w:after="0"/>
              <w:rPr>
                <w:sz w:val="14"/>
                <w:szCs w:val="14"/>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lef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27,052,155</w:t>
            </w:r>
          </w:p>
        </w:tc>
        <w:tc>
          <w:tcPr>
            <w:tcW w:w="140" w:type="dxa"/>
            <w:vAlign w:val="bottom"/>
          </w:tcPr>
          <w:p>
            <w:pPr>
              <w:spacing w:after="0"/>
              <w:rPr>
                <w:sz w:val="14"/>
                <w:szCs w:val="14"/>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40" w:type="dxa"/>
            <w:vAlign w:val="bottom"/>
          </w:tcPr>
          <w:p>
            <w:pPr>
              <w:spacing w:after="0"/>
              <w:rPr>
                <w:sz w:val="14"/>
                <w:szCs w:val="14"/>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69,703</w:t>
            </w:r>
          </w:p>
        </w:tc>
        <w:tc>
          <w:tcPr>
            <w:tcW w:w="16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(41,851)</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27,855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880" w:type="dxa"/>
            <w:vAlign w:val="bottom"/>
            <w:tcBorders>
              <w:left w:val="single" w:sz="8" w:color="auto"/>
            </w:tcBorders>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1" w:right="20" w:hanging="1"/>
        <w:spacing w:after="0" w:line="231" w:lineRule="auto"/>
        <w:tabs>
          <w:tab w:leader="none" w:pos="209"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Company’s convertible preferred shares and Class A Ordinary Shares prior to the closing of the Business Combination (as defined in Note 1) have been retroactively restated to reflect the exchange ratio of approximately 108.083 established in the Business Combination Agreement as described in Note 6.</w:t>
      </w:r>
    </w:p>
    <w:p>
      <w:pPr>
        <w:spacing w:after="0" w:line="198" w:lineRule="exact"/>
        <w:rPr>
          <w:sz w:val="20"/>
          <w:szCs w:val="20"/>
          <w:color w:val="auto"/>
        </w:rPr>
      </w:pPr>
    </w:p>
    <w:p>
      <w:pPr>
        <w:ind w:left="2261"/>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ectPr>
          <w:pgSz w:w="11900" w:h="16838" w:orient="portrait"/>
          <w:cols w:equalWidth="0" w:num="1">
            <w:col w:w="10221"/>
          </w:cols>
          <w:pgMar w:left="839" w:top="513" w:right="839" w:bottom="916"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374650</wp:posOffset>
            </wp:positionV>
            <wp:extent cx="64808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21"/>
          </w:cols>
          <w:pgMar w:left="839" w:top="513" w:right="839" w:bottom="916"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18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Net loss before redeemable noncontrolling interest</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(7,747)</w:t>
            </w:r>
          </w:p>
        </w:tc>
        <w:tc>
          <w:tcPr>
            <w:tcW w:w="5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Anti-dilution share issuance compensation</w:t>
            </w:r>
          </w:p>
        </w:tc>
        <w:tc>
          <w:tcPr>
            <w:tcW w:w="8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fair value of share-based payment liability</w:t>
            </w:r>
          </w:p>
        </w:tc>
        <w:tc>
          <w:tcPr>
            <w:tcW w:w="8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 in fair value of note payable</w:t>
            </w:r>
          </w:p>
        </w:tc>
        <w:tc>
          <w:tcPr>
            <w:tcW w:w="8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fair value of private placement warrants</w:t>
            </w:r>
          </w:p>
        </w:tc>
        <w:tc>
          <w:tcPr>
            <w:tcW w:w="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 exchange transaction (gain)/loss</w:t>
            </w:r>
          </w:p>
        </w:tc>
        <w:tc>
          <w:tcPr>
            <w:tcW w:w="8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86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8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research and development license</w:t>
            </w:r>
          </w:p>
        </w:tc>
        <w:tc>
          <w:tcPr>
            <w:tcW w:w="86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of note payable</w:t>
            </w:r>
          </w:p>
        </w:tc>
        <w:tc>
          <w:tcPr>
            <w:tcW w:w="8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Class A Ordinary Shares upon Closing of Business Combination</w:t>
            </w:r>
          </w:p>
        </w:tc>
        <w:tc>
          <w:tcPr>
            <w:tcW w:w="8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deferred transaction costs</w:t>
            </w:r>
          </w:p>
        </w:tc>
        <w:tc>
          <w:tcPr>
            <w:tcW w:w="8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(decrease)/increase in cash and cash equivalents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99,806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89,817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taxes</w:t>
            </w:r>
          </w:p>
        </w:tc>
        <w:tc>
          <w:tcPr>
            <w:tcW w:w="8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8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A-1 convertible preferred shares for license</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Series A-1 convertible preferred shares for Class A Ordinary Shares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Adjustment of redeemable noncontrolling interest from redemption value to carrying value</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7,017</w:t>
            </w:r>
          </w:p>
        </w:tc>
        <w:tc>
          <w:tcPr>
            <w:tcW w:w="100" w:type="dxa"/>
            <w:vAlign w:val="bottom"/>
          </w:tcPr>
          <w:p>
            <w:pPr>
              <w:spacing w:after="0"/>
              <w:rPr>
                <w:sz w:val="17"/>
                <w:szCs w:val="17"/>
                <w:color w:val="auto"/>
              </w:rPr>
            </w:pPr>
          </w:p>
        </w:tc>
        <w:tc>
          <w:tcPr>
            <w:tcW w:w="5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and equipment included in accounts payable and accrued expenses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Assumption of public and private placement warrants in connection with Business Combination</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Reclassification of public warrant liability to equity</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Settlement of research and development license consideration liability</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Transaction costs included in accounts payable and accrued expenses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deferred offering costs to additional paid-in capital</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4,015</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share and per share data)</w:t>
      </w:r>
    </w:p>
    <w:p>
      <w:pPr>
        <w:spacing w:after="0" w:line="225" w:lineRule="exact"/>
        <w:rPr>
          <w:sz w:val="20"/>
          <w:szCs w:val="20"/>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Zura Bio Limited, a Cayman Islands exempted company, formerly known as JATT Acquisition Corp (“JATT”), together with its subsidiaries (collectively, the “Company” or “Zura” or “Zura Bio”), is a clinical-stage biotechnology company advancing immunology assets into Phase 2 development programs, including ZB-168, a fully anti-IL7Ra monoclonal antibody, which it has licensed from Pfizer, Inc. (“Pfizer”), as well as torudokimab (ZB-880), a high affinity monoclonal antibody, and tibulizumab (ZB-106), a bispecific antibody relating to IL-17 and BAFF, which it has licensed from Eli Lilly and Company (“Lilly”). The Company’s accounting predecessor, Zura Bio Limited (herein referred to as “Legacy Zura”), was formed in the United Kingdom (“UK”) on January 18, 2022 (“Inception”).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20, 2023 (the “Closing Date”), the Company consummated the previously announced business combination (the “Business Combination”), pursuant to the terms of a business combination agreement (the “Business Combination Agreement”), dated as of June 16, 2022 (as amended on September 20, 2022, November 14, 2022, and January 13, 2023), by and among JATT, JATT Merger Sub, JATT Merger Sub 2, Zura Bio Holdings Ltd. (“Holdco”), and Legacy Zura. Pursuant to the Business Combination Agreement, (a) before the closing of the Business Combination, Holdco was established as a new holding company of Legacy Zura and became a party to the Business Combination Agreement; and (b) on the Closing, in sequential order: (i) Merger Sub merged with and into Holdco, with Holdco continuing as the surviving company and a wholly owned subsidiary of JATT; (ii) immediately following the Merger, Holdco merged with and into Merger Sub 2, with Merger Sub 2 continuing as the surviving company and a wholly owned subsidiary of JATT; and (iii) JATT changed its name to “Zura Bio Limited”.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Combination has been accounted for as a reverse recapitalization, with Legacy Zura being the accounting acquirer and JATT as the acquired company for accounting purposes. Accordingly, all historical financial information presented in the unaudited condensed consolidated financial statements represent the accounts of Legacy Zura. The shares and net loss per share attributable to ordinary shareholders of Legacy Zura prior to the Closing Date have been retroactively restated as shares reflecting the exchange ratio established in the Business Combination Agreement.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JATT’s public shares, public warrants, and public units were listed on the New York Stock Exchange (“NYSE”) under the symbols “JATT,” “JATT.WS,” and “JATT.U,” respectively. On March 20, 2023, the Company’s Class A ordinary shares (“Class A Ordinary Shares”) and public warrants began trading on the Nasdaq under the symbols “ZURA” and “ZURAW,”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the extended transition period for complying with new or revised accounting standards, and as a result of this election, the consolidated financial statements may not be comparable to companies that comply with public company Financial Accounting Standards Board (“FASB”) standards’ effective dates. The Company may take advantage of these exemptions up until the last day of the fiscal year following the fifth anniversary of an offering or such earlier time that it is no longer an emerging growth company. The Company expects to no longer be an emerging growth company effective December 31, 2026.</w:t>
      </w:r>
    </w:p>
    <w:p>
      <w:pPr>
        <w:spacing w:after="0" w:line="188" w:lineRule="exact"/>
        <w:rPr>
          <w:sz w:val="20"/>
          <w:szCs w:val="20"/>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(the “condensed consolidated financial statements”) have been prepared in conformity with accounting principles generally accepted in the United States of America (“U.S. GAAP”) and include the accounts of its consolidated subsidiaries. Other shareholders’ interests in the Company’s subsidiaries, Z33 Bio, Inc. (“Z33”) and ZB17</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LLC (“ZB17”), are shown in the condensed consolidated financial statements as redeemable noncontrolling interest and noncontrolling interest, respectively. All intercompany balances and transactions have been eliminated in consolidation. If necessary, reclassification of amounts previously reported have been made in the accompanying condensed consolidated financial statements in order to conform to current presentation.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U.S. GAAP applicable to interim financial statements. These condensed consolidated financial statements are presented in accordance with the rules and regulations of the U.S. Securities and Exchange Commission (“SEC”) and do not include all disclosures normally required in annual consolidated financial statements prepared in accordance with U.S. GAAP. As such, the information included herein should be read in conjunction with the Company’s consolidated financial statements and accompanying notes as of and for the year ended December 31, 2023 (the “audited consolidated financial statements”) that were included in the Company’s Form 10-K filed with the SEC on March 28, 2024. In management’s opinion, these unaudited condensed consolidated financial statements have been prepared on the same basis as the annual consolidated financial statements and reflect all adjustments, which include normal recurring adjustments, necessary for the fair statement of the Company’s financial position as of March 31, 2024, and the results of operations for the three months ended March 31, 2024, and 2023. The results of operations for the three months ended March 31, 2024, are not necessarily indicative of the results to be expected for the full year ending December 31, 2024, or any other future interim or annual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addition of property and equipment, there have been no significant changes in the Company’s significant accounting policies from those that were disclosed in Note 2, Summary of Significant Accounting Policies, included in the Company’s consolidated financial statements in Form 10-K filed with the SEC on March 28,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the Company’s management to make estimates and assumptions that affect the reported amounts of assets and liabilities and disclosure of contingent assets and liabilities at the date of the condensed consolidated financial statements, as well as the reported amounts of expenses during the reporting period. Actual results could differ from those estimates. Significant estimates and assumptions reflected in the condensed consolidated financial statements relate to and include, but are not limited to, the fair value of Class A Ordinary Shares and other assumptions used to measure share-based compensation, the fair value of redeemable noncontrolling interest, and the fair value of public and private placement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early-stage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future product candidates will require approvals from the U.S. Food and Drug Administration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 adverse impact on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significant cash balances at financial institutions which throughout the year regularly exceed the federally insured limit of $250,000. Any loss incurred or a lack of access to such funds could have a significant adverse impact on the Company’s financial condition,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estimated useful life of each asset. Computer and office equipment are depreciated over three years. Expenditures for repairs and maintenance are recorded to expense as incurred.</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Class A Ordinary Shareholders by the weighted-average number of Class A Ordinary Shares outstanding during the period. Diluted net loss per share excludes the potential impact of the Company’s convertible preferred shares and options to purchase Class A Ordinary Shares because their effect would be anti-dilutive due to the Company’s net loss for the period presented. Since the Company had a net loss in the period presented, basic and diluted net loss per share are the same.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provides potentially dilutive securities not included in the calculation of the diluted net loss per share because to do so would be anti-dilutive: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0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the Warrants to purchase Class A Ordinary Shares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12,809,996</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12,809,996</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exercise of options to purchase Class A Ordinary Shares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7,108,188</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1,941,933</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Z33 Series Seed Preferred Shares Put Right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1,421,473</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499,993</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 Awards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374,995</w:t>
            </w:r>
          </w:p>
        </w:tc>
        <w:tc>
          <w:tcPr>
            <w:tcW w:w="2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23,714,652</w:t>
            </w:r>
          </w:p>
        </w:tc>
        <w:tc>
          <w:tcPr>
            <w:tcW w:w="2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15,251,922</w:t>
            </w:r>
          </w:p>
        </w:tc>
      </w:tr>
      <w:tr>
        <w:trPr>
          <w:trHeight w:val="20"/>
        </w:trPr>
        <w:tc>
          <w:tcPr>
            <w:tcW w:w="7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position, results of operations, or cash flows upon adoption.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(“ASU 2023-07”). ASU 2023-07 requires disclosure of significant segment expenses that are regularly provided to the chief operating decision maker and included within the segment measure of profit or loss. This guidance will be applied retrospectively and is effective for annual reporting periods in fiscal years beginning after December 15, 2023, and interim reporting periods in fiscal years beginning after December 31, 2024. The Company does not expect implementation of the new guidance to have a material impact on its consolidated financial statements and disclosures.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requires annual disclosures of specific categories in the rate reconciliation, additional information for reconciling items that meet a quantitative threshold and a disaggregation of income taxes paid, net of refunds. ASU 2023-09 also eliminates certain existing disclosure requirements related to uncertain tax positions and unrecognized deferred tax liabilities. ASU 2023-09 is effective for the Company beginning with the 2025 Annual Report on Form 10-K. Early adoption is permitted. ASU 2023-09 should be applied prospectively. Retrospective adoption is permitted. The Company is currently assessing the impact this standard will have on the Company’s consolidated financial statements.</w:t>
      </w:r>
    </w:p>
    <w:p>
      <w:pPr>
        <w:spacing w:after="0" w:line="185"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ind w:lef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identical or similar assets or liabilities in markets that are not active, or other inputs that are observable or can be corroborated by observable market data for substantially the full term of the related assets or liabilities; and</w:t>
      </w:r>
    </w:p>
    <w:p>
      <w:pPr>
        <w:spacing w:after="0" w:line="171" w:lineRule="exact"/>
        <w:rPr>
          <w:sz w:val="20"/>
          <w:szCs w:val="20"/>
          <w:color w:val="auto"/>
        </w:rPr>
      </w:pPr>
    </w:p>
    <w:p>
      <w:pPr>
        <w:jc w:val="both"/>
        <w:ind w:left="44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significant to the measurement of the fair value of the assets or liabilities that are supported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little or no market data.</w:t>
      </w:r>
    </w:p>
    <w:p>
      <w:pPr>
        <w:sectPr>
          <w:pgSz w:w="11900" w:h="16838" w:orient="portrait"/>
          <w:cols w:equalWidth="0" w:num="1">
            <w:col w:w="9920"/>
          </w:cols>
          <w:pgMar w:left="980" w:top="513" w:right="99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consist of cash and cash equivalents, prepaid and other current assets, accounts payable and accrued expenses, and private placement warrants. The carrying values of the Company’s cash, prepaid and other current assets, and accounts payable and accrued expenses approximate their fair value due to the short-term maturity of these instruments.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measured at fair value on a recurring basis as of March 31, 2024, and December 31, 2023, and the fair value hierarchy of the valuation techniques utilized.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87,527</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360"/>
        </w:trPr>
        <w:tc>
          <w:tcPr>
            <w:tcW w:w="40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97,913</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into or out of Level 1, Level 2, or Level 3 during the three months ended March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8, 2022, the Company received $7.6 million in net proceeds from the issuance of a promissory note (the “Note”) issued to Hydra, LLC (“Hydra”) with a face amount of $8.0 million. The Note was repaid on March 20, 2023, upon the consummation of the Business Combination. The Company elected to account for the Note at fair value. Upon the Closing Date of the Business Combination, the Note was remeasured to the settlement value and subsequently repaid for a total of $10.0 million. The Company recorded a loss on remeasurement of the Note of $2.2 million for the three months ended March 31, 2023 within change in fair value of note payable in the condensed consolidated statement of operations. The Note was no longer outstanding as of March 31, 2024 and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license consideration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consideration for the 2022 Lilly License (see Note 5), Lilly agreed to receive either 550,000 Zura Class A Ordinary Shares upon the closing of the Business Combination (subject to certain lock-up provisions) or 4,702,867 shares of Z33 Series Seed Preferred Shares (the subsidiary redeemable preferred shares) if the Business Combination was not consummated. The arrangement was liability classified and remeasured at fair value at each reporting date (the research and development license consideration liability).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Closing Date of the Business Combination, the liability was remeasured to its settlement value and subsequently settled through the issuance of 550,000 Class A Ordinary Shares of Zura. The aggregate fair value of the Class A Ordinary Shares of Zura issued to Lilly was determined to be $4.5 million, or $8.16 per share. The Company recorded a loss on the remeasurement of the research and development license consideration liability of $1.9 million for the three months ended March 31, 2023 within research and development in the condensed consolidated statements of operations. The research and development license consideration liability was no longer outstanding as of March 31, 2024 and December 31,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has private placement warrants (see Note 7). Such warrants are measured at fair value on a recurring basis. Because the transfer of private placement warrants to non-permitted transferees would result in the private placement warrants having substantially the same terms as the public warrants, the Company determined that the fair value of each private placement warrant is consistent with that of a public warrant. Accordingly, the private placement warrants are classified as Level 2 financial instruments. The following table provides a summary of changes in the estimated fair value of the private placement warrants:</w:t>
      </w:r>
    </w:p>
    <w:p>
      <w:pPr>
        <w:spacing w:after="0" w:line="17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Three</w:t>
            </w:r>
          </w:p>
        </w:tc>
      </w:tr>
      <w:tr>
        <w:trPr>
          <w:trHeight w:val="148"/>
        </w:trPr>
        <w:tc>
          <w:tcPr>
            <w:tcW w:w="6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73"/>
        </w:trPr>
        <w:tc>
          <w:tcPr>
            <w:tcW w:w="66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09"/>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 loss from the change in fair value of the private placement warrants of $0.6 million and a gain from change in fair value of the private placement warrants of $0.2 million for the three months ended March 31, 2024 and 2023, respectively, within change in fair value of private placement warrants on the condensed consolidated statements of operations.</w:t>
      </w:r>
    </w:p>
    <w:p>
      <w:pPr>
        <w:spacing w:after="0" w:line="172" w:lineRule="exact"/>
        <w:rPr>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is comprised of the following as of March 31, 2024 and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2023 Lilly License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w:t>
            </w: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10"/>
        </w:trPr>
        <w:tc>
          <w:tcPr>
            <w:tcW w:w="7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20,302</w:t>
            </w:r>
          </w:p>
        </w:tc>
      </w:tr>
      <w:tr>
        <w:trPr>
          <w:trHeight w:val="20"/>
        </w:trPr>
        <w:tc>
          <w:tcPr>
            <w:tcW w:w="24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4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Comparative figures have been reclassified to conform with current period presentation.</w:t>
      </w:r>
    </w:p>
    <w:p>
      <w:pPr>
        <w:spacing w:after="0" w:line="221"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22, 2022, the Company entered into a license agreement and a Series A-1 Subscription and Shareholder’s Agreement (collectively, the “Pfizer Agreement”) with Pfizer. The Company is obligated to make 11 future development and regulatory milestone payments aggregating up to $70.0 million and sales milestone payments up to an aggregate of $525.0 million based on respective thresholds of net sales of products (developed from the licensed compound) (the “Products”). The Company will also pay an annual earned royalty at a marginal royalty rate in the mid-single digits to low double digits (less than 20%), based on thresholds of net sales of Products. Royalties are payable on a country-by-country basis for a certain period of years or upon the later expiration of regulatory exclusivity of the Company’s Products in a country.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also subject to a potential multi-million dollar transaction payment if, within a certain period the Company has</w:t>
      </w:r>
    </w:p>
    <w:p>
      <w:pPr>
        <w:spacing w:after="0" w:line="27" w:lineRule="exact"/>
        <w:rPr>
          <w:sz w:val="20"/>
          <w:szCs w:val="20"/>
          <w:color w:val="auto"/>
        </w:rPr>
      </w:pPr>
    </w:p>
    <w:p>
      <w:pPr>
        <w:jc w:val="both"/>
        <w:ind w:firstLine="8"/>
        <w:spacing w:after="0" w:line="255" w:lineRule="auto"/>
        <w:tabs>
          <w:tab w:leader="none" w:pos="2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changes in control, excluding an initial public offering or any business combination where the securities of the Company are listed on a stock exchange (e.g., a transaction with a special purpose acquisition company), or (b) the Company sublicenses or divests of its rights to the Products.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the first $1.0 million development milestone as a component of research and development in the consolidated statement of operations during the year ended December 31, 2023. This amount due is included in accounts payable and accrued expenses on the condensed consolidated balance sheet as of March 31, 2024. The Company does not owe any other amounts under the Pfizer Agreement as of March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Lonza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2022, the Company entered into a license agreement (the “Lonza License”) with Lonza Sales AG (“Lonza”)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is free to terminate the Lonza License at any time upon 60 days’ notice, with or without cause. Lonza may terminate the Lonza License for cause upon a breach by the Company or for other commercially standard reasons.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October 2023, the Company began drug substance manufacturing with a third party. As a result of manufacturing with a third party other than Lonza, under the terms of the Lonza License the first annual milestone payment of $0.4 million became due and was paid during the three months 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Lilly License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8, 2022, the Company’s consolidated subsidiary, Z33 Bio Inc.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finder’s fee in connection with arranging the acquisition, Z33 issued to Stone Peach Properties, LLC (“Stone Peach”) 4,900,222 shares of Z33 Series Seed Preferred Shares, which is included in the measurement of the cost of the acquired asset. Zura has the right, but not the obligation to purchase up to 50% of the Series Seed Preferred Shares issued to Stone Peach at a price per share of $2.448869 for a period of two years from the date of the agreement (the “Call Option”). Stone Peach has the right, but not the obligation to sell up to 50% of the Series Seed Preferred Shares issued to Stone Peach to Zura for a price per share of $2.040724 (the “Put Option”). Stone Peach may exercise its option at any time between the first anniversary and the second anniversary of the transaction. In April 2023, the Company agreed to, within six months of April 24, 2023, exercise its Call Option on 50% of the Z33 Series Seed Preferred Shares previously issued to Stone Peach. The Company agreed to settle its Call Option by issuing 2,000,000 Class A Ordinary Shares. In November 2023, the Company and Stone Peach amended the terms of the agreement, voiding the Company’s obligation to exercise its Call Option, and instead reverting the Company’s rights and obligations under the Call Option back to that of the original agreement. Stone Peach, in addition to the existing Put Option, was granted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under the new agreement.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obligated to pay $3.0 million to Lilly under the 2022 Lilly License upon the completion of a financing by the Company with gross proceeds exceeding $100 million. The Company is further obligated to make 10 commercial, development and regulatory milestone payments up to an aggregate of $155.0 million and sales milestone payments up to an aggregate of $440.0 million based on respective thresholds of net sales of products developed from the licensed compound. The Company will also pay an annual earned royalty to Lilly at a marginal royalty rate between in the mid-single to low-double digits (less than 20%), with increasing rates based on net sales in the respective calendar year, based on a percentage of sales within varying thresholds for a certain period of the year. The Company will account for these contingent payments when they become due. As of March 31, 2024, none of the contingent payments were due.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Lilly License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the Company’s newly-formed subsidiary ZB17 LLC (“ZB17”) entered into a license agreement (the “2023 Lilly License” and, together with the 2022 Lilly License, the “Lilly Licenses”) with Lilly, for an exclusive license to develop, manufacture and commercialize a certain bispecific antibody relating to IL-17 and BAFF (“ZB-106”). ZB17 made a payment of $5.0 million to Lilly during the three months ended March 31, 2024 in connection with the receipt of certain know-how, data, information and materials that Lilly was required to provide under the license agreement.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finder’s fee for arranging the acquisition of the 2023 Lilly License, ZB17 granted to Stone Peach the right, but not the obligation, to purchase 4.99% of the fully diluted equity of ZB17 for $1.0 million (the “Stone Peach Call Right”). The Stone Peach Call Right is not exercisable until after the last patient is dosed in any single next clinical trial with ZB-106 and expires one year from the date of first indication approval for ZB-106 by the FDA or the European Medicines Agency (“EMA”). The Stone Peach Call Right represents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noncontrolling interest in the Company’s subsidiary, ZB17. As of March 31, 2024, and December 31, 2023, the noncontrolling interest balance was $1.5 million.</w:t>
      </w:r>
    </w:p>
    <w:p>
      <w:pPr>
        <w:spacing w:after="0" w:line="16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As additional consideration, Stone Peach receives annual payments first of $0.6 million, and increasing by 10% annually, so long as the Company maintains its license for ZB-106 on May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each year. The Company will account for these annual payments as they become due.</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finder’s fee for arranging the acquisition of the 2023 Lilly License, the Company agreed to make a one-time milestone payment of $5.0 million to BAFFX17, Ltd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 As the Company’s fully diluted shares outstanding exceeded 52,500,000 shares prior to December 31, 2023, the $5.0 million fee was recorded in accounts payable and accrued expenses in the condensed consolidated balance sheet as of March 31, 2024 and December 31, 2023.</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obligated to make 4 development milestone payments to Lilly up to an aggregate of $155.0 million, and sales milestone payments up to an aggregate of $440 million based on respective thresholds of net sales. The Company is also obligated to pay Lilly over a multi-year period (twelve years, or upon the later expiration of regulatory exclusivity of ZB-106 in a country) an annual earned royalty at a marginal royalty rate in the mid-single digits to low-double digits, with increasing rates depending on net sales in the respective calendar year, based on a percentage of sales within varying thresholds for a certain period of years. The Company is also obligated to pay BAFFX17 a fee equal to 3% of any milestone or royalty payments due to Lilly pursuant to the terms of either the 2022 Lilly License and the 2023 Lilly License with Lilly. Upon receiving written approval from the FDA, EMA, or similar regulatory authority of the Investigational New Drug (“IND”) and commencement and the commencement of a clinical trial in the applicable jurisdiction for ZB-106, Stone Peach will also receive a one-time payment of $4.5 million. Stone Peach will also receive a one-time milestone payment of $25 million upon either (i) certain equity-related transactions, or (ii) the receipt of regulatory approval from the applicable regulatory authority for any new indication in the applicable jurisdiction. Furthermore, Stone Peach was granted a royalty of 2% of the aggregate net sales of any products developed from the licensed compound. The Company will account for these contingent payments when they become due. As of March 31, 2024, none of the contingent payments were due.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WuXi Biologics License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2023, the Company entered into a cell line license agreement (the “Cell Line License Agreement”) with WuXi Biologics and its Affiliates (“WuXi Biologics”) for certain of WuXi Biologics' know - 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If the Company manufactures all of its commercial supplies of bulk drug product for WuXi Biologics Licensed Products with a manufacturer other than WuXi Biologics or its affiliates, the Company is required to make royalty payments to WuXi Biologics in an amount equal to a fraction of a single digit percentage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 The Cell Line License Agreement will continue indefinitely unless terminated (i) by the Company upon three months’ prior written notice and its payment of all undisputed amounts due to WuXi Biologics through the effective date of termination, (ii) by WuXi Biologics for a material breach by the Company that remains uncured for 30 days after written notice, or (iii) by WuXi Biologics if the Company fails to make a payment and such failure continues for 30 days after receiving notice of such failure.</w:t>
      </w:r>
    </w:p>
    <w:p>
      <w:pPr>
        <w:spacing w:after="0" w:line="183" w:lineRule="exact"/>
        <w:rPr>
          <w:sz w:val="20"/>
          <w:szCs w:val="20"/>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Date of the Business Combination, Pfizer was issued additional Series A-1 convertible preferred shares upon the closing of the Business Combination that were immediately converted to 267,939 Class A Ordinary Shares. The shares were issued in accordance with the anti-dilution provision of the Pfizer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Closing Date and in accordance with the terms and subject to the conditions of the Business Combination, each Class A Ordinary Share of Legacy Zura, par value $0.001 per share, Series A-1 convertible preferred share, outstanding option (whether vested or unvested), and restricted share unit (whether vested or unvested) were canceled and converted into a comparable number of awards that</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consisted of either the rights to receive or acquire the Company’s Class A Ordinary Shares, par value $0.0001 per share, as determined by the exchange ratio pursuant to the Business Combination Agreement. The exchange ratio is approximately 108.083.</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16, 2023, in connection with the closing of the Business Combination and effective upon the Closing Date, the Company authorized 300,000,000 Class A Ordinary Shares, par value of $0.0001 and 1,000,000 preferred shares, par value of $0.0001.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Reserved for Issuance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shares reserved for issuance as of March 31, 2024 is summarized below:</w:t>
      </w:r>
    </w:p>
    <w:p>
      <w:pPr>
        <w:spacing w:after="0" w:line="23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9221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7" w:lineRule="exact"/>
        <w:rPr>
          <w:sz w:val="20"/>
          <w:szCs w:val="20"/>
          <w:color w:val="auto"/>
        </w:rPr>
      </w:pPr>
    </w:p>
    <w:p>
      <w:pPr>
        <w:ind w:right="2720"/>
        <w:spacing w:after="0" w:line="249" w:lineRule="auto"/>
        <w:rPr>
          <w:sz w:val="20"/>
          <w:szCs w:val="20"/>
          <w:color w:val="auto"/>
        </w:rPr>
      </w:pPr>
      <w:r>
        <w:rPr>
          <w:rFonts w:ascii="Times New Roman" w:cs="Times New Roman" w:eastAsia="Times New Roman" w:hAnsi="Times New Roman"/>
          <w:sz w:val="18"/>
          <w:szCs w:val="18"/>
          <w:color w:val="auto"/>
        </w:rPr>
        <w:t>Shares issuable upon exercise of options to purchase Class A Ordinary Shares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29221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ind w:right="2640"/>
        <w:spacing w:after="0" w:line="250" w:lineRule="auto"/>
        <w:rPr>
          <w:sz w:val="20"/>
          <w:szCs w:val="20"/>
          <w:color w:val="auto"/>
        </w:rPr>
      </w:pPr>
      <w:r>
        <w:rPr>
          <w:rFonts w:ascii="Times New Roman" w:cs="Times New Roman" w:eastAsia="Times New Roman" w:hAnsi="Times New Roman"/>
          <w:sz w:val="18"/>
          <w:szCs w:val="18"/>
          <w:color w:val="auto"/>
        </w:rPr>
        <w:t>Shares issuable upon exercise of warrants to purchase Class A Ordinary Shares Shares issuable upon exercise of Z33 Put Right Shares available for grant under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-135890</wp:posOffset>
            </wp:positionV>
            <wp:extent cx="629221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Shares available for grant under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Total shares reserved for issuance</w:t>
      </w:r>
    </w:p>
    <w:p>
      <w:pPr>
        <w:spacing w:after="0" w:line="262" w:lineRule="exact"/>
        <w:rPr>
          <w:sz w:val="20"/>
          <w:szCs w:val="20"/>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7,108,188</w:t>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1,442,473</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16,591,996</w:t>
      </w:r>
    </w:p>
    <w:p>
      <w:pPr>
        <w:spacing w:after="0" w:line="2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2,000,000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2,824,119</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4,029,898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33,996,674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8312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688" w:lineRule="exact"/>
        <w:rPr>
          <w:sz w:val="20"/>
          <w:szCs w:val="20"/>
          <w:color w:val="auto"/>
        </w:rPr>
      </w:pPr>
    </w:p>
    <w:p>
      <w:pPr>
        <w:sectPr>
          <w:pgSz w:w="11900" w:h="16838" w:orient="portrait"/>
          <w:cols w:equalWidth="0" w:num="2">
            <w:col w:w="8340" w:space="720"/>
            <w:col w:w="860"/>
          </w:cols>
          <w:pgMar w:left="980" w:top="513" w:right="999" w:bottom="1440" w:gutter="0" w:footer="0" w:header="0"/>
          <w:type w:val="continuous"/>
        </w:sectPr>
      </w:pP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the Company assumed 5,910,000 private placement warrants to purchase Class A that were held by JATT and 6,899,996 public warrants to purchase Class A Ordinary Shares that were held by JATT’s public shareholders. The Warrants will expire five years after the completion of the Business Combination, or earlier upon redemption or liquidation.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no warrants have been exercised or redeemed.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public warrants became exercisable into Class A Ordinary Shares commencing 30 days after the Business Combination and expire five years from the date of the Business Combination, or earlier upon redemption or liquidation. Each warrant entitles the holder to purchase one share of the Company’s Class A Ordinary Shares at a price of $11.50 per share, subject to certain adjustments.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redeem, with 30 days written notice, each whole outstanding public warrant for cash at a price of $0.01 per warrant if the Reference Value (as defined below) equals or exceeds $18.00 per share, subject to certain adjustments. The warrant holders have the right to exercise their outstanding warrants prior to the scheduled redemption date at $11.50 per share, subject to certain adjustments. If the Company calls the public warrants for redemption, the Company will have the option to require all holders that wish to exercise the Public Warrants to do so on a “cashless basis”, as described in the warrant agreement. For purposes of the redemption, “Reference Value” shall mean the last reported sales price of the Company’s Class A Ordinary Shares for any twenty trading days within the thirty trading-day period ending on the third trading day prior to the date on which notice of the redemption is given.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the private placement warrants are not transferable, assignable or salable until 30 days after the completion of a Business Combination, subject to certain limited exceptions. Additionally, the private placement warrants are exercisable on a cashless basis and are non-redeemable so long as they are held by the initial purchasers or their permitted transferees. If the private placement warrants are held by someone other than the initial purchasers or their permitted transferees, then such warrants will be redeemable by the Company and exercisable by the warrant holders on the same basis as the public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April 2023 Private Placement, the Company sold to accredited investors Pre-Funded Warrants to purchase up to 3,782,000 Class A Ordinary Shares at a price of $4.249 per Pre-Funded Warrant for an aggregate purchase price of approximately $16.1 million. Each Pre-Funded Warrant has an exercise price of $0.001 per Class A Ordinary Share and is exercisable for one Class A Ordinary Share at any time or times on or after April 26, 2023, until exercised in full.</w:t>
      </w:r>
    </w:p>
    <w:p>
      <w:pPr>
        <w:sectPr>
          <w:pgSz w:w="11900" w:h="16838" w:orient="portrait"/>
          <w:cols w:equalWidth="0" w:num="1">
            <w:col w:w="9920"/>
          </w:cols>
          <w:pgMar w:left="980" w:top="513" w:right="999" w:bottom="1440" w:gutter="0" w:footer="0" w:header="0"/>
          <w:type w:val="continuous"/>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number of warrants outstanding, their exercise price, and expiration dates as of March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 Issued</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10"/>
        </w:trPr>
        <w:tc>
          <w:tcPr>
            <w:tcW w:w="4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6,899,996</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2028</w:t>
            </w:r>
          </w:p>
        </w:tc>
      </w:tr>
      <w:tr>
        <w:trPr>
          <w:trHeight w:val="216"/>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5,910,000</w:t>
            </w:r>
          </w:p>
        </w:tc>
        <w:tc>
          <w:tcPr>
            <w:tcW w:w="9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2028</w:t>
            </w:r>
          </w:p>
        </w:tc>
      </w:tr>
      <w:tr>
        <w:trPr>
          <w:trHeight w:val="216"/>
        </w:trPr>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3,782,000</w:t>
            </w:r>
          </w:p>
        </w:tc>
        <w:tc>
          <w:tcPr>
            <w:tcW w:w="9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07" w:lineRule="exact"/>
        <w:rPr>
          <w:sz w:val="20"/>
          <w:szCs w:val="20"/>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16, 2023, JATT’s board of directors approved the Zura Bio Limited 2023 Equity Incentive Plan (the “Equity Incentive Plan”) which became effective on the day immediately preceding the Closing Date of the Business Combination. The Equity Incentive Plan allows for the grant of share options, both incentive and nonqualified share options; stock appreciation rights (“SARs”), alone or in conjunction with other awards; restricted shares awards (“RSAs”) and restricted share units (“RSUs”); incentive bonuses, which may be paid in cash, shares, or a combination thereof; and other share-based awards. On June 1, 2023, the Company’s board of directors approved an increase to the number of Class A Ordinary Shares that may be issued under the Equity Incentive Plan by an additional 5,564,315 Class A Ordinary Shares. As of March 31, 2024, a maximum of 9,594,213 Class A Ordinary Shares may be issued under the Equity Incentive Plan.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Class A Ordinary Shares issuable under the Equity Incentive Plan are subject to an annual increase on January 1st of each calendar year beginning on January 1, 2024, and ending on and including January 1, 2029, equal to the lesser of (i) 5.0% of the aggregate number of Class A Ordinary Shares outstanding on the final day of the immediately preceding calendar year, (ii) 8,059,796 Class A Ordinary Shares or (iii) such smaller number of shares as is determined by the board. As of January 1, 2024, the Company’s board of directors decided not to apply an increase to the Class A Ordinary Shares issuable under the Equity Incentive Plan.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16, 2023, JATT’s board of directors approved the Zura Bio Limited 2023 Employee Stock Purchase Plan (the “ESPP”) which became effective on the day immediately preceding the Closing Date of the Business Combination. The maximum number of Class A Ordinary Shares that may be issued under the ESPP is 4,029,898, plus an aggregate number of Class A Ordinary Shares that are added under the Equity Incentive Plan on January 1st of each calendar year, beginning on January 1, 2024, and ending on and including January 1, 2029, as discussed above. The ESPP enables eligible employees of the Company and designated affiliates to purchase Class A Ordinary Shares at a discount of 15%. As of March 31, 2024, no shares have been issued under the ESPP.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Equity Incentive Plan share options are estimated on the date of grant using the Black-Scholes option pricing model. The Company lacks significant company-specific historical and implied volatility information. Therefore, it estimates its expected share volatility based on the historical volatility of a publicly traded set of peer companies. Due to the lack of historical exercise history, the expected term of the Company’s share options has been determined using the “simplified” method for awards.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the 2023 Equity Incentive Plan share options issued during the three months ended March 31, 2024 and 2023:</w:t>
      </w:r>
    </w:p>
    <w:p>
      <w:pPr>
        <w:spacing w:after="0" w:line="169"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7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000" w:type="dxa"/>
        <w:tblCellMar>
          <w:top w:w="0" w:type="dxa"/>
          <w:left w:w="0" w:type="dxa"/>
          <w:bottom w:w="0" w:type="dxa"/>
          <w:right w:w="0" w:type="dxa"/>
        </w:tblCellMar>
      </w:tblPr>
      <w:tr>
        <w:trPr>
          <w:trHeight w:val="142"/>
        </w:trPr>
        <w:tc>
          <w:tcPr>
            <w:tcW w:w="5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107.0 %</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96.5 %</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4.10 %</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3.58 %</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6.0 years</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 years</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share option activity for the three months ended March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5,791,065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17,752</w:t>
            </w: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1,519,698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(202,575)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outstanding at March 31,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7,108,188</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0" w:type="dxa"/>
            <w:vAlign w:val="bottom"/>
          </w:tcPr>
          <w:p>
            <w:pPr>
              <w:spacing w:after="0"/>
              <w:rPr>
                <w:sz w:val="1"/>
                <w:szCs w:val="1"/>
                <w:color w:val="auto"/>
              </w:rPr>
            </w:pPr>
          </w:p>
        </w:tc>
      </w:tr>
      <w:tr>
        <w:trPr>
          <w:trHeight w:val="197"/>
        </w:trPr>
        <w:tc>
          <w:tcPr>
            <w:tcW w:w="6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exercisable at March 31, 2024</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1,745,311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4.66</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the table above are 2,280,560 options to purchase Class A Ordinary Shares issued to certain directors, executives, and employees outside of the Equity Incentive Plan.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three months ended March 31, 2024 and 2023 was $2.91 and $7.65,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Market-Based Share Options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20, 2023, the Company granted 306,373 options to purchase Class A Ordinary Shares (“Market-Based Share Options”) to a certain Director of the Board. These awards will vest only to the extent that the 20-day volume weighted average trading price (“VWAP”) of the Class A Ordinary Shares is over $30 per Class A Ordinary Share at any time prior to the fifth anniversary of the grant date. These awards have an exercise price of $8.16 and become exercisable when vested and the market condition is satisfied. These awards expire 10 years from the date of grant. The fair value of these Market-Based Share Options were estimated using a Monte Carlo valuation method. The following table sets forth the weighted-average assumptions used at the grant date to determine the fair value of the Company’s Market-Based Share Options granted during the three months ended March 31, 2023. No Market-Based Share Options were granted during the three months ended March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48"/>
        </w:trPr>
        <w:tc>
          <w:tcPr>
            <w:tcW w:w="8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8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8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r>
      <w:tr>
        <w:trPr>
          <w:trHeight w:val="209"/>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 years</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Market-Based Share Options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expense recognized related to Market-Based Share Options during the three months ended March 31, 2024 and 2023 was $0.2 million and $-0-,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RSUs to certain employees, executives, and directors pursuant to the Equity Incentive Plan. The fair value has been estimated based on the closing price of the stock on the grant date.</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73"/>
        </w:trPr>
        <w:tc>
          <w:tcPr>
            <w:tcW w:w="624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 at December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1,563,018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(121,545)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 at March 31, 2024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1,441,473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95</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expense recognized related to RSUs during the three months ended March 31, 2024 and 2023 was $0.6 million and immaterial,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Awards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converted RSU’s granted to a certain director pursuant to the Equity Incentive Plan into RSAs during the year ended December 31, 2023. The fair value was estimated based on the closing price of the shares on the original grant date.</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RSAs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RSAs at December 31, 2023</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Unvested RSAs at March 31, 2024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374,995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expense recognized related to RSAs during the three months ended March 31, 2024 and 2023 was $0.3 million and $-0-,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Modification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10, 2024, the Company and its Chief Medical Officer (the “CMO”) entered into an agreement regarding the CMO’s departure from the Company (the “Severance Agreement”). In connection with the Severance Agreement, 67,525 of the share options previously granted to the CMO became fully vested and exercisable and 40,515 of the RSUs previously granted to the CMO became fully vested. All remaining share options and RSUs not vested were forfeited and cancelled. During the three months ended March 31, 2024, the Company recognized a reversal of approximately $0.1 million of share-based compensation expense related to this modification.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for all equity arrangements for the three months ended March 31, 2024, and 2023, was as follows: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Three</w:t>
            </w:r>
          </w:p>
        </w:tc>
      </w:tr>
      <w:tr>
        <w:trPr>
          <w:trHeight w:val="148"/>
        </w:trPr>
        <w:tc>
          <w:tcPr>
            <w:tcW w:w="56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49"/>
        </w:trPr>
        <w:tc>
          <w:tcPr>
            <w:tcW w:w="5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16"/>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0"/>
        </w:trPr>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2024, there was approximately $20.5 million of total unrecognized share-based compensation expense related to options granted to employees, executives, and directors that is expected to be recognized over a weighted average period of 3.1 years. As of March 31, 2024, there was approximately $6.6 million of total unrecognized share-based compensation expense related to RSUs granted to certain employees, executives, and directors under the Company’s Equity Incentive Plan that is expected to be recognized over a weighted average period of 3.2 years. As of March 31, 2024, there was approximately $3.0 million of total unrecognized share-based compensation expense related to RSAs granted to a certain director under the Company’s Equity Incentive Plan that is expected to be recognized over a weighted average period of 3.0 years.</w:t>
      </w:r>
    </w:p>
    <w:p>
      <w:pPr>
        <w:spacing w:after="0" w:line="185" w:lineRule="exact"/>
        <w:rPr>
          <w:sz w:val="20"/>
          <w:szCs w:val="20"/>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finder’s fee for the 2022 Lilly License, the Company’s consolidated subsidiary Z33 issued 4,900,222 shares of Z33 Series Seed Preferred Shares to Stone Peach. Zura has the right, but not the obligation to purchase up to 50% of the Series Seed Preferred Shares issued to Stone Peach at a price per share of $2.448869 for a period of two years from the date of the agreement (the “Call Option”). Stone Peach has the right, but not the obligation to sell up to 50% of the Series Seed Preferred Shares issued to Stone Peach to Zura for a price per share of $2.040724 (the “Put Option”). As it is not possible to specifically identify the shares that may be redeemed by exercising the Put Option, and the applicable unit of account is each share, the Company assessed that each share must be considered redeemable until the exercise or the expiration of the Put Option. Accordingly, the Z33 Series Seed Preferred Shares issued to Stone Peach represents redeemable noncontrolling interest.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2023, the Company agreed to, within six months of April 24, 2023, exercise its Call Option on 50% of the Z33 Series Seed Preferred Shares previously issued to Stone Peach. The Company agreed to settle its Call Option by issuing 2,000,000 Class A Ordinary Shares. The amended settlement terms represented an extinguishment and reissuance of the Z33 Series Seed Preferred Shares. The $10.9 million difference between the estimated fair value of the new instrument issued and the carrying value of the Z33 Series Seed Preferred Shares was recorded as a deemed dividend to the redeemable noncontrolling interest and as an adjustment to net loss to arrive at net loss attributable to Class A ordinary shareholders in the consolidated statement of operations.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the Company and Stone Peach amended the terms of the agreement, voiding the Company’s obligation to exercise its Call Option, and instead reverting the Company’s rights and obligations under the Call Option back to that of the original agreement. Stone Peach, in addition to the existing Put Option, was granted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under the new agreement. The amended settlement terms represented an extinguishment and reissuance of the Z33 Series Seed Preferred Shares. The $9.2 million difference between the estimated fair value of the new instrument issued and the carrying value of the Z33 Series Seed Preferred Shares was recorded as a deemed contribution from the redeemable noncontrolling interest and as an adjustment to net loss to arrive at net loss attributable to Class A ordinary shareholders in the consolidated statement of operations. On March 31, 2024, the redeemable noncontrolling interest was remeasured from its redemption price to its initial carry amount, decreased for the noncontrolling interest’s share of Z33’s net loss, and the difference was recorded as an adjustment to net loss to arrive at net loss attributable to Class A ordinary shareholders for the three months ended March 31, 2024 in the condensed consolidated statement of operations.</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redeemable noncontrolling interest balance was $11.7 million and $18.7 million, respectively.</w:t>
      </w:r>
    </w:p>
    <w:p>
      <w:pPr>
        <w:spacing w:after="0" w:line="158" w:lineRule="exact"/>
        <w:rPr>
          <w:sz w:val="20"/>
          <w:szCs w:val="20"/>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2024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18, 2024, the Company entered into subscription agreements (the “April 2024 Investor Agreements”) with certain institutional and other accredited investors (the “Investors”), whereby the Company issued 18,732,301 Class A Ordinary Shares, par value $0.0001 per share and pre-funded warrants (the “2024 Pre-Funded Warrants”) to purchase up to 16,102,348 Class A Ordinary Shares. Each Class A Ordinary Share was sold at a price of $3.108 per Class A Ordinary Share and each 2024 Pre-Funded Warrant was sold at a price of $3.107 per 2024 Pre-Funded Warrant for an aggregate purchase price of $108.3 million. Each 2024 Pre-Funded Warrant has an exercise price of $0.001 per Class A Ordinary Share and is exercisable for one Class A Ordinary Share at any time until exercised in full.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18, 2024, the Company also entered into subscription agreements (the “April 2024 Insider Agreements” and together with the April 2024 Investor Agreements, the “April 2024 Private Placement”) with certain officers, directors and affiliates of the Company (“Insiders” and together with the Investors, the “2024 Subscribers”), whereby the Company issued 1,357,827 Class A Ordinary Shares, par value $0.0001 per share sold a purchase price of $3.13 per Class A Ordinary Share for an aggregate purchase price of $4.2 million.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April 2024 Private Placement closed on April 22, 2024, from which the Company received total gross proceeds of approximately $112.5 million, before deducting placement agent fees and offering expenses payable by the 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consolidated results of operations and financial condition. You should read the following discussion and analysis of our financial condition and results of operations in conjunction with our audited financial statements as of December 31, 2023, included on Form 10-K filed with the SEC on March 28, 2024, and in conjunction with the unaudited condensed consolidated financial statements and notes thereto included elsewhere in this Quarterly Report on Form 10-Q.</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discussion and analysis contains forward-looking statements. These forward-looking statements are subject to risks and uncertainties, including those discussed in the section titled “Risk Factors” in our Form 10-K filed with the SEC on March 28, 2024, that could cause actual results to differ materially from historical results or anticipated results. Unless the context otherwise requires, references in this “Management’s Discussion and Analysis of Financial Condition and Results of Operations” to “Zura,” “we,” “us,” and “our” refer to Zura Bio Limited, a Cayman Islands exempted company formerly known as JATT Acquisition Corp., and its consolidated subsidiaries. References to JATT Acquisition Corp. or “JATT” refer to the Company prior to the consummation of the Business Combination.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Zura Bio Limited, formerly known as JATT Acquisition Corp., is a multi-asset clinical-stage biotechnology company focused on developing novel medicines for immune and inflammatory disorders. The experienced leadership team aims to become a leader in the autoimmune and inflammatory field.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were incorporated as a Cayman Islands exempted company on March 10, 2021. Our wholly owned subsidiary, Zura Bio Limited (“Zura Bio UK”) was formed in the United Kingdom, or UK, on January 18, 2022. Prior to March 20, 2023, our operations were conducted through Zura Bio UK.</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a limited operating history. Since our inception, our operations have focused on organizing and staffing our company, business planning, raising capital and entering into collaboration agreements for conducting manufacturing, and research and development activities. Our lead product candidates are in the clinical testing stage; however, we have not conducted any clinical tests ourselves, nor have any been conducted during the period since our inception. We do not have any product candidates approved for sale and have not generated any revenue from product sales. We funded our operations up until March 31, 2024 through (i) the sale of equity, raising an aggregate of $10.0 million of gross proceeds from the sale of shares of convertible preferred stock of Zura Bio UK through March 31, 2023; (ii) the issuance of a promissory note, receiving net proceeds of $7.6 million in December 2022; (iii) proceeds from the Business Combination of $56.7 million in March 2023; and (iv) the April 2023 Private Placement, raising an aggregate of $80.0 million of gross proceeds from the sale of Class A Ordinary Shares and Pre-Funded Warrants during the year ended December 31, 2023. In April 2024, we closed on a Private Placement, raising an aggregate of $112.5 million of gross proceeds from the sale of Class A Ordinary Shares and Pre-Funded Warrants.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for the three months ended March 31, 2024, was $7.7 million. As of March 31, 2024, we had an accumulated deficit of $111.2 million. We anticipate that our expenses will increase significantly in connection with our ongoing activities, as we:</w:t>
      </w:r>
    </w:p>
    <w:p>
      <w:pPr>
        <w:spacing w:after="0" w:line="176" w:lineRule="exact"/>
        <w:rPr>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planned preclinical studies and clinical trials for our product candidates, as well as initiate and complete additional trials of future potential product candidates;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current good manufacturing practices, or cGMP, material for clinical trials or potential commercial sales;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regulatory, manufacturing, scientific and administrative personnel;</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manufacturing and distribution capabilities to commercialize any product candidates for which we may obtain regulatory approval;</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20, 2023 (the “Closing Date”), we consummated the previously-announced transactions contemplated by the Business Combination Agreement, dated June 16, 2022, as amended on September 20, 2022, November 14, 2022, and January 13, 2023 by and among Zura Bio Limited, a limited company incorporated under the laws of England and Wales (“Zura Bio UK”), JATT Acquisition Corp, a Cayman Islands exempted company (“JATT”), JATT Merger Sub, a Cayman Islands exempted company and wholly owned subsidiary of JATT (“Merger Sub”), JATT Merger Sub 2, a Cayman Islands exempted company and wholly owned subsidiary of JATT (“Merger Sub 2”) and Zura Bio Holdings Ltd, a Cayman Islands exempted company (“Holdco”), following the approval at an extraordinary general meeting of JATT’s shareholders held on March 16, 2023.</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Business Combination generated approximately $56.7 million in net proceeds. On March 21, 2023, the Company’s Class A Ordinary Shares and public warrants began trading on the Nasdaq under the symbols “ZURA” and “ZURAW,”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2024 Private Placement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18, 2024, we entered into subscription agreements (the “April 2024 Investor Agreements”) with certain institutional and other accredited investors (the “Investors”), whereby the Company issued 18,732,301 Class A Ordinary Shares, par value $0.0001 per share and pre-funded warrants (the “2024 Pre-Funded Warrants”) to purchase up to 16,102,348 Class A Ordinary Shares. Each Class A Ordinary Share was sold at a price of $3.108 per Class A Ordinary Share and each 2024 Pre-Funded Warrant was sold at a price of $3.107 per 2024 Pre-Funded Warrant for an aggregate purchase price of $108.3 million.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18, 2024, we also entered into subscription agreements (the “April 2024 Insider Agreements” and together with the April 2024 Investor Agreements, the “April 2024 Private Placement”) with certain officers, directors and affiliates of the Company (“Insiders” and together with the Investors, the “2024 Subscribers”), whereby the Company issued 1,357,827 Class A Ordinary Shares, par value $0.0001 per share sold a purchase price of $3.13 per Class A Ordinary Share for an aggregate purchase price of $4.2 million.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April 2024 Private Placement closed on April 22, 2024 from which we received gross proceeds of approximately $112.5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2023 Private Placement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26, 2023, the Company entered into its second PIPE subscription agreement (the “April 2023 Private Placement”) with certain accredited investors (the “Subscribers”), whereby the Company issued 15,041,530 Class A Ordinary Shares, par value $0.0001 per share and pre-funded warrants (the “2023 Pre-Funded Warrants”) to purchase up to 3,782,000 Class A Ordinary Shares. Each Class A Ordinary Share was sold at a price of $4.25 per Class A Ordinary Share and each Pre-Funded Warrant was sold at a price of $4.249 per Pre-Funded Warrant for an aggregate purchase price of $80.0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Lilly License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26, 2023, the Company’s newly formed subsidiary ZB17 LLC (“ZB17”) entered into a license agreement (the “2023 Lilly License” and, together with the 2022 Lilly License, the “Lilly Licenses”) with Lilly, for an exclusive license to develop, manufacture and commercialize a certain bispecific antibody relating to IL-17 and BAFF (“ZB-106”). ZB17 made a payment of $5.0 million to Lilly during the three months ended March 31, 2024, in connection with the receipt of certain know-how, data, information and materials that Lilly was required to provide under the license agreement.</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finder’s fee for arranging the acquisition of the 2023 Lilly License, ZB17 granted Stone Peach the right, but not the obligation, to purchase 4.99% of the fully diluted equity of ZB17 for $1.0 million (the “Stone Peach Call Right”). The Stone Peach Call Right is not exercisable until after the last patient is dosed in any single next clinical trial with ZB-106 and expires one year from the date of first indication approval for ZB-106 by the FDA or the European Medicines Agency (“EMA”). The Stone Peach Call Right represents noncontrolling interest in the Company’s subsidiary, ZB17.</w:t>
      </w:r>
    </w:p>
    <w:p>
      <w:pPr>
        <w:spacing w:after="0" w:line="183" w:lineRule="exact"/>
        <w:rPr>
          <w:sz w:val="20"/>
          <w:szCs w:val="20"/>
          <w:color w:val="auto"/>
        </w:rPr>
      </w:pPr>
    </w:p>
    <w:p>
      <w:pPr>
        <w:jc w:val="both"/>
        <w:ind w:firstLine="324"/>
        <w:spacing w:after="0" w:line="285" w:lineRule="auto"/>
        <w:rPr>
          <w:sz w:val="20"/>
          <w:szCs w:val="20"/>
          <w:color w:val="auto"/>
        </w:rPr>
      </w:pPr>
      <w:r>
        <w:rPr>
          <w:rFonts w:ascii="Times New Roman" w:cs="Times New Roman" w:eastAsia="Times New Roman" w:hAnsi="Times New Roman"/>
          <w:sz w:val="18"/>
          <w:szCs w:val="18"/>
          <w:color w:val="auto"/>
        </w:rPr>
        <w:t>As additional consideration, Stone Peach receives annual payments first of $0.6 million, and increasing by 10% annually, so long as the Company maintains its license for ZB-106 on May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each year. We will account for these annual payments as they become due.</w:t>
      </w:r>
    </w:p>
    <w:p>
      <w:pPr>
        <w:spacing w:after="0" w:line="4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finder’s fee for arranging the acquisition of the 2023 Lilly License, we agreed to make a one-time milestone payment of $5.0 million to BAFFX17, Ltd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 As the Company’s fully diluted shares outstanding exceeded 52,500,000 shares prior to December 31, 2023, the $5.0 million fee was recorded in accounts payable and accrued expenses in the condensed consolidated balance sheet as of March 31, 2024 and became due as of April 24, 2024.</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is obligated to make 4 development milestone payments to Lilly up to an aggregate of $155.0 million, and sales milestone payments up to an aggregate of $440 million based on respective thresholds of net sales of products developed from ZB-106. The Company is also obligated to pay Lilly over a multi-year period (twelve years, or upon the later expiration of regulatory exclusivity of ZB-106 in a country) an annual earned royalty at a marginal royalty rate in the mid-single digits to low-double digits, with increasing rates depending on net sales in the respective calendar year, based on a percentage of sales within varying thresholds for a certain period of years. The Company is also obligated to pay BAFFX17 a fee equal to 3% of any milestone or royalty payments due to Lilly pursuant to the terms of either the 2022 Lilly License and the 2023 Lilly License with Lilly. Upon receiving written approval from the FDA, EMA, or similar regulatory authority of the Investigational New Drug (“IND”) and commencement and the commencement of a clinical trial in the applicable jurisdiction for ZB-106, Stone Peach will also receive a one-time payment of $4.5 million. Stone Peach will also receive a one-time milestone payment of $25 million upon either (i) certain equity-related transactions, or (ii) the receipt of regulatory approval from the applicable regulatory authority for any new indication in the applicable jurisdiction. Furthermore, Stone Peach was granted a royalty of 2% of the aggregate net sales of any products developed from the Compound. As of March 31, 2024, none of the contingent payments were due.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Lilly License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8, 2022, the Company’s consolidated subsidiary, Z33 Bio Inc.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finder’s fee in connection with arranging the acquisition, Z33 issued to Stone Peach Properties, LLC (“Stone Peach”) 4,900,222 shares of Z33 Series Seed Preferred Shares, which was included in the measurement of the cost of the acquired asset. As of March 31, 2024, we have the right, but not the obligation to purchase up to 50% of the Series Seed Preferred Shares issued to Stone Peach at a price per share of $2.448869 for a period of two years from the date of the agreement (the “Call Option”). Stone Peach has the right, but not the obligation to sell up to 50% of the Series Seed Preferred Shares issued to Stone Peach to Zura for a price per share of $2.040724 (the “Put Option”). Stone Peach also has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The Z33 Series Seed Preferred Shares represent redeemable noncontrolling interest in our subsidiary, Z33.</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obligated to pay $3.0 million to Lilly under the 2022 Lilly License upon the completion of a financing by the Company with gross proceeds exceeding $100 million, in cash or in services, paid to Z33. If the $3.0 million milestone payment is not made by December 7, 2025, Lilly may terminate the 2022 Lilly License and reclaim the asset. The Company is further obligated to make 10 commercial, development and regulatory milestone payments up to an aggregate of $155.0 million and sales milestone payments up to an aggregate of $440.0 million based on respective thresholds of net sales of products developed from the licensed compound. The Company will also pay an annual earned royalty to Lilly at a marginal royalty rate between in the mid-single to low-double digits (less than 20%), with increasing rates based on net sales in the respective calendar year, based on a percentage of sales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varying thresholds for a certain period of the year. The Company will account for these contingent payments when they become due. As of March 31, 2024, none of the contingent payments were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Pfizer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22, 2022, the Company entered into a license agreement and a Series A-1 Subscription and Shareholder’s Agreement (collectively, the “Pfizer Agreement”) with Pfizer. The Company is obligated to make 11 future development and regulatory milestone payments aggregating up to $70.0 million and sales milestone payments up to an aggregate of $525.0 million based on respective thresholds of net sales of products (developed from the licensed compound) (the “Products”). The Company will also pay an annual earned royalty at a marginal royalty rate in the mid-single digits to low double digits (less than 20%), based on thresholds of net sales of Products. Royalties are payable on a country-by-country basis for a certain period of years or upon the later expiration of regulatory exclusivity of the Company’s Products in a country.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also subject to a potential multi-million dollar transaction payment if, within a certain period the Company has (a) certain changes in control, excluding an initial public offering or any business combination where the securities of the Company are listed on a stock exchange (e.g., a transaction with a special purpose acquisition company), or (b) the Company sublicenses or divests of its rights to the Products.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does not owe any other amounts under the Pfizer Agreement as of March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Transition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24, 2024, the Board of Directors approved a CEO transition from Someit Sidhu, our Founder, Chief Executive Officer and Director, to Robert Lisicki, effective April 8, 2024. Dr. Sidhu remains on the Board as a non-independent Director and Mr. Lisicki joined the Board as a non-independent Director.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primarily consist of professional fees for legal, accounting, and consulting costs relating to corporate matters, as well as salaries and related costs for personnel in executive and administrative functions, including share-based compensation.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continue to support research and development activities and incur increased costs of operating as a public company. These costs include increased headcount to support expanded operations and infrastructure.</w:t>
      </w:r>
    </w:p>
    <w:p>
      <w:pPr>
        <w:spacing w:after="0" w:line="176"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Additionally, we anticipate increased costs associated with maintaining compliance with Nasdaq rules and SEC requirements such as accounting, audit, legal and consulting services, as well as director and officer liability insurance, investor and public relations activities.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expenses consist of all direct and indirect operating expenses supporting the processes in development, including consulting fees for medical and manufacturing advisory services, costs related to manufacturing material for clinical studies, payroll and benefits, which includes share-based compensation, for research and development employees, licensing fees, and study acquisition costs. Expenses are recognized as the related goods are delivered or the services are performed.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R&amp;D expenses include the cost of in-process research and development (“IPR&amp;D”) assets purchased in an asset acquisition transaction. IPR&amp;D assets are expensed unless the assets acquired are deemed to have an alternative future use, provided that the acquired asset did not also include processes or activities that would constitute a “business” as defined under U.S. GAAP, the drug has not achieved regulatory approval for marketing and, absent obtaining such approval, has no established alternative future use. Acquired IPR&amp;D payments are immediately expensed in the period in which they are incurred and include upfront payments, as well as transaction</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fees and subsequent pre-commercial milestone payments. Research and development costs incurred after the acquisition are expensed as incurred. R&amp;D expenses also include the remeasurement of the research and development license consideration liability. The research and development license consideration liability represented an obligation to issue either preferred shares of the Company’s subsidiary or Class A Ordinary Shares to Lilly as consideration for the 2022 Lilly License, which was ultimately settled through the issuance of Class A Ordinary Shares upon the closing of the Business Combination.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expenses could include:</w:t>
      </w:r>
    </w:p>
    <w:p>
      <w:pPr>
        <w:spacing w:after="0" w:line="225" w:lineRule="exact"/>
        <w:rPr>
          <w:sz w:val="20"/>
          <w:szCs w:val="20"/>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share-based compensation and other related costs for those employees involved in research and development efforts;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clinical research organizations, investigative sites and consultants to conduct our studies;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preclinical studies and clinical trials, including fees paid to contract manufacturing organizations;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develop our product candidates and manufacturing processes and conduct discovery and research activities for our clinical programs. We cannot determine with certainty the timing of initiation, the duration or the completion costs of current or future clinical studies of our product candidates due to the inherently unpredictable nature of clinical development. Clinical development timelines, the probability of success and development costs can differ materially from expectations. We anticipate that we will make determinations as to how we pursue our product candidates and how much funding to direct to each program on an ongoing basis in response to the results of future clinical trials, regulatory developments and our ongoing assessments as to commercial potential. We will need to raise substantial additional capital in the future. Our clinical development costs are expected to increase as we commence, continue and expand our clinical trials. Our future expenses may vary significantly each period based on factors such as:</w:t>
      </w:r>
    </w:p>
    <w:p>
      <w:pPr>
        <w:spacing w:after="0" w:line="192"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clinical trial costs, including based on the number of doses that patients receive;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clinical trial;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approval;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clinical trials and follow-up;</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contractors failing to comply with regulatory requirements or meet their contractual obligations in a timely manner, or at all;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insurance, including product liability insurance, in connection with clinical trials;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 our results of operations for the periods presented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20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2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36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(income)/expense</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(1,215)</w:t>
            </w:r>
          </w:p>
        </w:tc>
        <w:tc>
          <w:tcPr>
            <w:tcW w:w="2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(1,214)</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50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Change in fair value of private placement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warrants</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442 %</w:t>
            </w:r>
          </w:p>
        </w:tc>
        <w:tc>
          <w:tcPr>
            <w:tcW w:w="0" w:type="dxa"/>
            <w:vAlign w:val="bottom"/>
          </w:tcPr>
          <w:p>
            <w:pPr>
              <w:spacing w:after="0"/>
              <w:rPr>
                <w:sz w:val="1"/>
                <w:szCs w:val="1"/>
                <w:color w:val="auto"/>
              </w:rPr>
            </w:pPr>
          </w:p>
        </w:tc>
      </w:tr>
      <w:tr>
        <w:trPr>
          <w:trHeight w:val="216"/>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fair value of note payable</w:t>
            </w:r>
          </w:p>
        </w:tc>
        <w:tc>
          <w:tcPr>
            <w:tcW w:w="1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(2,244)</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(income)/expense, net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8"/>
        </w:trPr>
        <w:tc>
          <w:tcPr>
            <w:tcW w:w="350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Net loss before redeemable noncontrolling</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(7,747)</w:t>
            </w:r>
          </w:p>
        </w:tc>
        <w:tc>
          <w:tcPr>
            <w:tcW w:w="20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(9,795)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6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8"/>
        </w:trPr>
        <w:tc>
          <w:tcPr>
            <w:tcW w:w="3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redeemable</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8"/>
        </w:trPr>
        <w:tc>
          <w:tcPr>
            <w:tcW w:w="3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redeemable noncontrolling</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to redemption value</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Adjustment of redeemable noncontrolling</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from redemption value to carrying</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78"/>
        </w:trPr>
        <w:tc>
          <w:tcPr>
            <w:tcW w:w="350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loss attributable to Ordinary Shareholders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(730)</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(9,795)</w:t>
            </w:r>
          </w:p>
        </w:tc>
        <w:tc>
          <w:tcPr>
            <w:tcW w:w="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Zura</w:t>
            </w:r>
          </w:p>
        </w:tc>
        <w:tc>
          <w:tcPr>
            <w:tcW w:w="180" w:type="dxa"/>
            <w:vAlign w:val="bottom"/>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change not meaningful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60" w:type="dxa"/>
            <w:vAlign w:val="bottom"/>
          </w:tcPr>
          <w:p>
            <w:pPr>
              <w:spacing w:after="0"/>
              <w:rPr>
                <w:sz w:val="13"/>
                <w:szCs w:val="13"/>
                <w:color w:val="auto"/>
              </w:rPr>
            </w:pPr>
          </w:p>
        </w:tc>
        <w:tc>
          <w:tcPr>
            <w:tcW w:w="13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2"/>
                <w:szCs w:val="12"/>
                <w:color w:val="auto"/>
              </w:rPr>
            </w:pPr>
          </w:p>
        </w:tc>
        <w:tc>
          <w:tcPr>
            <w:tcW w:w="13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360" w:type="dxa"/>
            <w:vAlign w:val="bottom"/>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60" w:type="dxa"/>
            <w:vAlign w:val="bottom"/>
          </w:tcPr>
          <w:p>
            <w:pPr>
              <w:spacing w:after="0"/>
              <w:rPr>
                <w:sz w:val="12"/>
                <w:szCs w:val="12"/>
                <w:color w:val="auto"/>
              </w:rPr>
            </w:pPr>
          </w:p>
        </w:tc>
        <w:tc>
          <w:tcPr>
            <w:tcW w:w="13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2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decreased by $1.3 million for the three months ended March 31, 2024 compared to the three months ended March 31, 2023. This was primarily due to a decrease of $2.2 million related to the issuance of additional shares to Pfizer under an anti-dilution provision during the three months ended March 31, 2023. The decrease was also due to $1.9 million related to the change in fair value of our research and development license consideration liability during the three months ended March 31, 2023. The decrease was partially offset by an increase of $1.4 million in expenses related to compensation for personnel in research and development functions including share-based compensation and an increase of $1.4 million of costs incurred for consulting services and manufacturing of our product candidates.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360" w:type="dxa"/>
            <w:vAlign w:val="bottom"/>
            <w:vMerge w:val="restart"/>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2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$2.0 million for the three months ended March 31, 2024 compared to the three months ended March 31, 2023. The increase was primarily due to increases of $1.6 million in expenses related compensation for personnel in executive and administrative functions including share-based compensation, as well as an increase of $0.2 million in professional fees for legal and accounting costs incurred related to our ongoing operations as a public company, and an increase of $0.2 million of travel and office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(income)/expense changed by a nominal amount for the three months ended March 31, 2024 compared to the three months ended March 31, 2023. This change was primarily due to a foreign exchange transaction gain for the three months ended March 31, 2024 as compared to a foreign exchange transaction loss for the three months ended March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income increased by $1.2 million for the three months ended March 31, 2024 as compared to the three months ended March 31, 2023. This is due to an increase in our cash and cash equivalents balance during the three months ended March 31, 2024 as compared to the three months ended March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Revaluation loss on the liability-classified private placement warrants assumed in the Business Combination was $0.6 million during the three months ended March 31, 2024 compared to a revaluation gain of $0.2 million for the three months ended March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note payable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Revaluation loss on the note payable was $2.2 million for the three months ended March 31, 2023, as the note was remeasured to its settlement value and settled at the closing of the Business Combination.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redeemable noncontrolling interest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loss attributable to redeemable noncontrolling interest was $0.2 million for the three months ended March 31, 2023, representing the noncontrolling shareholder’s interest in the net loss of our consolidated subsidiary, Z33. Z33 had an immaterial amount of net loss for the three months 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 of redeemable noncontrolling interest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Accretion of redeemable noncontrolling interest to redemption value was $0.2 million for the three months ended March 31, 2023. For the three months ended March 31, 2024, redeemable noncontrolling interest was adjusted from its redemption value to its initial fair value, decreased for the noncontrolling shareholder’s interest in net loss of Z33. This $7.0 million adjustment was the result of a decrease in the redemption price below the initial fair value, less the noncontrolling shareholder’s interest in net loss of Z33 as of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Since our inception, we have not generated any revenue and expect to continue to incur significant operating losses for the foreseeable future and may never become profitable. As of March 31, 2024, we had cash and cash equivalents of $89.8 million. As of March 31, 2024, we have funded our operations through (i) the sale of equity, raising an aggregate of $10.0 million of gross proceeds from the sale of our convertible preferred shares; (ii) the issuance of a promissory note, receiving net proceeds of $7.6 million; (iii) proceeds from the Business Combination of $56.7 million in March 2023; and (iv) the April 2023 Private Placement, raising an aggregate of $80.0 million of gross proceeds from the sale of Class A Ordinary Shares and pre-funded warrants in May and June 2023. In April 2024, we closed the April 2024 Private Placement, raising an additional $112.5 million of gross proceeds from the sale of Class A Ordinary Shares and pre-funded warrants.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operating losses and cash outflows from operations since inception and will require ongoing financing in order to continue our research and development activities. We have not earned any revenue or reached successful commercialization of our products. Our future operations are dependent upon our ability to finance our cash requirements which will allow us to continue our research and development activities and the commercialization of our products. There can be no assurance that we will be successful in continuing to finance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date, we have not generated revenue from any source, including the commercial sale of approved drug products, and we do not expect to generate revenue for at least the next few years. If we fail to complete the development of our product candidates in a timely manner or fail to obtain their regulatory approval, our ability to generate future revenue will be adversely affected. We do not know when, or if, we will generate any revenue from our product candidates, and we do not expect to generate revenue unless and until we obtain regulatory approval of, and commercialize, our product candidates.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our expenses to continue to increase in connection with our ongoing activities, particularly as we continue the research and development, and seek marketing approval for our product candidates, as well as administrative costs associated with supporting our operations. In addition, if we obtain approval for any of our product candidates, we expect to incur significant commercialization expenses related to sales, marketing, manufacturing and distribution. Furthermore, we expect to incur additional costs associated with operating as a public company.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will also be responsible to Pfizer and Lilly for significant future contingent payments under the Pfizer Agreement, the 2022 Lilly License, and the 2023 Lilly License (collectively with the 2022 Lilly License, the “Lilly Licenses”) upon the achievement of certain development, regulatory, and sales milestones, as well as ongoing royalties on net commercial sales. The size and timing of these milestone payments will vary greatly depending upon a number of factors, and it is therefore difficult to estimate the total payments that could become payable to Pfizer and Lilly and when those payments would be due. If we achieve all of the milestones, we would be obligated to pay multimillion dollar development and regulatory milestone payments and sales milestone payments. We will be required to pay certain of these milestone payments prior to the time at which we are able to generate sufficient revenue, if any, from commercial sales of any of our product candidates. We intend to fund these milestone payments using a portion of the proceeds from the Business Combination, the April 2023 Private Placement, and the April 2024 Private Placement. In addition to milestone payments, we are also</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required to pay Pfizer and Lilly under the Pfizer Agreement and Lilly Licenses, respectively, ongoing royalties in the mid-single digits to low double-digits (less than 20%) percentage range based upon thresholds of net sales of products.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intend to devote most of the net proceeds from the Business Combination, the April 2023 Private Placement, and the April 2024 Private Placement to the preclinical and clinical development of our product candidates, our public company compliance costs and certain milestone payments. Based on our current business plans, we believe that the net proceeds from the Business Combination and the private placements will enable us to fund our operating expenses and capital requirements through at least the next twelve months. Our estimate as to how long we expect the net proceeds from these equity financings to be able to fund our operating expenses and capital requirements is based on assumptions that may prove to be wrong, and we could use our available capital resources sooner than we currently expect. Changing circumstances, some of which may be beyond our control, could result in less cash available to us or cause us to consume capital significantly faster than we currently anticipate, and we may need to seek additional funds sooner than planned.</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drug products, we are unable to estimate the exact amount of our operating capital requirements. Our future funding requirements will depend on many factors, including, but not limited to:</w:t>
      </w:r>
    </w:p>
    <w:p>
      <w:pPr>
        <w:spacing w:after="0" w:line="176" w:lineRule="exact"/>
        <w:rPr>
          <w:sz w:val="20"/>
          <w:szCs w:val="20"/>
          <w:color w:val="auto"/>
        </w:rPr>
      </w:pPr>
    </w:p>
    <w:p>
      <w:pPr>
        <w:ind w:left="6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product candidates pipeline;</w:t>
      </w:r>
    </w:p>
    <w:p>
      <w:pPr>
        <w:spacing w:after="0" w:line="12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our milestone payments to Pfizer under the Pfizer Agreement and to Lilly under the Lilly Licenses;</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and expand our commercial infrastructure and operations;</w:t>
      </w:r>
    </w:p>
    <w:p>
      <w:pPr>
        <w:spacing w:after="0" w:line="13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distributions, for any of our product candidates for which we receive marketing approval;</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to Pfizer under the Pfizer Agreement and Lilly under the Lilly Licenses;</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sales of our product candidates for which we receive marketing approval;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our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Any future debt financing and equity financing, if available, may involve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acceptable terms, we could be forced to delay, reduce or eliminate our research and development programs or future commercialization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 the</w:t>
            </w:r>
          </w:p>
        </w:tc>
      </w:tr>
      <w:tr>
        <w:trPr>
          <w:trHeight w:val="148"/>
        </w:trPr>
        <w:tc>
          <w:tcPr>
            <w:tcW w:w="4840" w:type="dxa"/>
            <w:vAlign w:val="bottom"/>
          </w:tcPr>
          <w:p>
            <w:pPr>
              <w:spacing w:after="0"/>
              <w:rPr>
                <w:sz w:val="12"/>
                <w:szCs w:val="12"/>
                <w:color w:val="auto"/>
              </w:rPr>
            </w:pPr>
          </w:p>
        </w:tc>
        <w:tc>
          <w:tcPr>
            <w:tcW w:w="2160" w:type="dxa"/>
            <w:vAlign w:val="bottom"/>
            <w:gridSpan w:val="4"/>
          </w:tcPr>
          <w:p>
            <w:pPr>
              <w:jc w:val="center"/>
              <w:ind w:left="828"/>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8"/>
        </w:trPr>
        <w:tc>
          <w:tcPr>
            <w:tcW w:w="4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4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48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45,653</w:t>
            </w: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1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42,396</w:t>
            </w:r>
          </w:p>
        </w:tc>
      </w:tr>
      <w:tr>
        <w:trPr>
          <w:trHeight w:val="20"/>
        </w:trPr>
        <w:tc>
          <w:tcPr>
            <w:tcW w:w="4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2024, was $4.9 million, which consisted of a net loss before redeemable noncontrolling interest of $7.7 million and a net change of $0.2 million in our net operating assets and liabilities, partially offset by $3.0 million in non-cash charges. The non-cash charges consisted of expense from share-based compensation of $2.4 million and a change in fair value on the private placement warrants of $0.6 million, partially offset by a nominal amount of foreign exchange transaction gains.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2023, was $3.3 million, which consisted of a net loss before redeemable noncontrolling interest of $9.8 million, partially offset by $6.3 million in non-cash charges and a net change of $0.2 million in our net operating assets and liabilities. The non-cash charges consisted of expense from the issuance of convertible preferred shares to Pfizer under the anti-dilution provision of the Pfizer Agreement of $2.2 million, a change in fair value of our promissory note of $2.2 million, a change in fair value of our research and development license consideration liability of $1.9 million, additional share-based payments of $0.2 million and a nominal amount of foreign exchange transaction losses partially offset by a change in fair value on the private placement warrants of $0.2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2024 was $5.0 million, which was primarily related to the cash consideration paid to acquire the 2023 Lilly License as well as a nominal amount of equipment purchased during the period.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have any net cash used in or provided by investing activities for the three months ended March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have any net cash used in or provided by financing activities for the three months ended March 31, 2024.</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2023, was $45.7 million, which consisted of $56.7 million of proceeds from the issuance of shares upon the closing of the Business Combination, partially offset by a $10.0 million repayment of our promissory note and the payment of $1.0 million of deferred transaction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or will enter into agreements in the normal course of business with contract research organizations, contract manufacturing organizations and other vendors for research and development services for operating purposes, which are generally cancelable upon written notice. Some third party CMOs have intellectual property, such as patents and/or know-how with an annual fee and royalty bearing license to its customers that forms part of the manufacturing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Lonza</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the Lonza License for a worldwide non-exclusive license for Lonza’s gene expression system in exchange for varying considerations depending on a number of factors such as whether the Company enters further into manufacturing agreements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is free to terminate the Lonza License at any time upon 60 days’ notice, with or without cause. Lonza may terminate the Lonza License for cause upon a breach by the Company or for other commercially standard reasons. During October 2023, the Company began drug substance manufacturing with a third party. As a result of manufacturing with a third party other than Lonza, under the terms of the Lonza License the first annual milestone payment of $0.4 million became due and payable.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WuXi Biologics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2023, we entered into a master services agreement with WuXi Biologics (the “WuXi Biologics MSA”). Under the WuXi Biologics MSA, we are obligated to pay WuXi Biologics a service fee and all non-cancellable obligations in the amount specified in each work order associated with the agreement for the provision of services. The People’s Republic of China (“PRC”), and WuXi Biologics specifically, have faced increased scrutiny by the U.S. government, which could impact our ability to supply torudokimab as needed to meet our forecasted future demand.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WuXi Biologics MSA terminates on the completion of services under all work orders executed by the parties, unless terminated earlier. The term of each work order terminates upon completion of the services under such work order, unless terminated earlier. We can terminate the WuXi Biologics MSA or any work order at any time upon 30 days’ prior written notice and immediately upon written notice if WuXi Biologics fails to obtain or maintain required material governmental licenses or approvals. Either party may terminate a work order at any time upon three months’ prior notice with reasonable cause, provided however that if WuXi Biologics terminates a work order in such manner, no termination or cancellation fees shall be paid by us and immediately for cause upon the other party’s material breach that remains uncured for 30 days after notice of such breach.</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July 2023, we entered into a cell line license agreement (the “Cell Line License Agreement”) with WuXi Biologics. The Cell Line License Agreement provides the Company with a non-exclusive, worldwide, sublicensable license to certain of WuXi Biologics’ know-how,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In consideration for the license, we agreed to pay WuXi Biologics a non-refundable license fee of $150,000. Additionally, if we manufacture all of our commercial supplies of bulk drug product with a manufacturer other than WuXi Biologics or its affiliates, we are required to make royalty payments to WuXi Biologics in an amount equal to a fraction of a single digit percentage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Cell Line License Agreement will continue indefinitely unless terminated (i) by us upon three months’ prior written notice and its payment of all undisputed amounts due to WuXi Biologics through the effective date of termination, (ii) by WuXi Biologics for a material breach by us that remains uncured for 30 days after written notice, or (iii) by WuXi Biologics if we fail to make a payment and such failure continues for 30 days after receiving notice of such failure.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included future milestone or royalty payments or other contractual payment obligations as the timing and amount of such obligations are unknown or uncertain and are contingent upon the initiation, continuation, and/or successful completion of future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unaudited interim condensed consolidated financial statements, which have been prepared in accordance with U.S. Generally Accepted Accounting Principles, and on a basis consistent with those accounting principles followed by us and disclosed in Note 2 to our most recent annual audited consolidated financial statements in the 2023 Annual Report. The preparation of these unaudited interim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as described under Note 2 of our unaudited interim condensed consolidated financial statements, there have been no material changes to our critical accounting policies from those described in “Management’s Discussion and Analysis of Financial Condition and Results of Operations,” included in our 2023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located in “Part I – Financial Information, Item 1. Financial Statements” in this Quarterly Report on Form 10-Q for a description of recent accounting pronouncements applicable to our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April 2012,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Upon closing of the Business Combination, we remained an emerging growth company and may elect to extend the transition period for complying with new or revised accounting standards, which delays the adoption of these accounting standards until they would apply to private companies.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jc w:val="both"/>
        <w:ind w:left="680" w:right="20" w:hanging="321"/>
        <w:spacing w:after="0" w:line="266" w:lineRule="auto"/>
        <w:tabs>
          <w:tab w:leader="none" w:pos="680" w:val="left"/>
        </w:tabs>
        <w:numPr>
          <w:ilvl w:val="0"/>
          <w:numId w:val="2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pacing w:after="0" w:line="175" w:lineRule="exact"/>
        <w:rPr>
          <w:rFonts w:ascii="Times New Roman" w:cs="Times New Roman" w:eastAsia="Times New Roman" w:hAnsi="Times New Roman"/>
          <w:sz w:val="18"/>
          <w:szCs w:val="18"/>
          <w:color w:val="212529"/>
        </w:rPr>
      </w:pPr>
    </w:p>
    <w:p>
      <w:pPr>
        <w:ind w:left="680" w:hanging="321"/>
        <w:spacing w:after="0" w:line="282" w:lineRule="auto"/>
        <w:tabs>
          <w:tab w:leader="none" w:pos="680" w:val="left"/>
        </w:tabs>
        <w:numPr>
          <w:ilvl w:val="0"/>
          <w:numId w:val="2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an exception from compliance with the auditor attestation requirements of Section 404 of the Sarbanes-Oxley Act of 2002, as amended;</w:t>
      </w:r>
    </w:p>
    <w:p>
      <w:pPr>
        <w:spacing w:after="0" w:line="161" w:lineRule="exact"/>
        <w:rPr>
          <w:rFonts w:ascii="Times New Roman" w:cs="Times New Roman" w:eastAsia="Times New Roman" w:hAnsi="Times New Roman"/>
          <w:sz w:val="18"/>
          <w:szCs w:val="18"/>
          <w:color w:val="212529"/>
        </w:rPr>
      </w:pPr>
    </w:p>
    <w:p>
      <w:pPr>
        <w:ind w:left="680" w:hanging="321"/>
        <w:spacing w:after="0" w:line="282" w:lineRule="auto"/>
        <w:tabs>
          <w:tab w:leader="none" w:pos="680" w:val="left"/>
        </w:tabs>
        <w:numPr>
          <w:ilvl w:val="0"/>
          <w:numId w:val="2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reduced disclosure about our executive compensation arrangements in our periodic reports, proxy statements and registrations statements; and</w:t>
      </w:r>
    </w:p>
    <w:p>
      <w:pPr>
        <w:spacing w:after="0" w:line="161" w:lineRule="exact"/>
        <w:rPr>
          <w:rFonts w:ascii="Times New Roman" w:cs="Times New Roman" w:eastAsia="Times New Roman" w:hAnsi="Times New Roman"/>
          <w:sz w:val="18"/>
          <w:szCs w:val="18"/>
          <w:color w:val="212529"/>
        </w:rPr>
      </w:pPr>
    </w:p>
    <w:p>
      <w:pPr>
        <w:jc w:val="both"/>
        <w:ind w:left="680" w:hanging="321"/>
        <w:spacing w:after="0" w:line="266" w:lineRule="auto"/>
        <w:tabs>
          <w:tab w:leader="none" w:pos="680" w:val="left"/>
        </w:tabs>
        <w:numPr>
          <w:ilvl w:val="0"/>
          <w:numId w:val="2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exemptions from the requirements of holding non-binding advisory votes on executive compensation or golden parachute arrangements; and an exemption from compliance with the requirements of the Public Company Accounting Oversight Board regarding the communication of critical audit matters in the auditor’s report on financial statements.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would cease to qualify as an emerging growth company on the date that is the earliest of: (i) December 31, 2026, (ii) the last day of the fiscal year in which we have more than $1.07 billion in total annual gross revenues, (iii) the date on which we are deemed to be a “large accelerated filer” under the rules of the SEC, which means the market value of our Class A Ordinary Shares that is held by non-affiliates exceeds $700.0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Accordingly, the information contained herein may be different than you might obtain from other public companies in which you hold equity interests.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also a “smaller reporting company” as defined under the Securities Act and Exchange Act. We may continue to be a smaller reporting company so long as either (i) the market value of Class A Ordinary Shares held by non-affiliates is less than $250 million or (ii) our annual revenue was less than $100 million during the most recently completed fiscal year and the market value of Class A Ordinary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under the requirements of (ii) above, we would not be required to obtain an attestation report on internal control over financial reporting issued by our independent registered public accounting firm.</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permitted to omit information required by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Chief Financial Officer, as appropriate, to allow timely decisions regarding required disclosure. As of March 31, 2024, our Chief Executive Officer and Chief Financial Officer carried out an evaluation with the participation of management of the effectiveness of our disclosure controls and procedures, as defined in Rules 13a-15(e) and 15d-15(e) under the Securities Exchange Act of 1934. Based upon that evaluation, our Chief Executive Officer and Chief Financial Officer concluded that our disclosure controls and procedures were effective at a reasonable assurance level as of March 31, 2024.</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Securities Exchange Act of 1934 that occurred during the quarter ended March 31, 2024, that has materially affected, or is reasonably likely to materially affect, our internal control over financial reporting.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we are not required to make disclosures under this Item in our Quarterly Report on Form 10-Q.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9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94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4"/>
                <w:szCs w:val="14"/>
                <w:color w:val="auto"/>
              </w:rPr>
            </w:pPr>
          </w:p>
        </w:tc>
        <w:tc>
          <w:tcPr>
            <w:tcW w:w="8940" w:type="dxa"/>
            <w:vAlign w:val="bottom"/>
            <w:tcBorders>
              <w:top w:val="single" w:sz="8" w:color="auto"/>
              <w:bottom w:val="single" w:sz="8" w:color="0000EE"/>
            </w:tcBorders>
            <w:gridSpan w:val="6"/>
          </w:tcPr>
          <w:p>
            <w:pPr>
              <w:spacing w:after="0" w:line="169"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Employment Agreement between Zura Bio Limited and Robert Lisicki. (incorporated by reference to Exhibit 10.1 of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6"/>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Company’s Current Report on Form 8-K, filed with the SEC on January 8, 2024).</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89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of 1934, as Adopted Pursuant to Section 302 of the Sarbanes-Oxley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89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1934, as Adopted Pursuant to Section 302 of the Sarbanes-Oxley Act of 2002.</w:t>
            </w:r>
          </w:p>
        </w:tc>
        <w:tc>
          <w:tcPr>
            <w:tcW w:w="33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89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68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7"/>
                <w:szCs w:val="17"/>
                <w:color w:val="auto"/>
              </w:rPr>
            </w:pPr>
          </w:p>
        </w:tc>
        <w:tc>
          <w:tcPr>
            <w:tcW w:w="89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0" w:type="dxa"/>
            <w:vAlign w:val="bottom"/>
          </w:tcPr>
          <w:p>
            <w:pPr>
              <w:spacing w:after="0"/>
              <w:rPr>
                <w:sz w:val="1"/>
                <w:szCs w:val="1"/>
                <w:color w:val="auto"/>
              </w:rPr>
            </w:pPr>
          </w:p>
        </w:tc>
      </w:tr>
      <w:tr>
        <w:trPr>
          <w:trHeight w:val="218"/>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20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8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8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8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8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8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8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2900" w:type="dxa"/>
            <w:vAlign w:val="bottom"/>
          </w:tcPr>
          <w:p>
            <w:pPr>
              <w:spacing w:after="0"/>
              <w:rPr>
                <w:sz w:val="19"/>
                <w:szCs w:val="19"/>
                <w:color w:val="auto"/>
              </w:rPr>
            </w:pPr>
          </w:p>
        </w:tc>
        <w:tc>
          <w:tcPr>
            <w:tcW w:w="700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ZURA BIO LIMITED</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Lisicki</w:t>
            </w:r>
          </w:p>
        </w:tc>
      </w:tr>
      <w:tr>
        <w:trPr>
          <w:trHeight w:val="191"/>
        </w:trPr>
        <w:tc>
          <w:tcPr>
            <w:tcW w:w="2900" w:type="dxa"/>
            <w:vAlign w:val="bottom"/>
          </w:tcPr>
          <w:p>
            <w:pPr>
              <w:spacing w:after="0"/>
              <w:rPr>
                <w:sz w:val="16"/>
                <w:szCs w:val="16"/>
                <w:color w:val="auto"/>
              </w:rPr>
            </w:pPr>
          </w:p>
        </w:tc>
        <w:tc>
          <w:tcPr>
            <w:tcW w:w="7000" w:type="dxa"/>
            <w:vAlign w:val="bottom"/>
            <w:gridSpan w:val="2"/>
          </w:tcPr>
          <w:p>
            <w:pPr>
              <w:ind w:left="1560"/>
              <w:spacing w:after="0" w:line="191" w:lineRule="exact"/>
              <w:rPr>
                <w:sz w:val="20"/>
                <w:szCs w:val="20"/>
                <w:color w:val="auto"/>
              </w:rPr>
            </w:pPr>
            <w:r>
              <w:rPr>
                <w:rFonts w:ascii="Times New Roman" w:cs="Times New Roman" w:eastAsia="Times New Roman" w:hAnsi="Times New Roman"/>
                <w:sz w:val="18"/>
                <w:szCs w:val="18"/>
                <w:color w:val="auto"/>
              </w:rPr>
              <w:t>Name:Robert Lisicki</w:t>
            </w:r>
          </w:p>
        </w:tc>
      </w:tr>
      <w:tr>
        <w:trPr>
          <w:trHeight w:val="216"/>
        </w:trPr>
        <w:tc>
          <w:tcPr>
            <w:tcW w:w="2900" w:type="dxa"/>
            <w:vAlign w:val="bottom"/>
          </w:tcPr>
          <w:p>
            <w:pPr>
              <w:spacing w:after="0"/>
              <w:rPr>
                <w:sz w:val="18"/>
                <w:szCs w:val="18"/>
                <w:color w:val="auto"/>
              </w:rPr>
            </w:pP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9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Verender S. Badial</w:t>
            </w:r>
          </w:p>
        </w:tc>
      </w:tr>
      <w:tr>
        <w:trPr>
          <w:trHeight w:val="191"/>
        </w:trPr>
        <w:tc>
          <w:tcPr>
            <w:tcW w:w="2900" w:type="dxa"/>
            <w:vAlign w:val="bottom"/>
          </w:tcPr>
          <w:p>
            <w:pPr>
              <w:spacing w:after="0"/>
              <w:rPr>
                <w:sz w:val="16"/>
                <w:szCs w:val="16"/>
                <w:color w:val="auto"/>
              </w:rPr>
            </w:pPr>
          </w:p>
        </w:tc>
        <w:tc>
          <w:tcPr>
            <w:tcW w:w="7000" w:type="dxa"/>
            <w:vAlign w:val="bottom"/>
            <w:gridSpan w:val="2"/>
          </w:tcPr>
          <w:p>
            <w:pPr>
              <w:ind w:left="1560"/>
              <w:spacing w:after="0" w:line="191" w:lineRule="exact"/>
              <w:rPr>
                <w:sz w:val="20"/>
                <w:szCs w:val="20"/>
                <w:color w:val="auto"/>
              </w:rPr>
            </w:pPr>
            <w:r>
              <w:rPr>
                <w:rFonts w:ascii="Times New Roman" w:cs="Times New Roman" w:eastAsia="Times New Roman" w:hAnsi="Times New Roman"/>
                <w:sz w:val="18"/>
                <w:szCs w:val="18"/>
                <w:color w:val="auto"/>
              </w:rPr>
              <w:t>Name:Verender S. Badial</w:t>
            </w:r>
          </w:p>
        </w:tc>
      </w:tr>
      <w:tr>
        <w:trPr>
          <w:trHeight w:val="216"/>
        </w:trPr>
        <w:tc>
          <w:tcPr>
            <w:tcW w:w="2900" w:type="dxa"/>
            <w:vAlign w:val="bottom"/>
          </w:tcPr>
          <w:p>
            <w:pPr>
              <w:spacing w:after="0"/>
              <w:rPr>
                <w:sz w:val="18"/>
                <w:szCs w:val="18"/>
                <w:color w:val="auto"/>
              </w:rPr>
            </w:pP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Lisicki,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Zura Bio Limited;</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Robert Lisicki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8"/>
          <w:szCs w:val="18"/>
          <w:color w:val="auto"/>
        </w:rPr>
        <w:t>Robert Lisicki</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Verender Badial,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Zura Bio Limited;</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 Verender Badial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5715</wp:posOffset>
            </wp:positionV>
            <wp:extent cx="31546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18"/>
          <w:szCs w:val="18"/>
          <w:color w:val="auto"/>
        </w:rPr>
        <w:t>Verender Badial</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Zura Bio Limited (the “Company”) on Form 10-Q for the quarterly period ended March 31, 2024, as filed with the Securities and Exchange Commission (the “Report”), I, Robert Lisicki, Chief Executive Officer of the Company, certify, pursuant to 18 U.S.C. §1350, as adopted pursuant to §906 of the Sarbanes-Oxley Act of 2002, that, to the best of my knowledge:</w:t>
      </w:r>
    </w:p>
    <w:p>
      <w:pPr>
        <w:spacing w:after="0" w:line="15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9, 2024</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Robert Lisicki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8"/>
          <w:szCs w:val="18"/>
          <w:color w:val="auto"/>
        </w:rPr>
        <w:t>Robert Lisicki</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Zura Bio Limited (the “Company”) on Form 10-Q for the quarterly period ended March 31, 2024, as filed with the Securities and Exchange Commission (the “Report”), I, Verender Badial, Chief Financial Officer of the Company, certify, pursuant to 18 U.S.C. §1350, as adopted pursuant to §906 of the Sarbanes-Oxley Act of 2002, that, to the best of my knowledge:</w:t>
      </w:r>
    </w:p>
    <w:p>
      <w:pPr>
        <w:spacing w:after="0" w:line="15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9, 2024</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 Verender Badial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5715</wp:posOffset>
            </wp:positionV>
            <wp:extent cx="31546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18"/>
          <w:szCs w:val="18"/>
          <w:color w:val="auto"/>
        </w:rPr>
        <w:t>Verender Badial</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2"/>
    </w:lvl>
  </w:abstractNum>
  <w:abstractNum w:abstractNumId="7">
    <w:nsid w:val="431BD7B7"/>
    <w:multiLevelType w:val="hybridMultilevel"/>
    <w:lvl w:ilvl="0">
      <w:lvlJc w:val="left"/>
      <w:lvlText w:val="%1."/>
      <w:numFmt w:val="decimal"/>
      <w:start w:val="3"/>
    </w:lvl>
  </w:abstractNum>
  <w:abstractNum w:abstractNumId="8">
    <w:nsid w:val="3F2DBA31"/>
    <w:multiLevelType w:val="hybridMultilevel"/>
    <w:lvl w:ilvl="0">
      <w:lvlJc w:val="left"/>
      <w:lvlText w:val="%1."/>
      <w:numFmt w:val="decimal"/>
      <w:start w:val="4"/>
    </w:lvl>
  </w:abstractNum>
  <w:abstractNum w:abstractNumId="9">
    <w:nsid w:val="7C83E458"/>
    <w:multiLevelType w:val="hybridMultilevel"/>
    <w:lvl w:ilvl="0">
      <w:lvlJc w:val="left"/>
      <w:lvlText w:val="%1."/>
      <w:numFmt w:val="decimal"/>
      <w:start w:val="5"/>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decimal"/>
      <w:start w:val="6"/>
    </w:lvl>
  </w:abstractNum>
  <w:abstractNum w:abstractNumId="12">
    <w:nsid w:val="436C6125"/>
    <w:multiLevelType w:val="hybridMultilevel"/>
    <w:lvl w:ilvl="0">
      <w:lvlJc w:val="left"/>
      <w:lvlText w:val="%1."/>
      <w:numFmt w:val="decimal"/>
      <w:start w:val="7"/>
    </w:lvl>
  </w:abstractNum>
  <w:abstractNum w:abstractNumId="13">
    <w:nsid w:val="628C895D"/>
    <w:multiLevelType w:val="hybridMultilevel"/>
    <w:lvl w:ilvl="0">
      <w:lvlJc w:val="left"/>
      <w:lvlText w:val="%1."/>
      <w:numFmt w:val="decimal"/>
      <w:start w:val="8"/>
    </w:lvl>
  </w:abstractNum>
  <w:abstractNum w:abstractNumId="14">
    <w:nsid w:val="333AB105"/>
    <w:multiLevelType w:val="hybridMultilevel"/>
    <w:lvl w:ilvl="0">
      <w:lvlJc w:val="left"/>
      <w:lvlText w:val="%1."/>
      <w:numFmt w:val="decimal"/>
      <w:start w:val="9"/>
    </w:lvl>
  </w:abstractNum>
  <w:abstractNum w:abstractNumId="15">
    <w:nsid w:val="721DA317"/>
    <w:multiLevelType w:val="hybridMultilevel"/>
    <w:lvl w:ilvl="0">
      <w:lvlJc w:val="left"/>
      <w:lvlText w:val="%1."/>
      <w:numFmt w:val="decimal"/>
      <w:start w:val="10"/>
    </w:lvl>
  </w:abstractNum>
  <w:abstractNum w:abstractNumId="16">
    <w:nsid w:val="2443A858"/>
    <w:multiLevelType w:val="hybridMultilevel"/>
    <w:lvl w:ilvl="0">
      <w:lvlJc w:val="left"/>
      <w:lvlText w:val="%1."/>
      <w:numFmt w:val="decimal"/>
      <w:start w:val="1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55" Type="http://schemas.openxmlformats.org/officeDocument/2006/relationships/hyperlink" Target="https://www.sec.gov/Archives/edgar/data/1855644/000110465924001984/tm24234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2024-05-09T05:34:16Z</dcterms:created>
  <dcterms:modified xsi:type="dcterms:W3CDTF">2024-05-09T05:34:16Z</dcterms:modified>
</cp:coreProperties>
</file>