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71120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(Mark One)</w:t>
      </w:r>
    </w:p>
    <w:p>
      <w:pPr>
        <w:spacing w:after="0" w:line="111" w:lineRule="exact"/>
        <w:rPr>
          <w:sz w:val="24"/>
          <w:szCs w:val="24"/>
          <w:color w:val="auto"/>
        </w:rPr>
      </w:pPr>
    </w:p>
    <w:p>
      <w:pPr>
        <w:ind w:left="420" w:hanging="400"/>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2" w:lineRule="exact"/>
        <w:rPr>
          <w:sz w:val="24"/>
          <w:szCs w:val="24"/>
          <w:color w:val="auto"/>
        </w:rPr>
      </w:pPr>
    </w:p>
    <w:p>
      <w:pPr>
        <w:ind w:left="420" w:hanging="400"/>
        <w:spacing w:after="0"/>
        <w:tabs>
          <w:tab w:leader="none" w:pos="4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w:t>
      </w:r>
    </w:p>
    <w:p>
      <w:pPr>
        <w:spacing w:after="0" w:line="37" w:lineRule="exact"/>
        <w:rPr>
          <w:sz w:val="24"/>
          <w:szCs w:val="24"/>
          <w:color w:val="auto"/>
        </w:rPr>
      </w:pPr>
    </w:p>
    <w:tbl>
      <w:tblPr>
        <w:tblLayout w:type="fixed"/>
        <w:tblInd w:w="420" w:type="dxa"/>
        <w:tblCellMar>
          <w:top w:w="0" w:type="dxa"/>
          <w:left w:w="0" w:type="dxa"/>
          <w:bottom w:w="0" w:type="dxa"/>
          <w:right w:w="0" w:type="dxa"/>
        </w:tblCellMar>
      </w:tblPr>
      <w:tr>
        <w:trPr>
          <w:trHeight w:val="210"/>
        </w:trPr>
        <w:tc>
          <w:tcPr>
            <w:tcW w:w="2660" w:type="dxa"/>
            <w:vAlign w:val="bottom"/>
          </w:tcPr>
          <w:p>
            <w:pPr>
              <w:spacing w:after="0"/>
              <w:rPr>
                <w:sz w:val="20"/>
                <w:szCs w:val="20"/>
                <w:color w:val="auto"/>
              </w:rPr>
            </w:pPr>
            <w:r>
              <w:rPr>
                <w:rFonts w:ascii="Arial" w:cs="Arial" w:eastAsia="Arial" w:hAnsi="Arial"/>
                <w:sz w:val="16"/>
                <w:szCs w:val="16"/>
                <w:b w:val="1"/>
                <w:bCs w:val="1"/>
                <w:color w:val="auto"/>
              </w:rPr>
              <w:t>TRANSITION PERIOD FROM</w:t>
            </w:r>
          </w:p>
        </w:tc>
        <w:tc>
          <w:tcPr>
            <w:tcW w:w="3720" w:type="dxa"/>
            <w:vAlign w:val="bottom"/>
            <w:gridSpan w:val="5"/>
          </w:tcPr>
          <w:p>
            <w:pPr>
              <w:ind w:left="180"/>
              <w:spacing w:after="0"/>
              <w:rPr>
                <w:sz w:val="20"/>
                <w:szCs w:val="20"/>
                <w:color w:val="auto"/>
              </w:rPr>
            </w:pPr>
            <w:r>
              <w:rPr>
                <w:rFonts w:ascii="Arial" w:cs="Arial" w:eastAsia="Arial" w:hAnsi="Arial"/>
                <w:sz w:val="16"/>
                <w:szCs w:val="16"/>
                <w:b w:val="1"/>
                <w:bCs w:val="1"/>
                <w:color w:val="auto"/>
              </w:rPr>
              <w:t>TO</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0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91"/>
              </w:rPr>
              <w:t>Commission File Number 001-40598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2660" w:type="dxa"/>
            <w:vAlign w:val="bottom"/>
          </w:tcPr>
          <w:p>
            <w:pPr>
              <w:spacing w:after="0"/>
              <w:rPr>
                <w:sz w:val="24"/>
                <w:szCs w:val="24"/>
                <w:color w:val="auto"/>
              </w:rPr>
            </w:pPr>
          </w:p>
        </w:tc>
        <w:tc>
          <w:tcPr>
            <w:tcW w:w="3720" w:type="dxa"/>
            <w:vAlign w:val="bottom"/>
            <w:gridSpan w:val="5"/>
          </w:tcPr>
          <w:p>
            <w:pPr>
              <w:jc w:val="center"/>
              <w:spacing w:after="0"/>
              <w:rPr>
                <w:sz w:val="20"/>
                <w:szCs w:val="20"/>
                <w:color w:val="auto"/>
              </w:rPr>
            </w:pPr>
            <w:r>
              <w:rPr>
                <w:rFonts w:ascii="Arial" w:cs="Arial" w:eastAsia="Arial" w:hAnsi="Arial"/>
                <w:sz w:val="34"/>
                <w:szCs w:val="34"/>
                <w:b w:val="1"/>
                <w:bCs w:val="1"/>
                <w:color w:val="auto"/>
              </w:rPr>
              <w:t>ZURA BIO LIMITED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37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660" w:type="dxa"/>
            <w:vAlign w:val="bottom"/>
            <w:vMerge w:val="restart"/>
          </w:tcPr>
          <w:p>
            <w:pPr>
              <w:jc w:val="center"/>
              <w:ind w:left="1379"/>
              <w:spacing w:after="0"/>
              <w:rPr>
                <w:sz w:val="20"/>
                <w:szCs w:val="20"/>
                <w:color w:val="auto"/>
              </w:rPr>
            </w:pPr>
            <w:r>
              <w:rPr>
                <w:rFonts w:ascii="Arial" w:cs="Arial" w:eastAsia="Arial" w:hAnsi="Arial"/>
                <w:sz w:val="16"/>
                <w:szCs w:val="16"/>
                <w:b w:val="1"/>
                <w:bCs w:val="1"/>
                <w:color w:val="auto"/>
                <w:w w:val="91"/>
              </w:rPr>
              <w:t>Cayman Islands</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98-1725736</w:t>
            </w:r>
          </w:p>
        </w:tc>
        <w:tc>
          <w:tcPr>
            <w:tcW w:w="0" w:type="dxa"/>
            <w:vAlign w:val="bottom"/>
          </w:tcPr>
          <w:p>
            <w:pPr>
              <w:spacing w:after="0"/>
              <w:rPr>
                <w:sz w:val="1"/>
                <w:szCs w:val="1"/>
                <w:color w:val="auto"/>
              </w:rPr>
            </w:pPr>
          </w:p>
        </w:tc>
      </w:tr>
      <w:tr>
        <w:trPr>
          <w:trHeight w:val="364"/>
        </w:trPr>
        <w:tc>
          <w:tcPr>
            <w:tcW w:w="26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80" w:type="dxa"/>
            <w:vAlign w:val="bottom"/>
            <w:gridSpan w:val="6"/>
          </w:tcPr>
          <w:p>
            <w:pPr>
              <w:jc w:val="center"/>
              <w:ind w:right="2260"/>
              <w:spacing w:after="0"/>
              <w:rPr>
                <w:sz w:val="20"/>
                <w:szCs w:val="20"/>
                <w:color w:val="auto"/>
              </w:rPr>
            </w:pPr>
            <w:r>
              <w:rPr>
                <w:rFonts w:ascii="Arial" w:cs="Arial" w:eastAsia="Arial" w:hAnsi="Arial"/>
                <w:sz w:val="16"/>
                <w:szCs w:val="16"/>
                <w:b w:val="1"/>
                <w:bCs w:val="1"/>
                <w:color w:val="auto"/>
                <w:w w:val="92"/>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6"/>
              </w:rPr>
              <w:t>(I.R.S. Employer</w:t>
            </w:r>
          </w:p>
        </w:tc>
        <w:tc>
          <w:tcPr>
            <w:tcW w:w="0" w:type="dxa"/>
            <w:vAlign w:val="bottom"/>
          </w:tcPr>
          <w:p>
            <w:pPr>
              <w:spacing w:after="0"/>
              <w:rPr>
                <w:sz w:val="1"/>
                <w:szCs w:val="1"/>
                <w:color w:val="auto"/>
              </w:rPr>
            </w:pPr>
          </w:p>
        </w:tc>
      </w:tr>
      <w:tr>
        <w:trPr>
          <w:trHeight w:val="216"/>
        </w:trPr>
        <w:tc>
          <w:tcPr>
            <w:tcW w:w="6380" w:type="dxa"/>
            <w:vAlign w:val="bottom"/>
            <w:gridSpan w:val="6"/>
          </w:tcPr>
          <w:p>
            <w:pPr>
              <w:jc w:val="center"/>
              <w:ind w:right="2260"/>
              <w:spacing w:after="0"/>
              <w:rPr>
                <w:sz w:val="20"/>
                <w:szCs w:val="20"/>
                <w:color w:val="auto"/>
              </w:rPr>
            </w:pPr>
            <w:r>
              <w:rPr>
                <w:rFonts w:ascii="Arial" w:cs="Arial" w:eastAsia="Arial" w:hAnsi="Arial"/>
                <w:sz w:val="16"/>
                <w:szCs w:val="16"/>
                <w:b w:val="1"/>
                <w:bCs w:val="1"/>
                <w:color w:val="auto"/>
                <w:w w:val="92"/>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210"/>
        </w:trPr>
        <w:tc>
          <w:tcPr>
            <w:tcW w:w="6380" w:type="dxa"/>
            <w:vAlign w:val="bottom"/>
            <w:gridSpan w:val="6"/>
          </w:tcPr>
          <w:p>
            <w:pPr>
              <w:jc w:val="center"/>
              <w:ind w:right="2260"/>
              <w:spacing w:after="0"/>
              <w:rPr>
                <w:sz w:val="20"/>
                <w:szCs w:val="20"/>
                <w:color w:val="auto"/>
              </w:rPr>
            </w:pPr>
            <w:r>
              <w:rPr>
                <w:rFonts w:ascii="Arial" w:cs="Arial" w:eastAsia="Arial" w:hAnsi="Arial"/>
                <w:sz w:val="16"/>
                <w:szCs w:val="16"/>
                <w:b w:val="1"/>
                <w:bCs w:val="1"/>
                <w:color w:val="auto"/>
                <w:w w:val="92"/>
              </w:rPr>
              <w:t>1489 W. Warm Springs Rd. #110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jc w:val="center"/>
              <w:ind w:left="1379"/>
              <w:spacing w:after="0"/>
              <w:rPr>
                <w:sz w:val="20"/>
                <w:szCs w:val="20"/>
                <w:color w:val="auto"/>
              </w:rPr>
            </w:pPr>
            <w:r>
              <w:rPr>
                <w:rFonts w:ascii="Arial" w:cs="Arial" w:eastAsia="Arial" w:hAnsi="Arial"/>
                <w:sz w:val="16"/>
                <w:szCs w:val="16"/>
                <w:b w:val="1"/>
                <w:bCs w:val="1"/>
                <w:color w:val="auto"/>
                <w:w w:val="94"/>
              </w:rPr>
              <w:t>Henderson, NV</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89014</w:t>
            </w:r>
          </w:p>
        </w:tc>
        <w:tc>
          <w:tcPr>
            <w:tcW w:w="0" w:type="dxa"/>
            <w:vAlign w:val="bottom"/>
          </w:tcPr>
          <w:p>
            <w:pPr>
              <w:spacing w:after="0"/>
              <w:rPr>
                <w:sz w:val="1"/>
                <w:szCs w:val="1"/>
                <w:color w:val="auto"/>
              </w:rPr>
            </w:pPr>
          </w:p>
        </w:tc>
      </w:tr>
      <w:tr>
        <w:trPr>
          <w:trHeight w:val="210"/>
        </w:trPr>
        <w:tc>
          <w:tcPr>
            <w:tcW w:w="6380" w:type="dxa"/>
            <w:vAlign w:val="bottom"/>
            <w:gridSpan w:val="6"/>
          </w:tcPr>
          <w:p>
            <w:pPr>
              <w:jc w:val="center"/>
              <w:ind w:right="22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(702) 757-6133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71755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4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3"/>
              </w:rPr>
              <w:t>Class A Ordinary Shares</w:t>
            </w:r>
          </w:p>
        </w:tc>
        <w:tc>
          <w:tcPr>
            <w:tcW w:w="140" w:type="dxa"/>
            <w:vAlign w:val="bottom"/>
          </w:tcPr>
          <w:p>
            <w:pPr>
              <w:spacing w:after="0"/>
              <w:rPr>
                <w:sz w:val="10"/>
                <w:szCs w:val="10"/>
                <w:color w:val="auto"/>
              </w:rPr>
            </w:pPr>
          </w:p>
        </w:tc>
        <w:tc>
          <w:tcPr>
            <w:tcW w:w="14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rPr>
              <w:t>ZURA</w:t>
            </w:r>
          </w:p>
        </w:tc>
        <w:tc>
          <w:tcPr>
            <w:tcW w:w="160" w:type="dxa"/>
            <w:vAlign w:val="bottom"/>
          </w:tcPr>
          <w:p>
            <w:pPr>
              <w:spacing w:after="0"/>
              <w:rPr>
                <w:sz w:val="10"/>
                <w:szCs w:val="10"/>
                <w:color w:val="auto"/>
              </w:rPr>
            </w:pPr>
          </w:p>
        </w:tc>
        <w:tc>
          <w:tcPr>
            <w:tcW w:w="44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7"/>
              </w:rPr>
              <w:t>The Nasdaq Stock Market LLC</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Warrants</w:t>
            </w: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ZURAW</w:t>
            </w:r>
          </w:p>
        </w:tc>
        <w:tc>
          <w:tcPr>
            <w:tcW w:w="4440" w:type="dxa"/>
            <w:vAlign w:val="bottom"/>
          </w:tcPr>
          <w:p>
            <w:pPr>
              <w:jc w:val="center"/>
              <w:spacing w:after="0" w:line="145" w:lineRule="exact"/>
              <w:rPr>
                <w:sz w:val="20"/>
                <w:szCs w:val="20"/>
                <w:color w:val="auto"/>
              </w:rPr>
            </w:pPr>
            <w:r>
              <w:rPr>
                <w:rFonts w:ascii="Arial" w:cs="Arial" w:eastAsia="Arial" w:hAnsi="Arial"/>
                <w:sz w:val="14"/>
                <w:szCs w:val="14"/>
                <w:color w:val="auto"/>
                <w:w w:val="93"/>
              </w:rPr>
              <w:t>(The Nasdaq Capital Market)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4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The Nasdaq Stock Market LLC</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color w:val="auto"/>
                <w:w w:val="93"/>
              </w:rPr>
              <w:t>(The Nasdaq Capital Market)</w:t>
            </w:r>
          </w:p>
        </w:tc>
        <w:tc>
          <w:tcPr>
            <w:tcW w:w="0" w:type="dxa"/>
            <w:vAlign w:val="bottom"/>
          </w:tcPr>
          <w:p>
            <w:pPr>
              <w:spacing w:after="0"/>
              <w:rPr>
                <w:sz w:val="1"/>
                <w:szCs w:val="1"/>
                <w:color w:val="auto"/>
              </w:rPr>
            </w:pPr>
          </w:p>
        </w:tc>
      </w:tr>
    </w:tbl>
    <w:p>
      <w:pPr>
        <w:spacing w:after="0" w:line="61" w:lineRule="exact"/>
        <w:rPr>
          <w:sz w:val="24"/>
          <w:szCs w:val="24"/>
          <w:color w:val="auto"/>
        </w:rPr>
      </w:pPr>
    </w:p>
    <w:p>
      <w:pPr>
        <w:jc w:val="both"/>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60" w:val="left"/>
          <w:tab w:leader="none" w:pos="10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9" w:lineRule="exact"/>
        <w:rPr>
          <w:sz w:val="24"/>
          <w:szCs w:val="24"/>
          <w:color w:val="auto"/>
        </w:rPr>
      </w:pPr>
    </w:p>
    <w:p>
      <w:pPr>
        <w:jc w:val="both"/>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1"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7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1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7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8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1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50" w:lineRule="exact"/>
        <w:rPr>
          <w:sz w:val="24"/>
          <w:szCs w:val="24"/>
          <w:color w:val="auto"/>
        </w:rPr>
      </w:pPr>
    </w:p>
    <w:p>
      <w:pPr>
        <w:jc w:val="both"/>
        <w:ind w:right="2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2340"/>
        <w:spacing w:after="0" w:line="23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14, 2023, the registrant had 43,093,685 Class A Ordinary Shares and 6,899,996 Public Warrants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479425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2"/>
            <w:vMerge w:val="restart"/>
          </w:tcPr>
          <w:p>
            <w:pPr>
              <w:spacing w:after="0"/>
              <w:rPr>
                <w:sz w:val="20"/>
                <w:szCs w:val="20"/>
                <w:color w:val="auto"/>
              </w:rPr>
            </w:pPr>
            <w:r>
              <w:rPr>
                <w:rFonts w:ascii="Arial" w:cs="Arial" w:eastAsia="Arial" w:hAnsi="Arial"/>
                <w:sz w:val="18"/>
                <w:szCs w:val="18"/>
                <w:b w:val="1"/>
                <w:bCs w:val="1"/>
                <w:color w:val="0000EE"/>
                <w:w w:val="94"/>
              </w:rPr>
              <w:t>PART I</w:t>
            </w:r>
          </w:p>
        </w:tc>
        <w:tc>
          <w:tcPr>
            <w:tcW w:w="360" w:type="dxa"/>
            <w:vAlign w:val="bottom"/>
            <w:gridSpan w:val="4"/>
            <w:vMerge w:val="restart"/>
          </w:tcPr>
          <w:p>
            <w:pPr>
              <w:spacing w:after="0"/>
              <w:rPr>
                <w:sz w:val="14"/>
                <w:szCs w:val="14"/>
                <w:color w:val="auto"/>
              </w:rPr>
            </w:pPr>
          </w:p>
        </w:tc>
        <w:tc>
          <w:tcPr>
            <w:tcW w:w="8320" w:type="dxa"/>
            <w:vAlign w:val="bottom"/>
            <w:gridSpan w:val="17"/>
            <w:vMerge w:val="restart"/>
          </w:tcPr>
          <w:p>
            <w:pPr>
              <w:spacing w:after="0"/>
              <w:rPr>
                <w:sz w:val="20"/>
                <w:szCs w:val="20"/>
                <w:color w:val="auto"/>
              </w:rPr>
            </w:pPr>
            <w:r>
              <w:rPr>
                <w:rFonts w:ascii="Arial" w:cs="Arial" w:eastAsia="Arial" w:hAnsi="Arial"/>
                <w:sz w:val="18"/>
                <w:szCs w:val="18"/>
                <w:color w:val="0000EE"/>
              </w:rPr>
              <w:t>FINANCIAL INFORMATION</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600" w:type="dxa"/>
            <w:vAlign w:val="bottom"/>
            <w:gridSpan w:val="2"/>
            <w:vMerge w:val="continue"/>
          </w:tcPr>
          <w:p>
            <w:pPr>
              <w:spacing w:after="0"/>
              <w:rPr>
                <w:sz w:val="14"/>
                <w:szCs w:val="14"/>
                <w:color w:val="auto"/>
              </w:rPr>
            </w:pPr>
          </w:p>
        </w:tc>
        <w:tc>
          <w:tcPr>
            <w:tcW w:w="360" w:type="dxa"/>
            <w:vAlign w:val="bottom"/>
            <w:gridSpan w:val="4"/>
            <w:vMerge w:val="continue"/>
          </w:tcPr>
          <w:p>
            <w:pPr>
              <w:spacing w:after="0"/>
              <w:rPr>
                <w:sz w:val="14"/>
                <w:szCs w:val="14"/>
                <w:color w:val="auto"/>
              </w:rPr>
            </w:pPr>
          </w:p>
        </w:tc>
        <w:tc>
          <w:tcPr>
            <w:tcW w:w="8320" w:type="dxa"/>
            <w:vAlign w:val="bottom"/>
            <w:gridSpan w:val="17"/>
            <w:vMerge w:val="continue"/>
          </w:tcPr>
          <w:p>
            <w:pPr>
              <w:spacing w:after="0"/>
              <w:rPr>
                <w:sz w:val="14"/>
                <w:szCs w:val="14"/>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EE"/>
              </w:rPr>
              <w:t>Item 1.</w:t>
            </w:r>
          </w:p>
        </w:tc>
        <w:tc>
          <w:tcPr>
            <w:tcW w:w="8320" w:type="dxa"/>
            <w:vAlign w:val="bottom"/>
            <w:gridSpan w:val="17"/>
          </w:tcPr>
          <w:p>
            <w:pPr>
              <w:spacing w:after="0"/>
              <w:rPr>
                <w:sz w:val="20"/>
                <w:szCs w:val="20"/>
                <w:color w:val="auto"/>
              </w:rPr>
            </w:pPr>
            <w:r>
              <w:rPr>
                <w:rFonts w:ascii="Arial" w:cs="Arial" w:eastAsia="Arial" w:hAnsi="Arial"/>
                <w:sz w:val="18"/>
                <w:szCs w:val="18"/>
                <w:color w:val="0000EE"/>
              </w:rPr>
              <w:t>Financial Statements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7"/>
          </w:tcPr>
          <w:p>
            <w:pPr>
              <w:spacing w:after="0"/>
              <w:rPr>
                <w:sz w:val="20"/>
                <w:szCs w:val="20"/>
                <w:color w:val="auto"/>
              </w:rPr>
            </w:pPr>
            <w:r>
              <w:rPr>
                <w:rFonts w:ascii="Arial" w:cs="Arial" w:eastAsia="Arial" w:hAnsi="Arial"/>
                <w:sz w:val="18"/>
                <w:szCs w:val="18"/>
                <w:color w:val="0000EE"/>
              </w:rPr>
              <w:t>Condensed Consolidated Balance Sheets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8"/>
              </w:rPr>
              <w:t>Condensed Consolidated Statements of Operations</w:t>
            </w:r>
          </w:p>
        </w:tc>
        <w:tc>
          <w:tcPr>
            <w:tcW w:w="4660" w:type="dxa"/>
            <w:vAlign w:val="bottom"/>
            <w:gridSpan w:val="6"/>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7"/>
          </w:tcPr>
          <w:p>
            <w:pPr>
              <w:spacing w:after="0"/>
              <w:rPr>
                <w:sz w:val="20"/>
                <w:szCs w:val="20"/>
                <w:color w:val="auto"/>
              </w:rPr>
            </w:pPr>
            <w:r>
              <w:rPr>
                <w:rFonts w:ascii="Arial" w:cs="Arial" w:eastAsia="Arial" w:hAnsi="Arial"/>
                <w:sz w:val="18"/>
                <w:szCs w:val="18"/>
                <w:color w:val="0000EE"/>
                <w:w w:val="93"/>
              </w:rPr>
              <w:t>Condensed Consolidated Statements of Changes in Convertible Preferred Shares, Redeemable Noncontrolling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Interest and Shareholders’ Equity (Deficit)</w:t>
            </w:r>
          </w:p>
        </w:tc>
        <w:tc>
          <w:tcPr>
            <w:tcW w:w="4840" w:type="dxa"/>
            <w:vAlign w:val="bottom"/>
            <w:tcBorders>
              <w:top w:val="single" w:sz="8" w:color="0000EE"/>
            </w:tcBorders>
            <w:gridSpan w:val="6"/>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7"/>
          </w:tcPr>
          <w:p>
            <w:pPr>
              <w:spacing w:after="0"/>
              <w:rPr>
                <w:sz w:val="20"/>
                <w:szCs w:val="20"/>
                <w:color w:val="auto"/>
              </w:rPr>
            </w:pPr>
            <w:r>
              <w:rPr>
                <w:rFonts w:ascii="Arial" w:cs="Arial" w:eastAsia="Arial" w:hAnsi="Arial"/>
                <w:sz w:val="18"/>
                <w:szCs w:val="18"/>
                <w:color w:val="0000EE"/>
              </w:rPr>
              <w:t>Condensed Consolidated Statements of Cash Flows</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7"/>
          </w:tcPr>
          <w:p>
            <w:pPr>
              <w:spacing w:after="0"/>
              <w:rPr>
                <w:sz w:val="20"/>
                <w:szCs w:val="20"/>
                <w:color w:val="auto"/>
              </w:rPr>
            </w:pPr>
            <w:r>
              <w:rPr>
                <w:rFonts w:ascii="Arial" w:cs="Arial" w:eastAsia="Arial" w:hAnsi="Arial"/>
                <w:sz w:val="18"/>
                <w:szCs w:val="18"/>
                <w:color w:val="0000EE"/>
              </w:rPr>
              <w:t>Notes to Condensed Consolidated Financial Statements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EE"/>
              </w:rPr>
              <w:t>Item 2.</w:t>
            </w:r>
          </w:p>
        </w:tc>
        <w:tc>
          <w:tcPr>
            <w:tcW w:w="8320" w:type="dxa"/>
            <w:vAlign w:val="bottom"/>
            <w:gridSpan w:val="17"/>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EE"/>
              </w:rPr>
              <w:t>Item 3.</w:t>
            </w:r>
          </w:p>
        </w:tc>
        <w:tc>
          <w:tcPr>
            <w:tcW w:w="8320" w:type="dxa"/>
            <w:vAlign w:val="bottom"/>
            <w:gridSpan w:val="17"/>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980" w:type="dxa"/>
            <w:vAlign w:val="bottom"/>
            <w:tcBorders>
              <w:left w:val="single" w:sz="8" w:color="0000EE"/>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EE"/>
              </w:rPr>
              <w:t>Item 4.</w:t>
            </w:r>
          </w:p>
        </w:tc>
        <w:tc>
          <w:tcPr>
            <w:tcW w:w="8320" w:type="dxa"/>
            <w:vAlign w:val="bottom"/>
            <w:gridSpan w:val="17"/>
          </w:tcPr>
          <w:p>
            <w:pPr>
              <w:spacing w:after="0"/>
              <w:rPr>
                <w:sz w:val="20"/>
                <w:szCs w:val="20"/>
                <w:color w:val="auto"/>
              </w:rPr>
            </w:pPr>
            <w:r>
              <w:rPr>
                <w:rFonts w:ascii="Arial" w:cs="Arial" w:eastAsia="Arial" w:hAnsi="Arial"/>
                <w:sz w:val="18"/>
                <w:szCs w:val="18"/>
                <w:color w:val="0000EE"/>
              </w:rPr>
              <w:t>Controls and Procedures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60" w:type="dxa"/>
            <w:vAlign w:val="bottom"/>
            <w:gridSpan w:val="6"/>
          </w:tcPr>
          <w:p>
            <w:pPr>
              <w:spacing w:after="0"/>
              <w:rPr>
                <w:sz w:val="20"/>
                <w:szCs w:val="20"/>
                <w:color w:val="auto"/>
              </w:rPr>
            </w:pPr>
            <w:r>
              <w:rPr>
                <w:rFonts w:ascii="Arial" w:cs="Arial" w:eastAsia="Arial" w:hAnsi="Arial"/>
                <w:sz w:val="18"/>
                <w:szCs w:val="18"/>
                <w:b w:val="1"/>
                <w:bCs w:val="1"/>
                <w:color w:val="0000EE"/>
              </w:rPr>
              <w:t>PART II</w:t>
            </w:r>
          </w:p>
        </w:tc>
        <w:tc>
          <w:tcPr>
            <w:tcW w:w="8320" w:type="dxa"/>
            <w:vAlign w:val="bottom"/>
            <w:gridSpan w:val="17"/>
          </w:tcPr>
          <w:p>
            <w:pPr>
              <w:spacing w:after="0"/>
              <w:rPr>
                <w:sz w:val="20"/>
                <w:szCs w:val="20"/>
                <w:color w:val="auto"/>
              </w:rPr>
            </w:pPr>
            <w:r>
              <w:rPr>
                <w:rFonts w:ascii="Arial" w:cs="Arial" w:eastAsia="Arial" w:hAnsi="Arial"/>
                <w:sz w:val="18"/>
                <w:szCs w:val="18"/>
                <w:color w:val="0000EE"/>
              </w:rPr>
              <w:t>OTHER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9"/>
        </w:trPr>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0"/>
              </w:rPr>
              <w:t>Item 1.</w:t>
            </w:r>
          </w:p>
        </w:tc>
        <w:tc>
          <w:tcPr>
            <w:tcW w:w="300" w:type="dxa"/>
            <w:vAlign w:val="bottom"/>
            <w:gridSpan w:val="3"/>
          </w:tcPr>
          <w:p>
            <w:pPr>
              <w:spacing w:after="0"/>
              <w:rPr>
                <w:sz w:val="24"/>
                <w:szCs w:val="24"/>
                <w:color w:val="auto"/>
              </w:rPr>
            </w:pPr>
          </w:p>
        </w:tc>
        <w:tc>
          <w:tcPr>
            <w:tcW w:w="18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Legal Proceedings</w:t>
            </w:r>
          </w:p>
        </w:tc>
        <w:tc>
          <w:tcPr>
            <w:tcW w:w="64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6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Item 1A.</w:t>
            </w:r>
          </w:p>
        </w:tc>
        <w:tc>
          <w:tcPr>
            <w:tcW w:w="180" w:type="dxa"/>
            <w:vAlign w:val="bottom"/>
            <w:gridSpan w:val="2"/>
          </w:tcPr>
          <w:p>
            <w:pPr>
              <w:spacing w:after="0"/>
              <w:rPr>
                <w:sz w:val="18"/>
                <w:szCs w:val="18"/>
                <w:color w:val="auto"/>
              </w:rPr>
            </w:pPr>
          </w:p>
        </w:tc>
        <w:tc>
          <w:tcPr>
            <w:tcW w:w="9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Risk Factors</w:t>
            </w:r>
          </w:p>
        </w:tc>
        <w:tc>
          <w:tcPr>
            <w:tcW w:w="7420" w:type="dxa"/>
            <w:vAlign w:val="bottom"/>
            <w:gridSpan w:val="15"/>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EE"/>
              </w:rPr>
              <w:t>Item 2.</w:t>
            </w:r>
          </w:p>
        </w:tc>
        <w:tc>
          <w:tcPr>
            <w:tcW w:w="8320" w:type="dxa"/>
            <w:vAlign w:val="bottom"/>
            <w:gridSpan w:val="17"/>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EE"/>
              </w:rPr>
              <w:t>Item 3.</w:t>
            </w:r>
          </w:p>
        </w:tc>
        <w:tc>
          <w:tcPr>
            <w:tcW w:w="8320" w:type="dxa"/>
            <w:vAlign w:val="bottom"/>
            <w:gridSpan w:val="17"/>
          </w:tcPr>
          <w:p>
            <w:pPr>
              <w:spacing w:after="0"/>
              <w:rPr>
                <w:sz w:val="20"/>
                <w:szCs w:val="20"/>
                <w:color w:val="auto"/>
              </w:rPr>
            </w:pPr>
            <w:r>
              <w:rPr>
                <w:rFonts w:ascii="Arial" w:cs="Arial" w:eastAsia="Arial" w:hAnsi="Arial"/>
                <w:sz w:val="18"/>
                <w:szCs w:val="18"/>
                <w:color w:val="0000EE"/>
              </w:rPr>
              <w:t>Defaults Upon Senior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EE"/>
              </w:rPr>
              <w:t>Item 4.</w:t>
            </w:r>
          </w:p>
        </w:tc>
        <w:tc>
          <w:tcPr>
            <w:tcW w:w="8320" w:type="dxa"/>
            <w:vAlign w:val="bottom"/>
            <w:gridSpan w:val="17"/>
          </w:tcPr>
          <w:p>
            <w:pPr>
              <w:spacing w:after="0"/>
              <w:rPr>
                <w:sz w:val="20"/>
                <w:szCs w:val="20"/>
                <w:color w:val="auto"/>
              </w:rPr>
            </w:pPr>
            <w:r>
              <w:rPr>
                <w:rFonts w:ascii="Arial" w:cs="Arial" w:eastAsia="Arial" w:hAnsi="Arial"/>
                <w:sz w:val="18"/>
                <w:szCs w:val="18"/>
                <w:color w:val="0000EE"/>
              </w:rPr>
              <w:t>Mine Safety Disclosures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56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EE"/>
              </w:rPr>
              <w:t>Item 5.</w:t>
            </w:r>
          </w:p>
        </w:tc>
        <w:tc>
          <w:tcPr>
            <w:tcW w:w="8320" w:type="dxa"/>
            <w:vAlign w:val="bottom"/>
            <w:gridSpan w:val="17"/>
          </w:tcPr>
          <w:p>
            <w:pPr>
              <w:spacing w:after="0"/>
              <w:rPr>
                <w:sz w:val="20"/>
                <w:szCs w:val="20"/>
                <w:color w:val="auto"/>
              </w:rPr>
            </w:pPr>
            <w:r>
              <w:rPr>
                <w:rFonts w:ascii="Arial" w:cs="Arial" w:eastAsia="Arial" w:hAnsi="Arial"/>
                <w:sz w:val="18"/>
                <w:szCs w:val="18"/>
                <w:color w:val="0000EE"/>
              </w:rPr>
              <w:t>Other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2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0000EE"/>
              </w:rPr>
              <w:t>Item 6.</w:t>
            </w:r>
          </w:p>
        </w:tc>
        <w:tc>
          <w:tcPr>
            <w:tcW w:w="8320" w:type="dxa"/>
            <w:vAlign w:val="bottom"/>
            <w:gridSpan w:val="17"/>
          </w:tcPr>
          <w:p>
            <w:pPr>
              <w:spacing w:after="0"/>
              <w:rPr>
                <w:sz w:val="20"/>
                <w:szCs w:val="20"/>
                <w:color w:val="auto"/>
              </w:rPr>
            </w:pPr>
            <w:r>
              <w:rPr>
                <w:rFonts w:ascii="Arial" w:cs="Arial" w:eastAsia="Arial" w:hAnsi="Arial"/>
                <w:sz w:val="18"/>
                <w:szCs w:val="18"/>
                <w:color w:val="0000EE"/>
              </w:rPr>
              <w:t>Exhibits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5"/>
              </w:rPr>
              <w:t>Signatures</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59"/>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178"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Zura’s success in retaining or recruiting, or changes required in, its officers, key employees or directors;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Zura, including, but not limited to Zura’s limited operating history;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 that Zura has not completed any clinical trials, and has no products approved for commercial sale;</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 that Zura has incurred significant losses since inception, and it expects to incur significant losses for the foreseeable future and may not be able to achieve or sustain profitability in the future;</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 that Zura requires substantial additional capital to finance its operations, and if it is unable to raise such capital when needed or on acceptable terms, it may be forced to delay, reduce, and/or eliminate one or more of its development programs or future commercialization efforts;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Zura’s ability to renew existing contracts;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Zura’s ability to obtain regulatory approval for its products, and any related restrictions or limitations of any approved products;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Zura’s ability to respond to general economic conditions;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Zura’s ability to manage its growth effectively;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and competitive pressures from other companies worldwide in the industries in which Zura operates; and</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and the ability to adequately protect Zura’s intellectual property rights.</w:t>
      </w:r>
    </w:p>
    <w:p>
      <w:pPr>
        <w:spacing w:after="0" w:line="225" w:lineRule="exact"/>
        <w:rPr>
          <w:sz w:val="20"/>
          <w:szCs w:val="20"/>
          <w:color w:val="auto"/>
        </w:rPr>
      </w:pPr>
    </w:p>
    <w:p>
      <w:pPr>
        <w:jc w:val="both"/>
        <w:ind w:firstLine="359"/>
        <w:spacing w:after="0" w:line="270" w:lineRule="auto"/>
        <w:rPr>
          <w:sz w:val="20"/>
          <w:szCs w:val="20"/>
          <w:color w:val="auto"/>
        </w:rPr>
      </w:pPr>
      <w:r>
        <w:rPr>
          <w:rFonts w:ascii="Arial" w:cs="Arial" w:eastAsia="Arial" w:hAnsi="Arial"/>
          <w:sz w:val="17"/>
          <w:szCs w:val="17"/>
          <w:color w:val="auto"/>
        </w:rPr>
        <w:t>These and other factors that could cause actual results to differ from those implied by the forward- looking statements in this Quarterly Report on Form 10-Q are more fully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in the Company’s Registration Statement on Form S-4/A filed with the SEC on February 23, 2023. New risk factors emerge from time to time and it is not possible to predict all such risk factors, nor can Zura assess the impact of all such risk factors on the business of Zura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Zura or persons acting on its behalf are expressly qualified in their entirety by the foregoing cautionary statements. Zura undertakes no obligations to update or revise publicly any forward-looking statements, whether as a result of new information, future events or otherwise, except as required by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63"/>
        <w:spacing w:after="0" w:line="296" w:lineRule="auto"/>
        <w:rPr>
          <w:sz w:val="20"/>
          <w:szCs w:val="20"/>
          <w:color w:val="auto"/>
        </w:rPr>
      </w:pPr>
      <w:r>
        <w:rPr>
          <w:rFonts w:ascii="Arial" w:cs="Arial" w:eastAsia="Arial" w:hAnsi="Arial"/>
          <w:sz w:val="16"/>
          <w:szCs w:val="16"/>
          <w:color w:val="auto"/>
        </w:rPr>
        <w:t>In addition, statements of belief and similar statements reflect the beliefs and opinions of Zura on the relevant subject. These statements are based upon information available to Zura as of the date of this Quarterly Report on Form 10-Q, and while Zura believes such information forms a reasonable basis for such statements, such information may be limited or incomplete, and statements should not be read to indicate that Zura has conducted an exhaustive inquiry into, or review of, all potentially available relevant information. These statements are inherently uncertain and you should not put undue reliance on these statements, including, for example, statements about:</w:t>
      </w:r>
    </w:p>
    <w:p>
      <w:pPr>
        <w:spacing w:after="0" w:line="107"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Zura’s market opportunity;</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Zura’s public securities’ potential liquidity and trading;</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Zura’s ability to raise financing in the future;</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attraction and retention of qualified directors, officers, employees and key personnel of Zura;</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Zura to compete effectively in a highly competitive market;</w:t>
      </w:r>
    </w:p>
    <w:p>
      <w:pPr>
        <w:spacing w:after="0" w:line="171"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competition from larger pharmaceutical and biotechnology companies that have greater resources, technology, relationships and/or expertise;</w:t>
      </w:r>
    </w:p>
    <w:p>
      <w:pPr>
        <w:spacing w:after="0" w:line="116"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protect and enhance Zura’s corporate reputation and brand;</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from future regulatory, judicial, and legislative changes in Zura’s industry;</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Zura’s ability to obtain and maintain regulatory approval of any of its product candidates;</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Zura’s ability to research, discover and develop additional product candidates;</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Zura’s ability to grow and manage growth profitably;</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Zura’s ability to obtain and maintain intellectual property protection and not infringe on the rights of others;</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Zura’s ability to execute its business plans and strategy;</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and other similar disruptions in the future; and</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those factors set forth in documents of Zura or JATT filed, or to be filed, with SEC.</w:t>
      </w:r>
    </w:p>
    <w:p>
      <w:pPr>
        <w:spacing w:after="0" w:line="171" w:lineRule="exact"/>
        <w:rPr>
          <w:sz w:val="20"/>
          <w:szCs w:val="20"/>
          <w:color w:val="auto"/>
        </w:rPr>
      </w:pPr>
    </w:p>
    <w:p>
      <w:pPr>
        <w:jc w:val="both"/>
        <w:ind w:firstLine="359"/>
        <w:spacing w:after="0" w:line="308" w:lineRule="auto"/>
        <w:rPr>
          <w:sz w:val="20"/>
          <w:szCs w:val="20"/>
          <w:color w:val="auto"/>
        </w:rPr>
      </w:pPr>
      <w:r>
        <w:rPr>
          <w:rFonts w:ascii="Arial" w:cs="Arial" w:eastAsia="Arial" w:hAnsi="Arial"/>
          <w:sz w:val="17"/>
          <w:szCs w:val="17"/>
          <w:color w:val="auto"/>
        </w:rPr>
        <w:t>Should one or more of these risks or uncertainties materialize or should any of the assumptions made by the management of Zura prove incorrect, actual results may vary in material respects from those projected in these forward-looking statements.</w:t>
      </w:r>
    </w:p>
    <w:p>
      <w:pPr>
        <w:spacing w:after="0" w:line="146"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auto"/>
        </w:rPr>
        <w:t>All subsequent written and oral forward-looking statements concerning Zura or other matters addressed in this Quarterly Report on Form 10-Q and attributable to Zura or any person acting on their behalf are expressly qualified in their entirety by the cautionary statements contained or referred to in this Quarterly Report on Form 10-Q. Except to the extent required by applicable law or regulations, Zura undertakes no obligation to update these forward-looking statements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Zura Bio Limited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113,332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Convertible Preferred Shares, Redeemable Noncontrolling Interest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Shareholders’ Equity (Deficit)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Note payable</w:t>
            </w: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license consideration liability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19,940</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Convertible preferred shares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Series A-1 convertible preferred shares, $0.001 par value, -0- and 13,510,415 shares authorized,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 and outstanding as of June 30, 2023 and December 31, 2022, respectively</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(Deficit):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Pr>
          <w:p>
            <w:pPr>
              <w:ind w:left="100"/>
              <w:spacing w:after="0" w:line="201" w:lineRule="exact"/>
              <w:rPr>
                <w:sz w:val="20"/>
                <w:szCs w:val="20"/>
                <w:color w:val="auto"/>
              </w:rPr>
            </w:pPr>
            <w:r>
              <w:rPr>
                <w:rFonts w:ascii="Arial" w:cs="Arial" w:eastAsia="Arial" w:hAnsi="Arial"/>
                <w:sz w:val="18"/>
                <w:szCs w:val="18"/>
                <w:color w:val="auto"/>
              </w:rPr>
              <w:t>Preferred shares, $0.0001 par value, 1,000,000 and -0- authorized as of June 30, 2023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w w:val="94"/>
              </w:rPr>
              <w:t>December 31, 2022, respectively; -0- issued and outstanding as of June 30, 2023 and December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240"/>
              <w:spacing w:after="0"/>
              <w:rPr>
                <w:sz w:val="20"/>
                <w:szCs w:val="20"/>
                <w:color w:val="auto"/>
              </w:rPr>
            </w:pPr>
            <w:r>
              <w:rPr>
                <w:rFonts w:ascii="Arial" w:cs="Arial" w:eastAsia="Arial" w:hAnsi="Arial"/>
                <w:sz w:val="18"/>
                <w:szCs w:val="18"/>
                <w:color w:val="auto"/>
              </w:rPr>
              <w:t>31, 2022</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Class A Ordinary shares, $0.0001 par value, 300,000,000 authorized, 43,093,685 issued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outstanding as of June 30, 2023; 1,884,649 authorized, 383,479 issued and outstanding as of</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2022</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155,654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(86,751)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Zura Bio Limited shareholders’ equity (deficit)</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68,907</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 (deficit)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Total liabilities, convertible preferred shares, redeemable noncontrolling interest and shareholders’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113,332</w:t>
            </w:r>
          </w:p>
        </w:tc>
        <w:tc>
          <w:tcPr>
            <w:tcW w:w="2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equity (deficit)</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Zura Bio Limited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Period from</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6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Six Months</w:t>
            </w:r>
          </w:p>
        </w:tc>
        <w:tc>
          <w:tcPr>
            <w:tcW w:w="100" w:type="dxa"/>
            <w:vAlign w:val="bottom"/>
          </w:tcPr>
          <w:p>
            <w:pPr>
              <w:spacing w:after="0"/>
              <w:rPr>
                <w:sz w:val="12"/>
                <w:szCs w:val="12"/>
                <w:color w:val="auto"/>
              </w:rPr>
            </w:pPr>
          </w:p>
        </w:tc>
        <w:tc>
          <w:tcPr>
            <w:tcW w:w="12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4"/>
              </w:rPr>
              <w:t>January 18, 2022</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(date of inception) to</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12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28,230</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33,114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7,585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Change in fair value of private placement warrants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note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expense/(income), net</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redeemable noncontrolling interest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8"/>
                <w:szCs w:val="18"/>
                <w:color w:val="auto"/>
              </w:rPr>
              <w:t>Adjustment to Zura subsidiary’s preferred stock to redemption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redeemable noncontrolling interest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Class A Ordinary Shareholders of Zura</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(54,695)</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155"/>
        </w:trPr>
        <w:tc>
          <w:tcPr>
            <w:tcW w:w="50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8"/>
              </w:rPr>
              <w:t>Net loss per share attributable to Class A Ordinary Shareholders of</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54)</w:t>
            </w: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(162.30)</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Zura, basic and diluted</w:t>
            </w:r>
          </w:p>
        </w:tc>
        <w:tc>
          <w:tcPr>
            <w:tcW w:w="3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Weighted-average Class A Ordinary Shares used in computing net</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40"/>
              <w:spacing w:after="0"/>
              <w:rPr>
                <w:sz w:val="20"/>
                <w:szCs w:val="20"/>
                <w:color w:val="auto"/>
              </w:rPr>
            </w:pPr>
            <w:r>
              <w:rPr>
                <w:rFonts w:ascii="Arial" w:cs="Arial" w:eastAsia="Arial" w:hAnsi="Arial"/>
                <w:sz w:val="18"/>
                <w:szCs w:val="18"/>
                <w:color w:val="auto"/>
                <w:w w:val="96"/>
              </w:rPr>
              <w:t>loss per share attributable to Class A Ordinary Shareholders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0"/>
              </w:rPr>
              <w:t>34,303,125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97,004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19,012,464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53,874</w:t>
            </w:r>
          </w:p>
        </w:tc>
        <w:tc>
          <w:tcPr>
            <w:tcW w:w="0" w:type="dxa"/>
            <w:vAlign w:val="bottom"/>
          </w:tcPr>
          <w:p>
            <w:pPr>
              <w:spacing w:after="0"/>
              <w:rPr>
                <w:sz w:val="1"/>
                <w:szCs w:val="1"/>
                <w:color w:val="auto"/>
              </w:rPr>
            </w:pPr>
          </w:p>
        </w:tc>
      </w:tr>
      <w:tr>
        <w:trPr>
          <w:trHeight w:val="217"/>
        </w:trPr>
        <w:tc>
          <w:tcPr>
            <w:tcW w:w="5000" w:type="dxa"/>
            <w:vAlign w:val="bottom"/>
          </w:tcPr>
          <w:p>
            <w:pPr>
              <w:ind w:left="140"/>
              <w:spacing w:after="0"/>
              <w:rPr>
                <w:sz w:val="20"/>
                <w:szCs w:val="20"/>
                <w:color w:val="auto"/>
              </w:rPr>
            </w:pPr>
            <w:r>
              <w:rPr>
                <w:rFonts w:ascii="Arial" w:cs="Arial" w:eastAsia="Arial" w:hAnsi="Arial"/>
                <w:sz w:val="18"/>
                <w:szCs w:val="18"/>
                <w:color w:val="auto"/>
              </w:rPr>
              <w:t>Zura, basic and diluted</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Zura Bio Limited</w:t>
      </w:r>
    </w:p>
    <w:p>
      <w:pPr>
        <w:spacing w:after="0" w:line="117" w:lineRule="exact"/>
        <w:rPr>
          <w:sz w:val="20"/>
          <w:szCs w:val="20"/>
          <w:color w:val="auto"/>
        </w:rPr>
      </w:pPr>
    </w:p>
    <w:p>
      <w:pPr>
        <w:jc w:val="center"/>
        <w:ind w:left="1140" w:right="260"/>
        <w:spacing w:after="0" w:line="261" w:lineRule="auto"/>
        <w:rPr>
          <w:sz w:val="20"/>
          <w:szCs w:val="20"/>
          <w:color w:val="auto"/>
        </w:rPr>
      </w:pPr>
      <w:r>
        <w:rPr>
          <w:rFonts w:ascii="Arial" w:cs="Arial" w:eastAsia="Arial" w:hAnsi="Arial"/>
          <w:sz w:val="18"/>
          <w:szCs w:val="18"/>
          <w:b w:val="1"/>
          <w:bCs w:val="1"/>
          <w:color w:val="auto"/>
        </w:rPr>
        <w:t>Condensed Consolidated Statements of Changes in Convertible Preferred Shares, Redeemable Noncontrolling Interest and Shareholders’ Equity (Deficit)</w:t>
      </w:r>
    </w:p>
    <w:p>
      <w:pPr>
        <w:ind w:left="48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Redeemable</w:t>
            </w:r>
          </w:p>
        </w:tc>
        <w:tc>
          <w:tcPr>
            <w:tcW w:w="170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4"/>
              </w:rPr>
              <w:t>Convertible Preferred</w:t>
            </w:r>
          </w:p>
        </w:tc>
        <w:tc>
          <w:tcPr>
            <w:tcW w:w="80" w:type="dxa"/>
            <w:vAlign w:val="bottom"/>
          </w:tcPr>
          <w:p>
            <w:pPr>
              <w:spacing w:after="0"/>
              <w:rPr>
                <w:sz w:val="3"/>
                <w:szCs w:val="3"/>
                <w:color w:val="auto"/>
              </w:rPr>
            </w:pPr>
          </w:p>
        </w:tc>
        <w:tc>
          <w:tcPr>
            <w:tcW w:w="1120" w:type="dxa"/>
            <w:vAlign w:val="bottom"/>
            <w:gridSpan w:val="3"/>
            <w:vMerge w:val="restart"/>
          </w:tcPr>
          <w:p>
            <w:pPr>
              <w:jc w:val="center"/>
              <w:ind w:left="242"/>
              <w:spacing w:after="0"/>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Accumulated</w:t>
            </w:r>
          </w:p>
        </w:tc>
        <w:tc>
          <w:tcPr>
            <w:tcW w:w="11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3"/>
                <w:szCs w:val="3"/>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5"/>
        </w:trPr>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700" w:type="dxa"/>
            <w:vAlign w:val="bottom"/>
            <w:gridSpan w:val="6"/>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90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Noncontrolling</w:t>
            </w:r>
          </w:p>
        </w:tc>
        <w:tc>
          <w:tcPr>
            <w:tcW w:w="1700" w:type="dxa"/>
            <w:vAlign w:val="bottom"/>
            <w:gridSpan w:val="6"/>
          </w:tcPr>
          <w:p>
            <w:pPr>
              <w:jc w:val="center"/>
              <w:ind w:right="80"/>
              <w:spacing w:after="0" w:line="172" w:lineRule="exact"/>
              <w:rPr>
                <w:sz w:val="20"/>
                <w:szCs w:val="20"/>
                <w:color w:val="auto"/>
              </w:rPr>
            </w:pPr>
            <w:r>
              <w:rPr>
                <w:rFonts w:ascii="Arial" w:cs="Arial" w:eastAsia="Arial" w:hAnsi="Arial"/>
                <w:sz w:val="13"/>
                <w:szCs w:val="13"/>
                <w:b w:val="1"/>
                <w:bCs w:val="1"/>
                <w:color w:val="auto"/>
                <w:w w:val="91"/>
              </w:rPr>
              <w:t>Shares</w:t>
            </w:r>
            <w:r>
              <w:rPr>
                <w:rFonts w:ascii="Arial" w:cs="Arial" w:eastAsia="Arial" w:hAnsi="Arial"/>
                <w:sz w:val="19"/>
                <w:szCs w:val="19"/>
                <w:color w:val="auto"/>
                <w:w w:val="91"/>
                <w:vertAlign w:val="superscript"/>
              </w:rPr>
              <w:t>(1)</w:t>
            </w:r>
          </w:p>
        </w:tc>
        <w:tc>
          <w:tcPr>
            <w:tcW w:w="80" w:type="dxa"/>
            <w:vAlign w:val="bottom"/>
            <w:tcBorders>
              <w:left w:val="single" w:sz="8" w:color="auto"/>
            </w:tcBorders>
          </w:tcPr>
          <w:p>
            <w:pPr>
              <w:spacing w:after="0"/>
              <w:rPr>
                <w:sz w:val="14"/>
                <w:szCs w:val="14"/>
                <w:color w:val="auto"/>
              </w:rPr>
            </w:pPr>
          </w:p>
        </w:tc>
        <w:tc>
          <w:tcPr>
            <w:tcW w:w="1580" w:type="dxa"/>
            <w:vAlign w:val="bottom"/>
            <w:gridSpan w:val="5"/>
          </w:tcPr>
          <w:p>
            <w:pPr>
              <w:jc w:val="center"/>
              <w:ind w:right="140"/>
              <w:spacing w:after="0" w:line="172" w:lineRule="exact"/>
              <w:rPr>
                <w:sz w:val="20"/>
                <w:szCs w:val="20"/>
                <w:color w:val="auto"/>
              </w:rPr>
            </w:pPr>
            <w:r>
              <w:rPr>
                <w:rFonts w:ascii="Arial" w:cs="Arial" w:eastAsia="Arial" w:hAnsi="Arial"/>
                <w:sz w:val="13"/>
                <w:szCs w:val="13"/>
                <w:b w:val="1"/>
                <w:bCs w:val="1"/>
                <w:color w:val="auto"/>
                <w:w w:val="99"/>
              </w:rPr>
              <w:t>Ordinary Shares</w:t>
            </w:r>
            <w:r>
              <w:rPr>
                <w:rFonts w:ascii="Arial" w:cs="Arial" w:eastAsia="Arial" w:hAnsi="Arial"/>
                <w:sz w:val="19"/>
                <w:szCs w:val="19"/>
                <w:color w:val="auto"/>
                <w:w w:val="99"/>
                <w:vertAlign w:val="superscript"/>
              </w:rPr>
              <w:t>(1)</w:t>
            </w:r>
          </w:p>
        </w:tc>
        <w:tc>
          <w:tcPr>
            <w:tcW w:w="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880" w:type="dxa"/>
            <w:vAlign w:val="bottom"/>
            <w:gridSpan w:val="3"/>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Interest</w:t>
            </w:r>
          </w:p>
        </w:tc>
        <w:tc>
          <w:tcPr>
            <w:tcW w:w="9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9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interest</w:t>
            </w: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as of December</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left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31, 2022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125,000</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12,500</w:t>
            </w:r>
          </w:p>
        </w:tc>
        <w:tc>
          <w:tcPr>
            <w:tcW w:w="80" w:type="dxa"/>
            <w:vAlign w:val="bottom"/>
            <w:shd w:val="clear" w:color="auto" w:fill="CCEEFF"/>
          </w:tcPr>
          <w:p>
            <w:pPr>
              <w:spacing w:after="0"/>
              <w:rPr>
                <w:sz w:val="18"/>
                <w:szCs w:val="18"/>
                <w:color w:val="auto"/>
              </w:rPr>
            </w:pPr>
          </w:p>
        </w:tc>
        <w:tc>
          <w:tcPr>
            <w:tcW w:w="8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3,548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(32,056)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00"/>
              <w:spacing w:after="0"/>
              <w:rPr>
                <w:sz w:val="20"/>
                <w:szCs w:val="20"/>
                <w:color w:val="auto"/>
              </w:rPr>
            </w:pPr>
            <w:r>
              <w:rPr>
                <w:rFonts w:ascii="Arial" w:cs="Arial" w:eastAsia="Arial" w:hAnsi="Arial"/>
                <w:sz w:val="16"/>
                <w:szCs w:val="16"/>
                <w:color w:val="auto"/>
              </w:rPr>
              <w:t>Recapitalization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13,385,415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276,172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3"/>
              </w:rPr>
              <w:t>Balance as of December 31,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13,510,415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12,500</w:t>
            </w:r>
          </w:p>
        </w:tc>
        <w:tc>
          <w:tcPr>
            <w:tcW w:w="80" w:type="dxa"/>
            <w:vAlign w:val="bottom"/>
            <w:shd w:val="clear" w:color="auto" w:fill="CCEEFF"/>
          </w:tcPr>
          <w:p>
            <w:pPr>
              <w:spacing w:after="0"/>
              <w:rPr>
                <w:sz w:val="18"/>
                <w:szCs w:val="18"/>
                <w:color w:val="auto"/>
              </w:rPr>
            </w:pPr>
          </w:p>
        </w:tc>
        <w:tc>
          <w:tcPr>
            <w:tcW w:w="8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279,720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(32,056)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20"/>
                <w:szCs w:val="20"/>
                <w:color w:val="auto"/>
              </w:rPr>
            </w:pPr>
            <w:r>
              <w:rPr>
                <w:rFonts w:ascii="Arial" w:cs="Arial" w:eastAsia="Arial" w:hAnsi="Arial"/>
                <w:sz w:val="16"/>
                <w:szCs w:val="16"/>
                <w:color w:val="auto"/>
              </w:rPr>
              <w:t>Issuance of Series A-1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convertible preferred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shares as license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267,939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2,186</w:t>
            </w:r>
          </w:p>
        </w:tc>
        <w:tc>
          <w:tcPr>
            <w:tcW w:w="80" w:type="dxa"/>
            <w:vAlign w:val="bottom"/>
          </w:tcPr>
          <w:p>
            <w:pPr>
              <w:spacing w:after="0"/>
              <w:rPr>
                <w:sz w:val="18"/>
                <w:szCs w:val="18"/>
                <w:color w:val="auto"/>
              </w:rPr>
            </w:pPr>
          </w:p>
        </w:tc>
        <w:tc>
          <w:tcPr>
            <w:tcW w:w="80" w:type="dxa"/>
            <w:vAlign w:val="bottom"/>
            <w:tcBorders>
              <w:left w:val="single" w:sz="8" w:color="auto"/>
            </w:tcBorders>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Conversion of Series A-1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preferred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to Class 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Ordinary Shares in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connection with Business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Combination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8"/>
              </w:rPr>
              <w:t>(13,778,354)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(14,686)</w:t>
            </w:r>
          </w:p>
        </w:tc>
        <w:tc>
          <w:tcPr>
            <w:tcW w:w="8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9"/>
              </w:rPr>
              <w:t>13,778,354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20"/>
                <w:szCs w:val="20"/>
                <w:color w:val="auto"/>
              </w:rPr>
            </w:pPr>
            <w:r>
              <w:rPr>
                <w:rFonts w:ascii="Arial" w:cs="Arial" w:eastAsia="Arial" w:hAnsi="Arial"/>
                <w:sz w:val="16"/>
                <w:szCs w:val="16"/>
                <w:color w:val="auto"/>
              </w:rPr>
              <w:t>Issuance of Class A</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Ordinary Shares 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w w:val="96"/>
              </w:rPr>
              <w:t>connection with Business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Combination, including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PIPE Investment,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Forward Purchase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140"/>
              <w:spacing w:after="0"/>
              <w:rPr>
                <w:sz w:val="20"/>
                <w:szCs w:val="20"/>
                <w:color w:val="auto"/>
              </w:rPr>
            </w:pPr>
            <w:r>
              <w:rPr>
                <w:rFonts w:ascii="Arial" w:cs="Arial" w:eastAsia="Arial" w:hAnsi="Arial"/>
                <w:sz w:val="16"/>
                <w:szCs w:val="16"/>
                <w:color w:val="auto"/>
                <w:w w:val="94"/>
              </w:rPr>
              <w:t>Investment, and Backstop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Shares, net of $4.0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million of transaction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40"/>
              <w:spacing w:after="0"/>
              <w:rPr>
                <w:sz w:val="20"/>
                <w:szCs w:val="20"/>
                <w:color w:val="auto"/>
              </w:rPr>
            </w:pPr>
            <w:r>
              <w:rPr>
                <w:rFonts w:ascii="Arial" w:cs="Arial" w:eastAsia="Arial" w:hAnsi="Arial"/>
                <w:sz w:val="16"/>
                <w:szCs w:val="16"/>
                <w:color w:val="auto"/>
              </w:rPr>
              <w:t>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w w:val="99"/>
              </w:rPr>
              <w:t>12,444,081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48,350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Issuance of Class 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Ordinary Shares to settle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research and development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license consideration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20"/>
                <w:szCs w:val="20"/>
                <w:color w:val="auto"/>
              </w:rPr>
            </w:pPr>
            <w:r>
              <w:rPr>
                <w:rFonts w:ascii="Arial" w:cs="Arial" w:eastAsia="Arial" w:hAnsi="Arial"/>
                <w:sz w:val="16"/>
                <w:szCs w:val="16"/>
                <w:color w:val="auto"/>
              </w:rPr>
              <w:t>Reclassification of public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40"/>
              <w:spacing w:after="0"/>
              <w:rPr>
                <w:sz w:val="20"/>
                <w:szCs w:val="20"/>
                <w:color w:val="auto"/>
              </w:rPr>
            </w:pPr>
            <w:r>
              <w:rPr>
                <w:rFonts w:ascii="Arial" w:cs="Arial" w:eastAsia="Arial" w:hAnsi="Arial"/>
                <w:sz w:val="16"/>
                <w:szCs w:val="16"/>
                <w:color w:val="auto"/>
              </w:rPr>
              <w:t>warrant liability to 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Issuance of Class 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Ordinary Shares in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connection with April</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2023 Private Placement,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of $9.8 million of</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transaction costs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9"/>
              </w:rPr>
              <w:t>15,041,530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20"/>
                <w:szCs w:val="20"/>
                <w:color w:val="auto"/>
              </w:rPr>
            </w:pPr>
            <w:r>
              <w:rPr>
                <w:rFonts w:ascii="Arial" w:cs="Arial" w:eastAsia="Arial" w:hAnsi="Arial"/>
                <w:sz w:val="16"/>
                <w:szCs w:val="16"/>
                <w:color w:val="auto"/>
              </w:rPr>
              <w:t>Issuance of Pre-Funded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Warrants in connection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with April 2023 Private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40"/>
              <w:spacing w:after="0"/>
              <w:rPr>
                <w:sz w:val="20"/>
                <w:szCs w:val="20"/>
                <w:color w:val="auto"/>
              </w:rPr>
            </w:pPr>
            <w:r>
              <w:rPr>
                <w:rFonts w:ascii="Arial" w:cs="Arial" w:eastAsia="Arial" w:hAnsi="Arial"/>
                <w:sz w:val="16"/>
                <w:szCs w:val="16"/>
                <w:color w:val="auto"/>
              </w:rPr>
              <w:t>Placement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Issuance of Class 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Ordinary Shares to Lilly</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 connection with 2023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Lilly License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w w:val="96"/>
              </w:rPr>
              <w:t>Share-based compensation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8,088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(43,617)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20"/>
                <w:szCs w:val="20"/>
                <w:color w:val="auto"/>
              </w:rPr>
            </w:pPr>
            <w:r>
              <w:rPr>
                <w:rFonts w:ascii="Arial" w:cs="Arial" w:eastAsia="Arial" w:hAnsi="Arial"/>
                <w:sz w:val="16"/>
                <w:szCs w:val="16"/>
                <w:color w:val="auto"/>
              </w:rPr>
              <w:t>Accretion of redeemable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w w:val="99"/>
              </w:rPr>
              <w:t>noncontrolling interest to</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40"/>
              <w:spacing w:after="0"/>
              <w:rPr>
                <w:sz w:val="20"/>
                <w:szCs w:val="20"/>
                <w:color w:val="auto"/>
              </w:rPr>
            </w:pPr>
            <w:r>
              <w:rPr>
                <w:rFonts w:ascii="Arial" w:cs="Arial" w:eastAsia="Arial" w:hAnsi="Arial"/>
                <w:sz w:val="16"/>
                <w:szCs w:val="16"/>
                <w:color w:val="auto"/>
              </w:rPr>
              <w:t>redemption value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Stone Peach Call Right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issued to noncontrolling</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20"/>
                <w:szCs w:val="20"/>
                <w:color w:val="auto"/>
              </w:rPr>
            </w:pPr>
            <w:r>
              <w:rPr>
                <w:rFonts w:ascii="Arial" w:cs="Arial" w:eastAsia="Arial" w:hAnsi="Arial"/>
                <w:sz w:val="16"/>
                <w:szCs w:val="16"/>
                <w:color w:val="auto"/>
              </w:rPr>
              <w:t>Deemed dividend to</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140"/>
              <w:spacing w:after="0"/>
              <w:rPr>
                <w:sz w:val="20"/>
                <w:szCs w:val="20"/>
                <w:color w:val="auto"/>
              </w:rPr>
            </w:pPr>
            <w:r>
              <w:rPr>
                <w:rFonts w:ascii="Arial" w:cs="Arial" w:eastAsia="Arial" w:hAnsi="Arial"/>
                <w:sz w:val="16"/>
                <w:szCs w:val="16"/>
                <w:color w:val="auto"/>
              </w:rPr>
              <w:t>redeemable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10,875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Borders>
              <w:left w:val="single" w:sz="8" w:color="auto"/>
            </w:tcBorders>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(10,875)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(10,875)</w:t>
            </w: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 as of June 30,</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900" w:type="dxa"/>
            <w:vAlign w:val="bottom"/>
            <w:vMerge w:val="continue"/>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20,875</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43,093,685</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155,654</w:t>
            </w:r>
          </w:p>
        </w:tc>
        <w:tc>
          <w:tcPr>
            <w:tcW w:w="16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(86,751)</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1,541</w:t>
            </w:r>
          </w:p>
        </w:tc>
        <w:tc>
          <w:tcPr>
            <w:tcW w:w="14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70,448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2023</w:t>
            </w:r>
          </w:p>
        </w:tc>
        <w:tc>
          <w:tcPr>
            <w:tcW w:w="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880" w:type="dxa"/>
            <w:vAlign w:val="bottom"/>
            <w:tcBorders>
              <w:left w:val="single" w:sz="8" w:color="auto"/>
            </w:tcBorders>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Balance as of January 18,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w w:val="97"/>
              </w:rPr>
              <w:t>2022 (date of inception)</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line="173" w:lineRule="exact"/>
              <w:rPr>
                <w:sz w:val="20"/>
                <w:szCs w:val="20"/>
                <w:color w:val="auto"/>
              </w:rPr>
            </w:pPr>
            <w:r>
              <w:rPr>
                <w:rFonts w:ascii="Arial" w:cs="Arial" w:eastAsia="Arial" w:hAnsi="Arial"/>
                <w:sz w:val="16"/>
                <w:szCs w:val="16"/>
                <w:color w:val="auto"/>
              </w:rPr>
              <w:t>Issuance of Class A</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Arial" w:cs="Arial" w:eastAsia="Arial" w:hAnsi="Arial"/>
                <w:sz w:val="16"/>
                <w:szCs w:val="16"/>
                <w:color w:val="auto"/>
              </w:rPr>
              <w:t>Ordinary Share at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00" w:type="dxa"/>
            <w:vAlign w:val="bottom"/>
          </w:tcPr>
          <w:p>
            <w:pPr>
              <w:ind w:left="140"/>
              <w:spacing w:after="0"/>
              <w:rPr>
                <w:sz w:val="20"/>
                <w:szCs w:val="20"/>
                <w:color w:val="auto"/>
              </w:rPr>
            </w:pPr>
            <w:r>
              <w:rPr>
                <w:rFonts w:ascii="Arial" w:cs="Arial" w:eastAsia="Arial" w:hAnsi="Arial"/>
                <w:sz w:val="16"/>
                <w:szCs w:val="16"/>
                <w:color w:val="auto"/>
              </w:rPr>
              <w:t>inception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A-1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10,808,332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10,000</w:t>
            </w: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preferred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1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tcBorders>
              <w:left w:val="single" w:sz="8" w:color="auto"/>
            </w:tcBorders>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0220"/>
          </w:cols>
          <w:pgMar w:left="840" w:top="517" w:right="8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for cash</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60" w:type="dxa"/>
            <w:vAlign w:val="bottom"/>
          </w:tcPr>
          <w:p>
            <w:pPr>
              <w:spacing w:after="0"/>
              <w:rPr>
                <w:sz w:val="20"/>
                <w:szCs w:val="20"/>
                <w:color w:val="auto"/>
              </w:rPr>
            </w:pPr>
            <w:r>
              <w:rPr>
                <w:rFonts w:ascii="Arial" w:cs="Arial" w:eastAsia="Arial" w:hAnsi="Arial"/>
                <w:sz w:val="16"/>
                <w:szCs w:val="16"/>
                <w:color w:val="auto"/>
              </w:rPr>
              <w:t>Issuance of Series A-1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140"/>
              <w:spacing w:after="0"/>
              <w:rPr>
                <w:sz w:val="20"/>
                <w:szCs w:val="20"/>
                <w:color w:val="auto"/>
              </w:rPr>
            </w:pPr>
            <w:r>
              <w:rPr>
                <w:rFonts w:ascii="Arial" w:cs="Arial" w:eastAsia="Arial" w:hAnsi="Arial"/>
                <w:sz w:val="16"/>
                <w:szCs w:val="16"/>
                <w:color w:val="auto"/>
              </w:rPr>
              <w:t>convertible preferred</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140"/>
              <w:spacing w:after="0"/>
              <w:rPr>
                <w:sz w:val="20"/>
                <w:szCs w:val="20"/>
                <w:color w:val="auto"/>
              </w:rPr>
            </w:pPr>
            <w:r>
              <w:rPr>
                <w:rFonts w:ascii="Arial" w:cs="Arial" w:eastAsia="Arial" w:hAnsi="Arial"/>
                <w:sz w:val="16"/>
                <w:szCs w:val="16"/>
                <w:color w:val="auto"/>
              </w:rPr>
              <w:t>shares for license</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2,702,083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383,372</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w w:val="94"/>
              </w:rPr>
              <w:t>Share-based compensation</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309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(8,744)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(8,744)</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auto"/>
              </w:rPr>
              <w:t>Balance as of June 30,</w:t>
            </w: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60" w:type="dxa"/>
            <w:vAlign w:val="bottom"/>
            <w:vMerge w:val="continue"/>
          </w:tcPr>
          <w:p>
            <w:pPr>
              <w:spacing w:after="0"/>
              <w:rPr>
                <w:sz w:val="14"/>
                <w:szCs w:val="14"/>
                <w:color w:val="auto"/>
              </w:rPr>
            </w:pPr>
          </w:p>
        </w:tc>
        <w:tc>
          <w:tcPr>
            <w:tcW w:w="120" w:type="dxa"/>
            <w:vAlign w:val="bottom"/>
            <w:vMerge w:val="restart"/>
          </w:tcPr>
          <w:p>
            <w:pPr>
              <w:spacing w:after="0"/>
              <w:rPr>
                <w:sz w:val="14"/>
                <w:szCs w:val="14"/>
                <w:color w:val="auto"/>
              </w:rPr>
            </w:pPr>
          </w:p>
        </w:tc>
        <w:tc>
          <w:tcPr>
            <w:tcW w:w="40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5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13,510,415</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$ 12,500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383,480</w:t>
            </w:r>
          </w:p>
        </w:tc>
        <w:tc>
          <w:tcPr>
            <w:tcW w:w="140" w:type="dxa"/>
            <w:vAlign w:val="bottom"/>
          </w:tcPr>
          <w:p>
            <w:pPr>
              <w:spacing w:after="0"/>
              <w:rPr>
                <w:sz w:val="14"/>
                <w:szCs w:val="14"/>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rPr>
              <w:t>$  —  $</w:t>
            </w: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309</w:t>
            </w:r>
          </w:p>
        </w:tc>
        <w:tc>
          <w:tcPr>
            <w:tcW w:w="16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(8,744)</w:t>
            </w:r>
          </w:p>
        </w:tc>
        <w:tc>
          <w:tcPr>
            <w:tcW w:w="46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(8,435)</w:t>
            </w:r>
          </w:p>
        </w:tc>
        <w:tc>
          <w:tcPr>
            <w:tcW w:w="0" w:type="dxa"/>
            <w:vAlign w:val="bottom"/>
          </w:tcPr>
          <w:p>
            <w:pPr>
              <w:spacing w:after="0"/>
              <w:rPr>
                <w:sz w:val="1"/>
                <w:szCs w:val="1"/>
                <w:color w:val="auto"/>
              </w:rPr>
            </w:pPr>
          </w:p>
        </w:tc>
      </w:tr>
      <w:tr>
        <w:trPr>
          <w:trHeight w:val="203"/>
        </w:trPr>
        <w:tc>
          <w:tcPr>
            <w:tcW w:w="1860" w:type="dxa"/>
            <w:vAlign w:val="bottom"/>
          </w:tcPr>
          <w:p>
            <w:pPr>
              <w:ind w:left="140"/>
              <w:spacing w:after="0"/>
              <w:rPr>
                <w:sz w:val="20"/>
                <w:szCs w:val="20"/>
                <w:color w:val="auto"/>
              </w:rPr>
            </w:pPr>
            <w:r>
              <w:rPr>
                <w:rFonts w:ascii="Arial" w:cs="Arial" w:eastAsia="Arial" w:hAnsi="Arial"/>
                <w:sz w:val="16"/>
                <w:szCs w:val="16"/>
                <w:b w:val="1"/>
                <w:bCs w:val="1"/>
                <w:color w:val="auto"/>
              </w:rPr>
              <w:t>2022</w:t>
            </w:r>
          </w:p>
        </w:tc>
        <w:tc>
          <w:tcPr>
            <w:tcW w:w="1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140" w:right="859" w:bottom="1440" w:gutter="0" w:footer="0" w:header="0"/>
        </w:sectPr>
      </w:pPr>
    </w:p>
    <w:bookmarkStart w:id="8" w:name="page9"/>
    <w:bookmarkEnd w:id="8"/>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1" w:type="dxa"/>
        <w:tblCellMar>
          <w:top w:w="0" w:type="dxa"/>
          <w:left w:w="0" w:type="dxa"/>
          <w:bottom w:w="0" w:type="dxa"/>
          <w:right w:w="0" w:type="dxa"/>
        </w:tblCellMar>
      </w:tblPr>
      <w:tr>
        <w:trPr>
          <w:trHeight w:val="39"/>
        </w:trPr>
        <w:tc>
          <w:tcPr>
            <w:tcW w:w="1780" w:type="dxa"/>
            <w:vAlign w:val="bottom"/>
          </w:tcPr>
          <w:p>
            <w:pPr>
              <w:spacing w:after="0"/>
              <w:rPr>
                <w:sz w:val="3"/>
                <w:szCs w:val="3"/>
                <w:color w:val="auto"/>
              </w:rPr>
            </w:pPr>
          </w:p>
        </w:tc>
        <w:tc>
          <w:tcPr>
            <w:tcW w:w="10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Redeemable</w:t>
            </w:r>
          </w:p>
        </w:tc>
        <w:tc>
          <w:tcPr>
            <w:tcW w:w="176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3"/>
                <w:szCs w:val="3"/>
                <w:color w:val="auto"/>
              </w:rPr>
            </w:pPr>
          </w:p>
        </w:tc>
        <w:tc>
          <w:tcPr>
            <w:tcW w:w="10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w w:val="89"/>
              </w:rPr>
              <w:t>Class A</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1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3"/>
                <w:szCs w:val="3"/>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1"/>
        </w:trPr>
        <w:tc>
          <w:tcPr>
            <w:tcW w:w="178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Noncontrolling</w:t>
            </w:r>
          </w:p>
        </w:tc>
        <w:tc>
          <w:tcPr>
            <w:tcW w:w="1760" w:type="dxa"/>
            <w:vAlign w:val="bottom"/>
            <w:gridSpan w:val="5"/>
          </w:tcPr>
          <w:p>
            <w:pPr>
              <w:ind w:left="260"/>
              <w:spacing w:after="0" w:line="176" w:lineRule="exact"/>
              <w:rPr>
                <w:sz w:val="20"/>
                <w:szCs w:val="20"/>
                <w:color w:val="auto"/>
              </w:rPr>
            </w:pPr>
            <w:r>
              <w:rPr>
                <w:rFonts w:ascii="Arial" w:cs="Arial" w:eastAsia="Arial" w:hAnsi="Arial"/>
                <w:sz w:val="14"/>
                <w:szCs w:val="14"/>
                <w:b w:val="1"/>
                <w:bCs w:val="1"/>
                <w:color w:val="auto"/>
              </w:rPr>
              <w:t>Preferred Shares</w:t>
            </w:r>
            <w:r>
              <w:rPr>
                <w:rFonts w:ascii="Arial" w:cs="Arial" w:eastAsia="Arial" w:hAnsi="Arial"/>
                <w:sz w:val="20"/>
                <w:szCs w:val="20"/>
                <w:b w:val="1"/>
                <w:bCs w:val="1"/>
                <w:color w:val="auto"/>
                <w:vertAlign w:val="superscript"/>
              </w:rPr>
              <w:t>(1)</w:t>
            </w:r>
          </w:p>
        </w:tc>
        <w:tc>
          <w:tcPr>
            <w:tcW w:w="20" w:type="dxa"/>
            <w:vAlign w:val="bottom"/>
            <w:shd w:val="clear" w:color="auto" w:fill="000000"/>
          </w:tcPr>
          <w:p>
            <w:pPr>
              <w:spacing w:after="0"/>
              <w:rPr>
                <w:sz w:val="15"/>
                <w:szCs w:val="15"/>
                <w:color w:val="auto"/>
              </w:rPr>
            </w:pPr>
          </w:p>
        </w:tc>
        <w:tc>
          <w:tcPr>
            <w:tcW w:w="1600" w:type="dxa"/>
            <w:vAlign w:val="bottom"/>
            <w:gridSpan w:val="4"/>
          </w:tcPr>
          <w:p>
            <w:pPr>
              <w:jc w:val="right"/>
              <w:ind w:right="110"/>
              <w:spacing w:after="0" w:line="176" w:lineRule="exact"/>
              <w:rPr>
                <w:sz w:val="20"/>
                <w:szCs w:val="20"/>
                <w:color w:val="auto"/>
              </w:rPr>
            </w:pPr>
            <w:r>
              <w:rPr>
                <w:rFonts w:ascii="Arial" w:cs="Arial" w:eastAsia="Arial" w:hAnsi="Arial"/>
                <w:sz w:val="14"/>
                <w:szCs w:val="14"/>
                <w:b w:val="1"/>
                <w:bCs w:val="1"/>
                <w:color w:val="auto"/>
              </w:rPr>
              <w:t>Ordinary Shares</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4"/>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Interest</w:t>
            </w:r>
          </w:p>
        </w:tc>
        <w:tc>
          <w:tcPr>
            <w:tcW w:w="10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8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9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7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 March</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920" w:type="dxa"/>
            <w:vAlign w:val="bottom"/>
            <w:tcBorders>
              <w:top w:val="single" w:sz="8" w:color="auto"/>
              <w:lef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31, 2023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000000"/>
          </w:tcPr>
          <w:p>
            <w:pPr>
              <w:spacing w:after="0"/>
              <w:rPr>
                <w:sz w:val="20"/>
                <w:szCs w:val="20"/>
                <w:color w:val="auto"/>
              </w:rPr>
            </w:pP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27,052,155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69,703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(41,851)</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27,855</w:t>
            </w:r>
          </w:p>
        </w:tc>
        <w:tc>
          <w:tcPr>
            <w:tcW w:w="0" w:type="dxa"/>
            <w:vAlign w:val="bottom"/>
          </w:tcPr>
          <w:p>
            <w:pPr>
              <w:spacing w:after="0"/>
              <w:rPr>
                <w:sz w:val="1"/>
                <w:szCs w:val="1"/>
                <w:color w:val="auto"/>
              </w:rPr>
            </w:pPr>
          </w:p>
        </w:tc>
      </w:tr>
      <w:tr>
        <w:trPr>
          <w:trHeight w:val="182"/>
        </w:trPr>
        <w:tc>
          <w:tcPr>
            <w:tcW w:w="1780" w:type="dxa"/>
            <w:vAlign w:val="bottom"/>
          </w:tcPr>
          <w:p>
            <w:pPr>
              <w:spacing w:after="0" w:line="182" w:lineRule="exact"/>
              <w:rPr>
                <w:sz w:val="20"/>
                <w:szCs w:val="20"/>
                <w:color w:val="auto"/>
              </w:rPr>
            </w:pPr>
            <w:r>
              <w:rPr>
                <w:rFonts w:ascii="Arial" w:cs="Arial" w:eastAsia="Arial" w:hAnsi="Arial"/>
                <w:sz w:val="18"/>
                <w:szCs w:val="18"/>
                <w:color w:val="auto"/>
              </w:rPr>
              <w:t>Issuance of Class A</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Ordinary Shares in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connection with</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April 2023 Private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Placement, net of</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$9.8 million of</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15,041,530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54,133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54,134</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Pre-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Funded Warrants in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connection with</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2023 Private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Placement</w:t>
            </w:r>
          </w:p>
        </w:tc>
        <w:tc>
          <w:tcPr>
            <w:tcW w:w="1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Issuance of Class A</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Ordinary Shares to</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Lilly in connection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with 2023 Lilly</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40"/>
              <w:spacing w:after="0"/>
              <w:rPr>
                <w:sz w:val="20"/>
                <w:szCs w:val="20"/>
                <w:color w:val="auto"/>
              </w:rPr>
            </w:pPr>
            <w:r>
              <w:rPr>
                <w:rFonts w:ascii="Arial" w:cs="Arial" w:eastAsia="Arial" w:hAnsi="Arial"/>
                <w:sz w:val="18"/>
                <w:szCs w:val="18"/>
                <w:color w:val="auto"/>
              </w:rPr>
              <w:t>License</w:t>
            </w:r>
          </w:p>
        </w:tc>
        <w:tc>
          <w:tcPr>
            <w:tcW w:w="16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7,840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(34,025)</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Stone Peach Call</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issued to</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Deemed dividend to</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redeemable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40"/>
              <w:spacing w:after="0"/>
              <w:rPr>
                <w:sz w:val="20"/>
                <w:szCs w:val="20"/>
                <w:color w:val="auto"/>
              </w:rPr>
            </w:pPr>
            <w:r>
              <w:rPr>
                <w:rFonts w:ascii="Arial" w:cs="Arial" w:eastAsia="Arial" w:hAnsi="Arial"/>
                <w:sz w:val="18"/>
                <w:szCs w:val="18"/>
                <w:color w:val="auto"/>
              </w:rPr>
              <w:t>noncontrolling</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10,875</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(10,875)</w:t>
            </w:r>
          </w:p>
        </w:tc>
        <w:tc>
          <w:tcPr>
            <w:tcW w:w="0" w:type="dxa"/>
            <w:vAlign w:val="bottom"/>
          </w:tcPr>
          <w:p>
            <w:pPr>
              <w:spacing w:after="0"/>
              <w:rPr>
                <w:sz w:val="1"/>
                <w:szCs w:val="1"/>
                <w:color w:val="auto"/>
              </w:rPr>
            </w:pPr>
          </w:p>
        </w:tc>
      </w:tr>
      <w:tr>
        <w:trPr>
          <w:trHeight w:val="20"/>
        </w:trPr>
        <w:tc>
          <w:tcPr>
            <w:tcW w:w="17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 June</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78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20,875</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43,093,685</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155,654</w:t>
            </w:r>
          </w:p>
        </w:tc>
        <w:tc>
          <w:tcPr>
            <w:tcW w:w="3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(86,751)</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1,541</w:t>
            </w:r>
          </w:p>
        </w:tc>
        <w:tc>
          <w:tcPr>
            <w:tcW w:w="1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70,448</w:t>
            </w:r>
          </w:p>
        </w:tc>
        <w:tc>
          <w:tcPr>
            <w:tcW w:w="0" w:type="dxa"/>
            <w:vAlign w:val="bottom"/>
          </w:tcPr>
          <w:p>
            <w:pPr>
              <w:spacing w:after="0"/>
              <w:rPr>
                <w:sz w:val="1"/>
                <w:szCs w:val="1"/>
                <w:color w:val="auto"/>
              </w:rPr>
            </w:pPr>
          </w:p>
        </w:tc>
      </w:tr>
      <w:tr>
        <w:trPr>
          <w:trHeight w:val="221"/>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30, 2023</w:t>
            </w:r>
          </w:p>
        </w:tc>
        <w:tc>
          <w:tcPr>
            <w:tcW w:w="16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tcBorders>
              <w:left w:val="single" w:sz="8" w:color="CCEEFF"/>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84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 March</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31, 2022</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13,510,415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12,500</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(7,819)</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(7,819)</w:t>
            </w:r>
          </w:p>
        </w:tc>
        <w:tc>
          <w:tcPr>
            <w:tcW w:w="0" w:type="dxa"/>
            <w:vAlign w:val="bottom"/>
          </w:tcPr>
          <w:p>
            <w:pPr>
              <w:spacing w:after="0"/>
              <w:rPr>
                <w:sz w:val="1"/>
                <w:szCs w:val="1"/>
                <w:color w:val="auto"/>
              </w:rPr>
            </w:pPr>
          </w:p>
        </w:tc>
      </w:tr>
      <w:tr>
        <w:trPr>
          <w:trHeight w:val="182"/>
        </w:trPr>
        <w:tc>
          <w:tcPr>
            <w:tcW w:w="1780" w:type="dxa"/>
            <w:vAlign w:val="bottom"/>
          </w:tcPr>
          <w:p>
            <w:pPr>
              <w:spacing w:after="0" w:line="182" w:lineRule="exact"/>
              <w:rPr>
                <w:sz w:val="20"/>
                <w:szCs w:val="20"/>
                <w:color w:val="auto"/>
              </w:rPr>
            </w:pPr>
            <w:r>
              <w:rPr>
                <w:rFonts w:ascii="Arial" w:cs="Arial" w:eastAsia="Arial" w:hAnsi="Arial"/>
                <w:sz w:val="18"/>
                <w:szCs w:val="18"/>
                <w:color w:val="auto"/>
              </w:rPr>
              <w:t>Exercise of stock</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4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383,372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17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 June</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78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383,480</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3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(8,744)</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(8,435)</w:t>
            </w:r>
          </w:p>
        </w:tc>
        <w:tc>
          <w:tcPr>
            <w:tcW w:w="0" w:type="dxa"/>
            <w:vAlign w:val="bottom"/>
          </w:tcPr>
          <w:p>
            <w:pPr>
              <w:spacing w:after="0"/>
              <w:rPr>
                <w:sz w:val="1"/>
                <w:szCs w:val="1"/>
                <w:color w:val="auto"/>
              </w:rPr>
            </w:pPr>
          </w:p>
        </w:tc>
      </w:tr>
      <w:tr>
        <w:trPr>
          <w:trHeight w:val="221"/>
        </w:trPr>
        <w:tc>
          <w:tcPr>
            <w:tcW w:w="1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30, 2022</w:t>
            </w:r>
          </w:p>
        </w:tc>
        <w:tc>
          <w:tcPr>
            <w:tcW w:w="16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tcBorders>
              <w:left w:val="single" w:sz="8" w:color="CCEEFF"/>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84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 w:hanging="1"/>
        <w:spacing w:after="0" w:line="234" w:lineRule="auto"/>
        <w:tabs>
          <w:tab w:leader="none" w:pos="209"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The Company’s convertible preferred shares and Class A Ordinary Shares prior to the closing of the Business Combination (as defined in Note 1) have been retroactively restated to reflect the exchange ratio of approximately 108.083 established in the Business Combination Agreement as described in Note 3.</w:t>
      </w:r>
    </w:p>
    <w:p>
      <w:pPr>
        <w:spacing w:after="0" w:line="203" w:lineRule="exact"/>
        <w:rPr>
          <w:sz w:val="20"/>
          <w:szCs w:val="20"/>
          <w:color w:val="auto"/>
        </w:rPr>
      </w:pPr>
    </w:p>
    <w:p>
      <w:pPr>
        <w:ind w:left="2261"/>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808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1"/>
          </w:cols>
          <w:pgMar w:left="839" w:top="517" w:right="8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Zura Bio Limited</w:t>
      </w:r>
    </w:p>
    <w:p>
      <w:pPr>
        <w:spacing w:after="0" w:line="18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For the Period from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For the Six</w:t>
            </w:r>
          </w:p>
        </w:tc>
        <w:tc>
          <w:tcPr>
            <w:tcW w:w="100" w:type="dxa"/>
            <w:vAlign w:val="bottom"/>
          </w:tcPr>
          <w:p>
            <w:pPr>
              <w:spacing w:after="0"/>
              <w:rPr>
                <w:sz w:val="17"/>
                <w:szCs w:val="17"/>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January 18, 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Months Ended</w:t>
            </w: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(date of inception)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5"/>
              </w:rPr>
              <w:t>2023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Net loss before redeemable noncontrolling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(43,820)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6"/>
                <w:szCs w:val="16"/>
                <w:color w:val="auto"/>
              </w:rPr>
              <w:t>Research and development acquired license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27,381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Anti-dilution share issuance compensation</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fair value note payable</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6"/>
                <w:szCs w:val="16"/>
                <w:color w:val="auto"/>
              </w:rPr>
              <w:t>Change in fair value of share-based payment liability</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fair value of private placement warrants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6"/>
                <w:szCs w:val="16"/>
                <w:color w:val="auto"/>
              </w:rPr>
              <w:t>Foreign exchange transaction loss</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(8,430)</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Purchase of research and development license</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(5,750)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Series A-1 convertible preferred shares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w w:val="98"/>
              </w:rPr>
              <w:t>Proceeds from issuance of Ordinary Shares in connection with April 2023 Private Placement, net of</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20" w:type="dxa"/>
            <w:vAlign w:val="bottom"/>
          </w:tcPr>
          <w:p>
            <w:pPr>
              <w:ind w:left="120"/>
              <w:spacing w:after="0"/>
              <w:rPr>
                <w:sz w:val="20"/>
                <w:szCs w:val="20"/>
                <w:color w:val="auto"/>
              </w:rPr>
            </w:pPr>
            <w:r>
              <w:rPr>
                <w:rFonts w:ascii="Arial" w:cs="Arial" w:eastAsia="Arial" w:hAnsi="Arial"/>
                <w:sz w:val="16"/>
                <w:szCs w:val="16"/>
                <w:color w:val="auto"/>
              </w:rPr>
              <w:t>$0.1 million of transaction costs</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Class A Ordinary Shares upon Closing of Business Combination</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w w:val="99"/>
              </w:rPr>
              <w:t>Proceeds from issuance of Pre-Funded Warrants in connection with April 2023 Private Placement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Settlement of note payable</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Payment of deferred transaction costs</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125,415</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gridSpan w:val="2"/>
          </w:tcPr>
          <w:p>
            <w:pPr>
              <w:spacing w:after="0"/>
              <w:rPr>
                <w:sz w:val="20"/>
                <w:szCs w:val="20"/>
                <w:color w:val="auto"/>
              </w:rPr>
            </w:pPr>
            <w:r>
              <w:rPr>
                <w:rFonts w:ascii="Arial" w:cs="Arial" w:eastAsia="Arial" w:hAnsi="Arial"/>
                <w:sz w:val="16"/>
                <w:szCs w:val="16"/>
                <w:color w:val="auto"/>
              </w:rPr>
              <w:t>Net increase in cash and cash equivalents</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111,235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40" w:type="dxa"/>
            <w:vAlign w:val="bottom"/>
            <w:gridSpan w:val="2"/>
          </w:tcPr>
          <w:p>
            <w:pPr>
              <w:spacing w:after="0"/>
              <w:rPr>
                <w:sz w:val="20"/>
                <w:szCs w:val="20"/>
                <w:color w:val="auto"/>
              </w:rPr>
            </w:pPr>
            <w:r>
              <w:rPr>
                <w:rFonts w:ascii="Arial" w:cs="Arial" w:eastAsia="Arial" w:hAnsi="Arial"/>
                <w:sz w:val="16"/>
                <w:szCs w:val="16"/>
                <w:color w:val="auto"/>
              </w:rPr>
              <w:t>Cash and cash equivalents, ending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112,802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b w:val="1"/>
                <w:bCs w:val="1"/>
                <w:color w:val="auto"/>
              </w:rPr>
              <w:t>Supplemental Disclosure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Cash paid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A-1 convertible preferred shares for license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Conversion of Series A-1 convertible preferred shares for Class A Ordinary Shares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14,686</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Accrued 2023 Lilly License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Non-cash transfers to redeemable noncontrolling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10,875</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Issuance of Class A Ordinary shares for 2023 Lilly License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Share-based equity issuance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5,590</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Settlement of research and development license consideration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Transaction costs include in 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4,122</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deferred offering costs to additional paid-in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Assumption of public and private placement warrants in connection with Business Combination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3,715</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public warrant liability to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Issuance of Call Right to noncontrolling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1,541</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5"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Zura Bio Limited, a Cayman Islands exempted company, formerly known as JATT Acquisition Corp (“JATT”), together with its subsidiaries (collectively, the “Company” or “Zura” or “Zura Bio”), is a clinical-stage biotechnology company advancing immunology assets into Phase 2 development programs, including ZB-168, a fully anti-IL7Ra monoclonal antibody, which it has licensed from Pfizer, Inc. (“Pfizer”), as well as torudokimab, a high affinity monoclonal antibody, and ZB-106, a bispecific antibody relating to IL-17 and BAFF, which it has licensed from Eli Lilly and Company (“Lilly”). The Company’s accounting predecessor, Zura Bio Limited (herein referred to as “Legacy Zura”), was formed in the United Kingdom (“UK”) on January 18, 2022 (“Inception”).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Legacy Zura. Pursuant to the Business Combination Agreement, (a) before the closing of the Business Combination, Holdco was established as a new holding company of Legacy Zura and became a party to the Business Combination Agreement; and (b) on the Closing,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has been accounted for as a reverse recapitalization, with Legacy Zura being the accounting acquirer and JATT as the acquired company for accounting purposes. Accordingly, all historical financial information presented in the unaudited condensed consolidated financial statements represent the accounts of Legacy Zura. The shares and net loss per share attributable to ordinary shareholders of Legacy Zura prior to the Closing Date have been retroactively restated as shares reflecting the exchange ratio established in the Business Combination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under the symbols “ZURA” and “ZURAW,” respectively. See Note 3, Recapitalization for additional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Fiscal Year End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November 18, 2022, the Board of Directors approved a change in the Company’s fiscal year end from March 31 to December 31. The Company’s 2022 fiscal year began at the Company’s inception on January 18, 2022, and ended on December 31, 2022.</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fiscal year end also applies retrospectively to all previously issued financial statements for the periods ended March 31, 2022, June 30, 2022, and September 30, 2022.</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incurred operating losses since inception and expects to continue to incur significant operating losses for the foreseeable future and may never become profitable. The Company has an accumulated deficit of $86.8 million and $32.1 million as of June 30, 2023 and December 31, 2022, respectively, and a net loss of $34.0 million and $0.9 million for the three months ended June 30, 2023 and 2022, and a net loss of $43.6 million and $8.7 million for the six months ended June 30, 2023 and the period ended June 30, 2022. The Company’s existing sources of liquidity as of June 30, 2023 includes $112.8 million in cash and cash equivalents.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Business Combination, the Company historically funded operations primarily with issuances of convertible preferred shares and a promissory note. Upon the closing of the Business Combination, the Company received $56.7 million in net cash proceeds. Additionally, the Company received $79.9 million in net cash proceeds in connection with April 2023 Private Placement. The Company’s cash requirements include, but are not limited to, product manufacturing costs and working capital requirements. The Company expects such operating losses and negative cash flows from operations will continue but has sufficient liquidity to fund its operations over the next twelve months.</w:t>
      </w:r>
    </w:p>
    <w:p>
      <w:pPr>
        <w:spacing w:after="0" w:line="188" w:lineRule="exact"/>
        <w:rPr>
          <w:sz w:val="20"/>
          <w:szCs w:val="20"/>
          <w:color w:val="auto"/>
        </w:rPr>
      </w:pPr>
    </w:p>
    <w:p>
      <w:pPr>
        <w:ind w:left="680" w:hanging="321"/>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unaudited condensed consolidated financial statements (the “condensed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condensed consolidated financial statements have been prepared in accordance with U.S. GAAP applicable to interim financial statements. These financial statements are presented in accordance with the rules and regulations of the U.S. Securities and Exchange Commission (“SEC”) and do not include all disclosures normally required in annual consolidated financial statements prepared in accordance with U.S. GAAP. As such, the information included herein should be read in conjunction with Legacy Zura’s consolidated financial statements and accompanying notes as of December 31, 2022 and for the period from January 18, 2022 (date of inception) to December 31, 2022 (the “audited consolidated financial statements”) that were included in the Company’s Form 8-K filed with the SEC on April 6, 2023. In management’s opinion, these unaudited condensed consolidated financial statements have been prepared on the same basis as the annual consolidated financial statements, except for the impact of the recapitalization as described in Note 3, and reflect all adjustments, which include normal recurring adjustments, necessary for the fair statement of the Company’s financial position as of June 30, 2023 and the results of operations for the three months ended June 30, 2023 and 2022 and for the six months ended June 30, 2023 and the period ended June 30, 2022. The results of operations for the six months ended June 30, 2023 are not necessarily indicative of the results to be expected for the full year ending December 31, 2023 or any other future interim or annual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for the addition of the Business Combination, the addition of public warrants, private placement warrants, and pre-funded warrants (collectively, the “Warrants”), and the addition of stock options with market-based performance conditions, there have been no significant changes in the Company’s significant accounting policies from those that were disclosed in Note 2, Summary of Significant Accounting Policies, included in the Company’s audited consolidated financial statements that were included in the Company’s Current Report on Form 8-K filed with the SEC on April 6,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the fair value of Class A Ordinary Shares and other assumptions used to measure share-based compensation, the fair value of redeemable noncontrolling interest, the fair value of share-based consideration transferred for acquired assets, the fair value of contingent consideration, the fair value of the private placement warrants, and the fair value of the note payable.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future product candidates will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2023, Silicon Valley Bank became insolvent. State regulators closed the bank and the Federal Deposit Insurance Corporation (“FDIC”) was appointed as its receiver. The Company held deposits with this bank. As a result of the actions by the FDIC, the Company’s insured and uninsured deposits have been restored.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the Business Combination, the Company assumed JATT’s public warrant and private placement warrant liabilities. The public warrants were reclassified to equity following the Business Combination.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the April 2023 Private Placement, the Company sold pre-funded warrants (the “Pre-Funded Warrants”) to certain accredited investors. The Pre-Funded Warrants were classified as equity instruments.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Classification of the public and pre-funded warrants as equity instruments and the private placement warrants as liability instruments is based on management’s analysis of the guidance in ASC 815. The Company measures the private placement warrant liability at fair value each reporting period with the change in fair value recorded as other (expense) income in the condensed consolidated statements of operations. The Company measured the public warrants at the fair value of the equity instruments as of the Closing Date of the Business Combination. The Company measured the pre-funded warrants at the fair value of the equity instruments as of the date of the April 2023 Private Placement. See Note 8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computed by dividing net loss attributable to Class A Ordinary Shareholders by the weighted-average number of Class A Ordinary Shares outstanding during the period. Diluted net loss per share excludes the potential impact of the Company’s convertible preferred shares and options to purchase Class A Ordinary Shares because their effect would be anti-dilutive due to the Company’s net loss for the period presented. Since the Company had a net loss in the period presented, basic and diluted net loss per share are the same.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provides potentially dilutive securities not included in the calculation of the diluted net loss per share because to do so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w:t>
            </w:r>
          </w:p>
        </w:tc>
        <w:tc>
          <w:tcPr>
            <w:tcW w:w="134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w:t>
            </w:r>
          </w:p>
        </w:tc>
      </w:tr>
      <w:tr>
        <w:trPr>
          <w:trHeight w:val="171"/>
        </w:trPr>
        <w:tc>
          <w:tcPr>
            <w:tcW w:w="70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13,510,415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Shares issuable upon exercise of the Warrants to purchase Class A Ordinary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12,809,996</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exercise of options to purchase Class A Ordinary Shares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5,681,471</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383,371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Shares issuable upon exercise of Z33 Series Seed Preferred Shares call option</w:t>
            </w:r>
          </w:p>
        </w:tc>
        <w:tc>
          <w:tcPr>
            <w:tcW w:w="132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 units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1,398,011</w:t>
            </w:r>
          </w:p>
        </w:tc>
        <w:tc>
          <w:tcPr>
            <w:tcW w:w="2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21,889,478</w:t>
            </w:r>
          </w:p>
        </w:tc>
        <w:tc>
          <w:tcPr>
            <w:tcW w:w="2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13,893,786</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Shares issuable upon the exercise of performance-based share options (“PSOs”) are excluded from the calculation of diluted net loss per share until the Company’s management deems it probable that the performance conditions will be satisfied.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2022, the Financial Accounting Standards Board (“FASB”) issued Accounting Standards Update (“ASU”) 2022-03, Fair Value Measurement (Topic 820): Fair Value Measurement of Equity Securities Subject to Contractual Sale Restrictions, which clarifies the guidance of measuring the fair value of equity securities subject to contractual restrictions that prohibit the sale of the equity securities. The Company early adopted this standard effective January 1, 2023. The adoption of this standard did not have a material effect on our condensed consolidated financial statements and related disclosures.</w:t>
      </w:r>
    </w:p>
    <w:p>
      <w:pPr>
        <w:spacing w:after="0" w:line="184"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Recapitalization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discussed in Note 1, Organization and Description of Business, on the Closing Date, JATT completed the acquisition of Legacy Zura and acquired 100% of Legacy Zura’s shares and Legacy Zura received proceeds of $56.7 million which includes proceeds from issuance of Class A Ordinary Shares upon the consummation of the Business Combination, including the Redemption Backstop shares (as defined below), proceeds from the PIPE investment (as defined below), and proceeds from the Forward Purchase Agreement (as defined below). The Company recorded $4.0 million of transaction costs, which consisted of legal, accounting, and other professional services directly related to the Business Combination. These costs were included in additional paid-in capital on the Company’s condensed consolidated balance sheet. On the Closing Date, each holder of Legacy Zura’s ordinary shares received approximately 108.083 shares of the Company’s Class A Ordinary Shares, par value $0.0001 per share. See Note 7 for additional details of the Company’s shareholders’ equity (deficit) prior to and subsequent to the Business Combination.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equity awards of Legacy Zura were assumed by the Company and converted into comparable equity awards that are settled or exercisable for shares of the Company’s Class A Ordinary Shares. As a result, each outstanding share option was converted into an option exercisable for the Company’s Class A Ordinary Shares based on an exchange ratio of approximately 108.083 and each outstanding restricted share unit was converted into restricted units of the Company that, upon vesting, will be settled for the Company’s Class A Ordinary Shares based on an exchange ratio of approximately 108.083.</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public and private placement warrant of JATT that was unexercised at the time of the Business Combination was assumed by the Company and represents the right to purchase one Class A Ordinary Share upon exercise of such warrant. Refer to Note 2 and Note 8 for further details.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Business Combination was accounted for as a reverse recapitalization with Legacy Zura as the accounting acquirer and JATT as the acquired company for accounting purposes. Legacy Zura was determined to be the accounting acquirer since Legacy Zura’s shareholders as a group prior to the Business Combination held the majority voting interest in the combined entity, Legacy Zura’s shareholders appointed 4 out of the 7 directors of the combined Board of Directors, Legacy Zura’s management holds certain key positions in the management of the combined entity, and Legacy Zura is the largest of the combining entities based on historical operating activity and comprises all of the ongoing operations. Accordingly, all historical financial information presented in these condensed consolidated financial statements represents the accounts of Legacy Zura. Net assets were stated at historical cost consistent with the treatment of the transaction as a reverse recapitalization of Legacy Zura. The Company’s convertible preferred shares and Class A Ordinary Shares prior to the closing of the Business Combination (as defined in Note 1) have been retroactively restated to reflect the exchange ratio of approximately 108.083 established in the Business Combination Agreement.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Class A Ordinary Shares issued and outstanding immediately following the Business Combination on March 20, 2023 was: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JATT Public shareholders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182,498</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231F20"/>
              </w:rPr>
              <w:t>Zura shares issued – 2022 Lilly license</w:t>
            </w:r>
          </w:p>
        </w:tc>
        <w:tc>
          <w:tcPr>
            <w:tcW w:w="900" w:type="dxa"/>
            <w:vAlign w:val="bottom"/>
          </w:tcPr>
          <w:p>
            <w:pPr>
              <w:jc w:val="right"/>
              <w:spacing w:after="0"/>
              <w:rPr>
                <w:sz w:val="20"/>
                <w:szCs w:val="20"/>
                <w:color w:val="auto"/>
              </w:rPr>
            </w:pPr>
            <w:r>
              <w:rPr>
                <w:rFonts w:ascii="Arial" w:cs="Arial" w:eastAsia="Arial" w:hAnsi="Arial"/>
                <w:sz w:val="18"/>
                <w:szCs w:val="18"/>
                <w:color w:val="231F20"/>
              </w:rPr>
              <w:t>550,000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231F20"/>
              </w:rPr>
              <w:t>2.0 %</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231F20"/>
              </w:rPr>
              <w:t>Redemption Backstop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1,301,633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4.8 %</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231F20"/>
              </w:rPr>
              <w:t>Redemption Backstop Consideration</w:t>
            </w:r>
          </w:p>
        </w:tc>
        <w:tc>
          <w:tcPr>
            <w:tcW w:w="900" w:type="dxa"/>
            <w:vAlign w:val="bottom"/>
          </w:tcPr>
          <w:p>
            <w:pPr>
              <w:jc w:val="right"/>
              <w:spacing w:after="0"/>
              <w:rPr>
                <w:sz w:val="20"/>
                <w:szCs w:val="20"/>
                <w:color w:val="auto"/>
              </w:rPr>
            </w:pPr>
            <w:r>
              <w:rPr>
                <w:rFonts w:ascii="Arial" w:cs="Arial" w:eastAsia="Arial" w:hAnsi="Arial"/>
                <w:sz w:val="18"/>
                <w:szCs w:val="18"/>
                <w:color w:val="231F20"/>
              </w:rPr>
              <w:t>2,500,000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231F20"/>
              </w:rPr>
              <w:t>9.2 %</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231F20"/>
              </w:rPr>
              <w:t>JATT Founders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3,450,000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12.8 %</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231F20"/>
              </w:rPr>
              <w:t>PIPE Investment</w:t>
            </w:r>
          </w:p>
        </w:tc>
        <w:tc>
          <w:tcPr>
            <w:tcW w:w="900" w:type="dxa"/>
            <w:vAlign w:val="bottom"/>
          </w:tcPr>
          <w:p>
            <w:pPr>
              <w:jc w:val="right"/>
              <w:spacing w:after="0"/>
              <w:rPr>
                <w:sz w:val="20"/>
                <w:szCs w:val="20"/>
                <w:color w:val="auto"/>
              </w:rPr>
            </w:pPr>
            <w:r>
              <w:rPr>
                <w:rFonts w:ascii="Arial" w:cs="Arial" w:eastAsia="Arial" w:hAnsi="Arial"/>
                <w:sz w:val="18"/>
                <w:szCs w:val="18"/>
                <w:color w:val="231F20"/>
              </w:rPr>
              <w:t>2,009,950</w:t>
            </w:r>
          </w:p>
        </w:tc>
        <w:tc>
          <w:tcPr>
            <w:tcW w:w="1320" w:type="dxa"/>
            <w:vAlign w:val="bottom"/>
            <w:gridSpan w:val="3"/>
          </w:tcPr>
          <w:p>
            <w:pPr>
              <w:jc w:val="right"/>
              <w:spacing w:after="0"/>
              <w:rPr>
                <w:sz w:val="20"/>
                <w:szCs w:val="20"/>
                <w:color w:val="auto"/>
              </w:rPr>
            </w:pPr>
            <w:r>
              <w:rPr>
                <w:rFonts w:ascii="Arial" w:cs="Arial" w:eastAsia="Arial" w:hAnsi="Arial"/>
                <w:sz w:val="18"/>
                <w:szCs w:val="18"/>
                <w:color w:val="231F20"/>
              </w:rPr>
              <w:t>7.4 %</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231F20"/>
              </w:rPr>
              <w:t>Forward Purchase Agreement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3,000,000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11.1 %</w:t>
            </w:r>
          </w:p>
        </w:tc>
      </w:tr>
      <w:tr>
        <w:trPr>
          <w:trHeight w:val="216"/>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231F20"/>
              </w:rPr>
              <w:t>Legacy Zura Equityholders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3"/>
              </w:rPr>
              <w:t>14,058,074</w:t>
            </w:r>
          </w:p>
        </w:tc>
        <w:tc>
          <w:tcPr>
            <w:tcW w:w="13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231F20"/>
              </w:rPr>
              <w:t>52.0 %</w:t>
            </w:r>
          </w:p>
        </w:tc>
      </w:tr>
      <w:tr>
        <w:trPr>
          <w:trHeight w:val="209"/>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231F20"/>
              </w:rPr>
              <w:t>Total shares outstanding</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27,052,155</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231F20"/>
              </w:rPr>
              <w:t>100.0 %</w:t>
            </w:r>
          </w:p>
        </w:tc>
      </w:tr>
      <w:tr>
        <w:trPr>
          <w:trHeight w:val="20"/>
        </w:trPr>
        <w:tc>
          <w:tcPr>
            <w:tcW w:w="7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Concurrently with the execution of the Business Combination Agreement, JATT entered into subscription agreements with certain “accredited investors” (as defined by Rule 501 of Regulation D) (the “PIPE Investors”) on June 16, 2022, as amended on November 25, 2022, (the “Ewon PIPE Subscription Agreement”) and March 13, 2023 (the “Eugene PIPE Subscription Agreement”), pursuant to which the PIPE Investors collectively subscribed for and agreed to purchase an aggregate of 2,009,950 JATT Class A Ordinary Shares at a purchase price of $10.00 per share for $20,099,500.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 and Redemption Backstop</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27, 2022, JATT entered into an Amended Forward Purchase Agreement (the “Forward Purchase Agreement”) with two institutional investors (the “FPA Investors”) providing that at the Closing of the Business Combination: (i) the purchasers will purchase an aggregate of 3,000,000 Class A Ordinary Shares at $10 per share for $30,000,000; and (ii) the purchase of, in a binding redemption backstop (the “Redemption Backstop”), up to an additional $15 million of Class A Ordinary Shares in the event that public Class A Ordinary Share redemptions are greater than 90% in connection with the Business Combination (the “Excess Redemptions”). On the Closing Date, FPA Investors purchased 1,301,633 JATT Class A Ordinary Shares at $10 per share for $13,016,330. In addition, the FPA Investors were issued an additional 2,500,000 Class A Ordinary Shares (“Redemption Backstop Consideration”) for no additional consideration.</w:t>
      </w:r>
    </w:p>
    <w:p>
      <w:pPr>
        <w:spacing w:after="0" w:line="188"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Inputs are unadjusted, quoted prices in active markets for identical assets or liabilities at the measurement date;</w:t>
      </w:r>
    </w:p>
    <w:p>
      <w:pPr>
        <w:spacing w:after="0" w:line="237" w:lineRule="exact"/>
        <w:rPr>
          <w:sz w:val="20"/>
          <w:szCs w:val="20"/>
          <w:color w:val="auto"/>
        </w:rPr>
      </w:pPr>
    </w:p>
    <w:p>
      <w:pPr>
        <w:jc w:val="both"/>
        <w:ind w:left="44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Inputs are observable, unadjusted quoted prices in active markets for similar assets or liabilities, unadjusted quoted prices</w:t>
      </w:r>
      <w:r>
        <w:rPr>
          <w:rFonts w:ascii="Arial" w:cs="Arial" w:eastAsia="Arial" w:hAnsi="Arial"/>
          <w:sz w:val="17"/>
          <w:szCs w:val="17"/>
          <w:b w:val="1"/>
          <w:bCs w:val="1"/>
          <w:color w:val="auto"/>
        </w:rPr>
        <w:t xml:space="preserve"> </w:t>
      </w:r>
      <w:r>
        <w:rPr>
          <w:rFonts w:ascii="Arial" w:cs="Arial" w:eastAsia="Arial" w:hAnsi="Arial"/>
          <w:sz w:val="17"/>
          <w:szCs w:val="17"/>
          <w:color w:val="auto"/>
        </w:rPr>
        <w:t>for identical or similar assets or liabilities in markets that are not active, or other inputs that are observable or can be corroborated by observable market data for substantially the full term of the related assets or liabilities; and</w:t>
      </w:r>
    </w:p>
    <w:p>
      <w:pPr>
        <w:sectPr>
          <w:pgSz w:w="11900" w:h="16838" w:orient="portrait"/>
          <w:cols w:equalWidth="0" w:num="1">
            <w:col w:w="9920"/>
          </w:cols>
          <w:pgMar w:left="980" w:top="517"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0" w:right="2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significant to the measurement of the fair value of the assets or liabilities that are supported</w:t>
      </w:r>
      <w:r>
        <w:rPr>
          <w:rFonts w:ascii="Arial" w:cs="Arial" w:eastAsia="Arial" w:hAnsi="Arial"/>
          <w:sz w:val="18"/>
          <w:szCs w:val="18"/>
          <w:b w:val="1"/>
          <w:bCs w:val="1"/>
          <w:color w:val="auto"/>
        </w:rPr>
        <w:t xml:space="preserve"> </w:t>
      </w:r>
      <w:r>
        <w:rPr>
          <w:rFonts w:ascii="Arial" w:cs="Arial" w:eastAsia="Arial" w:hAnsi="Arial"/>
          <w:sz w:val="18"/>
          <w:szCs w:val="18"/>
          <w:color w:val="auto"/>
        </w:rPr>
        <w:t>by little or no market data.</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consist of cash and cash equivalents, prepaid and other current assets, accounts payable and accrued expenses, note payable, private placement warrants, and research and development license consideration. The carrying values of the Company’s cash and cash equivalents, prepaid and other current assets, and accounts payable and accrued expenses approximate their fair value due to the short-term maturity of these instruments.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as of June 30, 2023 and December 31, 2022, and the fair value hierarchy of the valuation techniques utilized.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Cash equivalents</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112,580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112,580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Private placement warrants</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364"/>
        </w:trPr>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Note payable</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7,756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7,756</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license consideration</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transfers into or out of Level 1, Level 2, or Level 3 during the three and six months ended June 30, 2023 and the period ended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elected the fair value option to account for its Note payable to Hydra, LLC (see Note 10). The fair value of the Note payable at issuance was measured as the cash proceeds from the Note. The fair value of the Note payable subsequent to issuance was estimated using the probability-weighted expected return method (“PWERM”), whereby the total settlement obligation under the Note was determined based on the amounts payable to Hydra under various scenarios. The PWERM’s output is determined based on inputs not observable in the market, which represented a Level 3 measurement within the fair value hierarchy. The PWERM contemplated three scenarios: i) the Company consummates the Business Combination without triggering an event of default, ii) the Company triggers an event of default, and consummates the Business Combination, and iii) the Company does not consummate the Business Combination. The settlement value of each scenario was determined using a discounted cash flow model. Significant estimates in the cash flow model include the discount rate and time to repayment. As of December 31, 2022, the weighted average discount rate was 9.0%, and the weighted average time to repayment was 0.6 years, each weighted by the probability of the scenario. Upon the Closing Date of the Business Combination, the Note was remeasured to the settlement value and subsequently repaid for a total of $10.0 million. The following table provides a summary of changes in the estimated fair value of the Note: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For the Six</w:t>
            </w:r>
          </w:p>
        </w:tc>
      </w:tr>
      <w:tr>
        <w:trPr>
          <w:trHeight w:val="148"/>
        </w:trPr>
        <w:tc>
          <w:tcPr>
            <w:tcW w:w="8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71"/>
        </w:trPr>
        <w:tc>
          <w:tcPr>
            <w:tcW w:w="8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June 30, 2023</w:t>
            </w: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Remeasurement of the Note to settlement value upon the Closing of the Business Combination</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the Note</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0"/>
        </w:trPr>
        <w:tc>
          <w:tcPr>
            <w:tcW w:w="860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 loss on remeasurement of the Note of $2.2 million for the six months ended June 30, 2023 within change in fair value of note payable on the condensed consolidated statement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license consideration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consideration for the 2022 Lilly License (see Note 6), Lilly agreed to receive either 550,000 Zura Class A Ordinary Shares upon the closing of the Business Combination (subject to certain lock-up provisions) or 4,702,867 shares of Z33 Series Seed Preferred Shares (the subsidiary redeemable preferred shares) if the Business Combination was not consummated. As of December 31, 2022, the arrangement was liability classified and remeasured at fair value at each reporting date (the research and development license consideration liability). The fair value of the research and development license consideration liability was estimated using the PWERM, whereby the total settlement obligation was determined based upon the fair value of the JATT Class A Ordinary Shares, the Z33 Series Seed Preferred Shares, and the probability of the consummation of the Business Combination. As certain of the inputs to the PWERM are not observable in the market, the research and development license consideration liability represented a Level 3 measurement within the fair value hierarchy. As of December 31, 2022, the fair value of JATT Class A Ordinary Shares was determined to be $7.66 per share, a discount to the trading price due to the shares being subject to a lock-up provision. As of December 31, 2022, the fair value of Z33 Series Seed Preferred Shares was determined to be $0.15 per share.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Closing Date of the Business Combination, the liability was remeasured to its settlement value and subsequently settled through the issuance of 550,000 Class A Ordinary Shares of Zura. The aggregate fair value of the Class A Ordinary Shares of Zura issued to Lilly was determined to be $4.5 million, or $8.16 per share. The following table provides a summary of changes in the estimated fair value of the liability: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For the Six</w:t>
            </w:r>
          </w:p>
        </w:tc>
      </w:tr>
      <w:tr>
        <w:trPr>
          <w:trHeight w:val="148"/>
        </w:trPr>
        <w:tc>
          <w:tcPr>
            <w:tcW w:w="8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71"/>
        </w:trPr>
        <w:tc>
          <w:tcPr>
            <w:tcW w:w="8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June 30, 2023</w:t>
            </w:r>
          </w:p>
        </w:tc>
      </w:tr>
      <w:tr>
        <w:trPr>
          <w:trHeight w:val="20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Remeasurement of the liability to settlement value upon the Closing of the Business Combination</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the liability</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r>
      <w:tr>
        <w:trPr>
          <w:trHeight w:val="210"/>
        </w:trPr>
        <w:tc>
          <w:tcPr>
            <w:tcW w:w="860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recorded a loss on the remeasurement of the research and development license consideration liability of $1.9 million for the six months ended June 30, 2023 within research and development on the condensed consolidated statement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2023, the Company has private placement warrants assumed in connection with the Business Combination (see Note 8). Such warrants are measured at fair value on a recurring basis. Because the transfer of private placement warrants to non-permitted transferees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 The following table provides a summary of changes in the estimated fair value of the private placement warrants: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Assumption of private placement warrants</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0"/>
        </w:trPr>
        <w:tc>
          <w:tcPr>
            <w:tcW w:w="8600" w:type="dxa"/>
            <w:vAlign w:val="bottom"/>
          </w:tcPr>
          <w:p>
            <w:pPr>
              <w:spacing w:after="0"/>
              <w:rPr>
                <w:sz w:val="20"/>
                <w:szCs w:val="20"/>
                <w:color w:val="auto"/>
              </w:rPr>
            </w:pPr>
            <w:r>
              <w:rPr>
                <w:rFonts w:ascii="Arial" w:cs="Arial" w:eastAsia="Arial" w:hAnsi="Arial"/>
                <w:sz w:val="18"/>
                <w:szCs w:val="18"/>
                <w:color w:val="auto"/>
              </w:rPr>
              <w:t>Balance at March 31, 2023</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10"/>
        </w:trPr>
        <w:tc>
          <w:tcPr>
            <w:tcW w:w="860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r>
      <w:tr>
        <w:trPr>
          <w:trHeight w:val="20"/>
        </w:trPr>
        <w:tc>
          <w:tcPr>
            <w:tcW w:w="8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a gain from the change in fair value of the private placement warrants of $0.5 million for the three months ended June 30, 2023 and a loss of $0.4 million for the six months ended June 30, 2023, within change in fair value of private placement warrants on the condensed consolidated statement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is comprised of the following as of June 30, 2023 and 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2023</w:t>
            </w:r>
          </w:p>
        </w:tc>
        <w:tc>
          <w:tcPr>
            <w:tcW w:w="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2022</w:t>
            </w: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Accrued offering costs</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Accrued 2023 Lilly License costs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legal costs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Accrued research and development costs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consulting fees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10"/>
        </w:trPr>
        <w:tc>
          <w:tcPr>
            <w:tcW w:w="7340" w:type="dxa"/>
            <w:vAlign w:val="bottom"/>
          </w:tcPr>
          <w:p>
            <w:pPr>
              <w:ind w:left="120"/>
              <w:spacing w:after="0"/>
              <w:rPr>
                <w:sz w:val="20"/>
                <w:szCs w:val="20"/>
                <w:color w:val="auto"/>
              </w:rPr>
            </w:pPr>
            <w:r>
              <w:rPr>
                <w:rFonts w:ascii="Arial" w:cs="Arial" w:eastAsia="Arial" w:hAnsi="Arial"/>
                <w:sz w:val="18"/>
                <w:szCs w:val="18"/>
                <w:color w:val="auto"/>
              </w:rPr>
              <w:t>Total accounts payable and accrued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22, 2022, the Company entered into a license agreement and a Series A-1 Subscription and Shareholder’s Agreement (collectively, the “Pfizer Agreement”) with Pfizer. Under the Pfizer Agreement, the Company acquired a license for a compound initially developed by Pfizer, in exchange for $5.0 million in cash and 2,702,083 shares (as adjusted by the exchange ratio established in the Business Combination Agreement) of the Company’s Series A-1 convertible preferred shares, representing a 20% interest in the Company. In accordance with ASC 805, the Pfizer Agreement is accounted for as an asset acquisition as substantially all of the $7.5 million value transferred to the Company was allocated to in-process research and development. On the acquisition date, the compound licensed had not yet received regulatory approval and the in-process research and development did not have an alternative use.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consideration transferred on March 22, 2022, the Company is obligated to make 12 development and regulatory milestone payments aggregating up to $70.0 million and sales milestone payments up to an aggregate of $525.0 million based on respective thresholds of net sales of products (developed from the licensed compound) (the “Products”). In further consideration for the license, the Company will also pay an annual earned royalty at a marginal royalty rate in the mid-single digits to low double digits (less than 20%), based on thresholds of nets sales of Products. Royalties are payable on a country-by-country basis for a certain period of years or upon the later expiration of regulatory exclusivity of the Company’s Products in a country.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also subject to a potential multi-million dollar transaction payment if, within a certain period the Company has</w:t>
      </w:r>
    </w:p>
    <w:p>
      <w:pPr>
        <w:spacing w:after="0" w:line="35" w:lineRule="exact"/>
        <w:rPr>
          <w:sz w:val="20"/>
          <w:szCs w:val="20"/>
          <w:color w:val="auto"/>
        </w:rPr>
      </w:pPr>
    </w:p>
    <w:p>
      <w:pPr>
        <w:jc w:val="both"/>
        <w:ind w:firstLine="8"/>
        <w:spacing w:after="0" w:line="255" w:lineRule="auto"/>
        <w:tabs>
          <w:tab w:leader="none" w:pos="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changes in control, excluding an initial public offering or any business combination where the securities of the Company are listed on a stock exchange (e.g., a transaction with a special purpose acquisition company), or (b) the Company sublicenses or divests of its rights to the Products.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Pfizer Agreement also has an anti-dilution provision to allow Pfizer to maintain an 18% interest in the Company, as detailed in Note</w:t>
      </w:r>
    </w:p>
    <w:p>
      <w:pPr>
        <w:spacing w:after="0" w:line="46" w:lineRule="exact"/>
        <w:rPr>
          <w:sz w:val="20"/>
          <w:szCs w:val="20"/>
          <w:color w:val="auto"/>
        </w:rPr>
      </w:pPr>
    </w:p>
    <w:p>
      <w:pPr>
        <w:jc w:val="both"/>
        <w:ind w:firstLine="8"/>
        <w:spacing w:after="0" w:line="270" w:lineRule="auto"/>
        <w:tabs>
          <w:tab w:leader="none" w:pos="1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Immediately prior to the Closing Date of the Business Combination, additional share options and restricted share units were issued to certain employees, executives, and directors that would result in the dilution of Pfizer’s ownership in the Company. In accordance with the anti-dilution provision of the Pfizer Agreement, Pfizer was issued additional Series A-1 convertible preferred shares upon the closing of the Business Combination that were immediately converted to 267,939 Class A Ordinary Shares. In accordance with ASC 718, the Company recognized expense related to these Class A Ordinary Shares based on their grant date fair value. Following the Business Combination, the anti-dilution provision is no longer in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does not owe any amounts under the Pfizer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Lonza</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Lilly License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2022, the Company’s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 As consideration, the Company paid Lilly an upfront fee of $7.0 million.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consideration for the 2022 Lilly License, Lilly agreed to receive either 550,000 Class A Ordinary Shares upon the closing of the Business Combination (subject to certain lock-up provisions) or 4,702,867 shares of Z33 Series Seed Preferred Shares (the subsidiary redeemable preferred shares) if the Business Combination was not consummated. The obligation to issue shares represents contingent consideration and is classified as a liability on the consolidated balance sheet (research and development license consideration liability) as of December 31, 2022. The liability is measured at fair value on the acquisition date and remeasured to fair value at each reporting date. Upon the Closing Date of the Business Combination, the Company issued Lilly 550,000 Class A Ordinary Shares at an aggregate fair value of $4.5 million.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was accounted for as an asset acquisition as substantially all of the fair value of the assets acquired is concentrated in a group of similar identifiable IPR&amp;D assets (as defined below). On the acquisition date, the compound licensed had not yet received regulatory approval and the in-process research and development did not have an alternative use. Accordingly, the Company expensed the entire cost of the 2022 Lilly License as a component of research and development in the consolidated statement of operations during the period ended December 31, 2022.</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finder’s fee in connection with arranging the acquisition, Z33 issued to Stone Peach Properties, LLC (“Stone Peach”) 4,900,222 shares of Z33 Series Seed Preferred Shares, which is included in the measurement of the cost of the acquired asset. Zura has the right, but not the obligation to purchase up to 50% of the Series Seed Preferred Shares issued to Stone Peach at a price per share of $2.448869 for a period of two years from the date of the agreement. Stone Peach has the right, but not the obligation to sell up to 50% of the Series Seed Preferred Shares issued to Stone Peach to Zura for a price per share of $2.040724. Stone Peach may exercise its option at any time between the first anniversary and the second anniversary of the transaction. In April 2023, the Company agreed to, within six months of April 24, 2023, exercise its call option on 50% of the Z33 Series Seed Preferred Shares previously issued to Stone Peach. The Company agreed to settle its call option by issuing 2,000,000 Class A Ordinary Shares. See Note 12 for further information.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 consideration transferred on December 8, 2022, the Company is obligated to pay $3.0 million to Lilly upon the completion of a financing by the Company with gross proceeds exceeding $100 million.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The Company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The Company will account for these contingent payments when they become due. As of June 30, 2023, none of the contingent payments were due.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Lilly License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in exchange for an upfront payment consisting of $5.8 million as well as 1,000,000 Class A Ordinary Shares issued at a fair value of $7.84 per Class A Ordinary Share. In addition,</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ZB17 will make a payment of $5.0 million upon the receipt of certain know-how, data, information and materials that Lilly is required to provide under the license agreement.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was accounted for as an asset acquisition as substantially all of the fair value of the assets acquired is concentrated in a group of similar identifiable IPR&amp;D assets. On the acquisition date, the compound licensed had not yet received regulatory approval and the in-process research and development did not have an alternative use. Accordingly, the Company expensed the entire cost of the 2023 Lilly License as a component of research and development in the condensed consolidated statement of operations during the three and six months ended June 30, 2023.</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Company recognized the Stone Peach Call Right at a grant-date fair value of $1.5 million as a component of research and development in the condensed consolidated statement of operations during the three and six months ended June 30, 2023. The Stone Peach Call Right represents noncontrolling interest in the Company’s subsidiary, ZB17.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 noncontrolling interest balance was $1.5 million and -0-, respectively.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additional consideration, Stone Peach will receive annual payments first of $0.6 million, and increasing by 10% annually, so long as the Company maintains its license for ZB-106 and beginning on May 1, 2023. The Company will account for these annual payments when they become due. The Company recognized the first $0.6 million annual payment as a component of research and development in the condensed consolidated statement of operations during the three and six months ended June 30, 2023.</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the Company’s fully diluted shares outstanding exceeded 52,500,000 shares prior to June 30, 2023, the $5.0 million fee was recorded in accounts payable and accrued expenses in the condensed consolidated balance sheet as of June 30, 2023 and within research and development in the condensed consolidated statement of operations for the three and six months ended June 30, 2023.</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consideration transferred during the three and six months ended June 30, 2023, 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also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commencement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 The Company will account for these contingent payments when they become due. As of June 30, 2023, none of the contingent payments were due.</w:t>
      </w:r>
    </w:p>
    <w:p>
      <w:pPr>
        <w:spacing w:after="0" w:line="180"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Shares and Shareholders’ Equity (Deficit)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Business Combination, Legacy Zura was authorized to issue Ordinary Shares and Series A-1 convertible preferred shares. The outstanding Ordinary Shares and Series A-1 convertible preferred shares of Legacy Zura are presented on the consolidated balance sheet and on the statement of changes in convertible preferred shares, redeemable noncontrolling interest and shareholders’ deficit for the annual period ended December 31, 2022.</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prior to the Closing Date of the Business Combination, Pfizer was issued additional Series A-1 convertible preferred shares upon the closing of the Business Combination that were immediately converted to 267,939 Class A Ordinary Shares. The shares were issued in accordance with the anti-dilution provision of the Pfizer Agreement.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the Closing Date and in accordance with the terms and subject to the conditions of the Business Combination, each Ordinary Share of Legacy Zura, par value $0.001 per share, Series A-1 convertible preferred share, outstanding option (whether vested or unvested), and restricted share unit (whether vested or unvested) were canceled and converted into a comparable number of awards that consisted of either the rights to receive or acquire the Company’s Class A Ordinary Shares, par value $0.0001 per share, as determined by the exchange ratio pursuant to the Business Combination Agreement. The exchange ratio is approximately 108.083.</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16, 2023, in connection with the closing of the Business Combination and effective upon the Closing Date, the Company authorized 300,000,000 Class A Ordinary Shares, par value of $0.0001 and 1,000,000 preferred shares, par value of $0.0001.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2023 Private Placement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“Pre-Funded Warrants”) to purchase up to 3,782,000 Class A Ordinary Shares. Each Class A Ordinary Share was sold at a price of $4.25 per Class A Ordinary Share and each Pre-Funded Warrant was sold at a price of $4.249 per Pre-Funded Warrant for an aggregate purchase price of $80.0 million. See Note 8 for further information on the Pre-Funded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A-1 Convertible Preferred Shares Rights and Preferences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Series A-1 convertible preferred share is convertible, at the option of the holder thereof, at any time after the date of issuance of such share, into such number shares of the Company’s Ordinary Shares, subject to adjustment.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Series A-1 convertible preferred share will automatically be converted into a share of the Company’s Ordinary Shares, subject to adjustment, immediately upon the occurrence of an initial public offering with a gross aggregate subscription with respect to new Ordinary Shares of greater than $50.0 million. The Ordinary Shares resulting from this conversion will rank pari passu with the existing Ordinary Shares at the time of conversion.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Anti-Dilution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Company issues equity securities, other than pursuant to a share option plan, the Company shall issue such number of Series A-1 convertible preferred shares to Pfizer as necessary to maintain Pfizer’s ownership interest of 18%, until the Company raises in excess of $30.0 million in equity, where any capital raised above this threshold is not subject to anti-dilution.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shares of Series A-1 convertible preferred shares are entitled to receive dividends, of profits available for distribution as determined by the Company’s board of directors with the consent of the majority of the shareholders, payable on a pro rata, pari passu basis. No dividends have been declared by the Company’s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any voluntary or involuntary liquidation or return of capital (other than a conversion, redemption or purchase of shares) of the Company, the holders of the Series A-1 convertible preferred shares are entitled to receive a liquidation preference prior to any distribution to the holders of Ordinary Shares in the amount $131 per share.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holders of the Series A-1 convertible preferred shares are entitled to one vote per share, unless the Series A-1 shares are convertible into a greater number of Ordinary Shares or the holders of Series A-1 convertible preferred shares are entitled to any anti-dilution shares, in which case the holders of Series A-1 convertible preferred shares are entitled to the number of votes that the holder would be entitled upon conversion to Ordinary Shares or after the issuance of the anti-dilution shares,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Series A-1 convertible preferred shares are not mandatorily redeemable at the option of the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no convertible preferred shares were issued and outstanding.</w:t>
      </w:r>
    </w:p>
    <w:p>
      <w:pPr>
        <w:spacing w:after="0" w:line="221"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the accounting acquirer, Zura Bio is deemed to have assumed 5,910,000 private placement warrants to purchase Class A Ordinary Shares that were held by JATT Ventures, L.P. (the “Sponsor”) at an exercise price of $11.50 and 6,899,996 public warrants to purchase Class A Ordinary Shares that were held by JATT’s public shareholders at an exercise price of $11.50. The public and private placement warrants will expire five years after the completion of the Business Combination, or earlier upon redemption or liquidation.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public warrants became exercisable into Class A Ordinary Shares commencing 30 days after the Business Combination and expire five years from the date of the Business Combination, or earlier upon redemption or liquidation. Each warrant entitles the holder to purchase one share of the Company’s Class A Ordinary Shares at a price of $11.50 per share, subject to certain adjustments.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redeem, with 30 days written notice, each whole outstanding public warrant for cash at a price of $0.01 per warrant if the Reference Value (as defined below) equals or exceeds $18.00 per share, subject to certain adjustments. The warrant holders have the right to exercise their outstanding warrants prior to the scheduled redemption date at $11.50 per share, subject to certain adjustments. If the Company calls the public warrants for redemption, the Company will have the option to require all holders that wish to exercise the Public Warrants to do so on a “cashless basis”, as described in the warrant agreement. For purposes of the redemption, “Reference Value” shall mean the last reported sales price of the Company’s Class A Ordinary Shares for any twenty trading days within the thirty trading-day period ending on the third trading day prior to the date on which notice of the redemption is given.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private placement warrants were identical to the public warrants, except that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 If the private placement warrants are held by someone other than the initial purchasers or their permitted transferees, then such warrants will be redeemable by the Company and exercisable by the warrant holders on the same basis as the public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April 2023 Private Placement, the Company sold to accredited investors Pre-Funded Warrants to purchase up to 3,782,000 Class A Ordinary Shares at a price of $4.249 per Pre-Funded Warrant for an aggregate purchase price of approximately $16.1 million. Each Pre-Funded Warrant has an exercise price of $0.001 per Class A Ordinary Share and is exercisable for one Class A Ordinary Share at any time or times on or after April 26, 2023 until exercised in full.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no Warrants have been exercised or redeemed.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June 8, 2022, Legacy Zura’s board of directors approved two stock option plans, the UK Plan (the “UK Plan”) and the US Plan (the “US Plan”) (collectively, the “Option Plans”) which permit the granting of nonqualified share options to certain employees and directors. There were 1,501,165 Ordinary Shares available for issuance under the Option Plans, of which 383,371 Ordinary Shares were authorized for issuance under the US Plan.</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SARs, alone or in conjunction with other awards; restricted shares and restricted share units (“RSUs”); incentive bonuses, which may be paid in cash, shares, or a combination thereof; and other share-based awards. On June 1, 2023, the Company’s board of directors approved an increase to the number of Class A Ordinary Shares that may be issued under the Equity Incentive Plan by an additional 5,564,315 Class A Ordinary Shares. As of June 30, 2023, a maximum of 9,594,213 Class A Ordinary Shares may be issued under the Equity Incentive Plan.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16, 2023, JATT’s board of directors approved the Zura Bio Limited 2023 Employee Stock Purchase Plan (the “ESPP”) which became effective on the day immediately preceding the Closing Date of the Business Combination. The maximum number of Class A Ordinary Shares that may be issued under the ESPP is 4,029,898, plus an aggregate number of Class A Ordinary Shares that are added under the Equity Incentive Plan on January 1st of each calendar year, beginning on January 1, 2024 and ending on and including January 1, 2029, as discussed above. The ESPP enables eligible employees of the Company and designated affiliates to purchase Class A Ordinary Shares at a discount of 15%. As of June 30, 2023, no shares have been issued under the ESPP.</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closing of the Business Combination, all equity awards of Legacy Zura that were issued and outstanding under the Option Plans were converted into comparable equity awards that are settled or exercisable for shares of the Company’s Class A Ordinary Shares under the Equity Incentive Plan. As a result, each of Legacy Zura’s equity awards were converted into an option to purchase Class A Ordinary Shares of the Company based on an exchange ratio of approximately 108.083.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weighted-average assumptions were used to estimate the fair value of the Equity Incentive Plan share options issued during the three and six months ended June 30, 2023 and the periods ended June 30,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9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For the Three Months Ended</w:t>
            </w: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from January 18,</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980" w:type="dxa"/>
            <w:vAlign w:val="bottom"/>
            <w:gridSpan w:val="6"/>
            <w:vMerge w:val="continue"/>
          </w:tcPr>
          <w:p>
            <w:pPr>
              <w:spacing w:after="0"/>
              <w:rPr>
                <w:sz w:val="12"/>
                <w:szCs w:val="12"/>
                <w:color w:val="auto"/>
              </w:rPr>
            </w:pPr>
          </w:p>
        </w:tc>
        <w:tc>
          <w:tcPr>
            <w:tcW w:w="14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For the Six Months</w:t>
            </w:r>
          </w:p>
        </w:tc>
        <w:tc>
          <w:tcPr>
            <w:tcW w:w="12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2022 (date of</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440" w:type="dxa"/>
            <w:vAlign w:val="bottom"/>
            <w:gridSpan w:val="3"/>
            <w:vMerge w:val="continue"/>
          </w:tcPr>
          <w:p>
            <w:pPr>
              <w:spacing w:after="0"/>
              <w:rPr>
                <w:sz w:val="14"/>
                <w:szCs w:val="14"/>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Ended June 30, 2023</w:t>
            </w:r>
          </w:p>
        </w:tc>
        <w:tc>
          <w:tcPr>
            <w:tcW w:w="126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6.26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0.77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96.8 %</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95.1 %</w:t>
            </w:r>
          </w:p>
        </w:tc>
        <w:tc>
          <w:tcPr>
            <w:tcW w:w="8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97.1 %</w:t>
            </w:r>
          </w:p>
        </w:tc>
        <w:tc>
          <w:tcPr>
            <w:tcW w:w="7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95.1 %</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Expected life</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6.1 years</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5.9 years</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6.1 years</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5.9 years</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share option activity for the six months ended June 30,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7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 share)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(Years)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Recapitalization</w:t>
            </w:r>
          </w:p>
        </w:tc>
        <w:tc>
          <w:tcPr>
            <w:tcW w:w="820" w:type="dxa"/>
            <w:vAlign w:val="bottom"/>
          </w:tcPr>
          <w:p>
            <w:pPr>
              <w:jc w:val="right"/>
              <w:spacing w:after="0"/>
              <w:rPr>
                <w:sz w:val="20"/>
                <w:szCs w:val="20"/>
                <w:color w:val="auto"/>
              </w:rPr>
            </w:pPr>
            <w:r>
              <w:rPr>
                <w:rFonts w:ascii="Arial" w:cs="Arial" w:eastAsia="Arial" w:hAnsi="Arial"/>
                <w:sz w:val="18"/>
                <w:szCs w:val="18"/>
                <w:color w:val="auto"/>
              </w:rPr>
              <w:t>379,824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(89.66)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383,371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5,874,144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(576,044)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outstanding at June 30, 2023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5,681,471</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34,239</w:t>
            </w:r>
          </w:p>
        </w:tc>
        <w:tc>
          <w:tcPr>
            <w:tcW w:w="0" w:type="dxa"/>
            <w:vAlign w:val="bottom"/>
          </w:tcPr>
          <w:p>
            <w:pPr>
              <w:spacing w:after="0"/>
              <w:rPr>
                <w:sz w:val="1"/>
                <w:szCs w:val="1"/>
                <w:color w:val="auto"/>
              </w:rPr>
            </w:pPr>
          </w:p>
        </w:tc>
      </w:tr>
      <w:tr>
        <w:trPr>
          <w:trHeight w:val="197"/>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 at June 30, 2023</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1,402,191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Included in the table above are 45,611 PSOs that vested upon the Company raising external capital of $75 million or more. The milestone was considered outside of the Company’s control, and accordingly the vesting of the PSOs were not considered probable until the financing event occurs. During the three and six months ended June 30, 2023, the 45,611 PSOs became vested and an immaterial amount of share-based compensation expense was recognized in relation to these PSOs.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Share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20, 2023, the Company granted 306,373 options to purchase Class A Ordinary Shares (“Market-Based Share Options”) to a certain Director of the Board. These awards will vest only to the extent that the 20-day volume weighted average trading price (“VWAP”) of the Class A Ordinary Shares is over $30 per Class A Ordinary Share at any time prior to the fifth anniversary of the grant date. These awards have an exercise price of $8.16 and become exercisable when vested and the market condition is satisfied. These awards expire 10 years from the date of grant. The fair value of these Market-Based Share Options were estimated using a Monte Carlo valuation method.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weighted-average assumptions used at the grant date to determine the fair value of the Company’s market-based PSOs granted during the three and six months ended June 30, 2023:</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For the Three and</w:t>
            </w:r>
          </w:p>
        </w:tc>
      </w:tr>
      <w:tr>
        <w:trPr>
          <w:trHeight w:val="175"/>
        </w:trPr>
        <w:tc>
          <w:tcPr>
            <w:tcW w:w="4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Six Months Ended</w:t>
            </w:r>
          </w:p>
        </w:tc>
      </w:tr>
      <w:tr>
        <w:trPr>
          <w:trHeight w:val="175"/>
        </w:trPr>
        <w:tc>
          <w:tcPr>
            <w:tcW w:w="4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482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CCEEFF"/>
            </w:tcBorders>
          </w:tcPr>
          <w:p>
            <w:pPr>
              <w:spacing w:after="0"/>
              <w:rPr>
                <w:sz w:val="14"/>
                <w:szCs w:val="14"/>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Risk-free rate</w:t>
            </w:r>
          </w:p>
        </w:tc>
        <w:tc>
          <w:tcPr>
            <w:tcW w:w="18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8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 years</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Market-Based Share Options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expense recognized related to Market-Based Share Options during the three and six months ended June 30, 2023 was approximately $0.2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RSUs to certain employees, executives, and directors pursuant to the Equity Incentive Plan. The fair value has been estimated based on the closing price of the stock on the grant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RSUs</w:t>
            </w: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at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1,398,011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at June 30,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1,398,011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expense recognized related to RSUs during the three and six months ended June 30, 2023 was approximately $0.4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Modification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7, 2023, the Company and its President and Chief Operating Officer (the “COO”) entered into an agreement regarding the COO’s departure from the Company (the “Severance Agreement”). In connection with Severance Agreement, 59,594 of the share options previously granted to the COO became fully vested and exercisable, with any shares purchased under the option subject to an 18-month lockup period. The Company recognized approximately $0.6 million of incremental share-based compensation during the six months ended June 30, 2023 related to this share option modification.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Share-based Compensation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anti-dilution provisions of the Pfizer Agreement, Pfizer was issued additional Series A-1 convertible preferred shares upon the closing of the Business Combination that were immediately converted to 267,939 Class A Ordinary Shares. During the three and six months ended June 30, 2023, the Company recognized expense in the amount of -0- and $2.2 million, respectively, related to these Class A Ordinary Shares based on their grant-date fair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Share-based compensation expense for all equity arrangements for the three months ended June 30, 2023 and 2022 and for the six months ended June 30, 2023 and the period ended June 30, 2022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For the Six</w:t>
            </w:r>
          </w:p>
        </w:tc>
        <w:tc>
          <w:tcPr>
            <w:tcW w:w="14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Period from</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January 18, 2022</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(date of inception) to</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96"/>
              </w:rPr>
              <w:t>2023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2023, there was approximately $22.0 million of total unrecognized share-based compensation expense related to options granted to employees, executives, and directors under the Company’s equity plans that is expected to be recognized over a weighted average period of 1.9 years. As of June 30, 2023, there was approximately $8.4 million of total unrecognized share-based compensation expense related to RSUs granted to certain employees, executives, and directors under the Company’s Equity Incentive Plan that is expected to be recognized over a weighted average period of 2.0 years.</w:t>
      </w:r>
    </w:p>
    <w:p>
      <w:pPr>
        <w:spacing w:after="0" w:line="184"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December 8, 2022, the Company received $7.6 million in net proceeds from the issuance of a promissory note (the “Note”) issued to Hydra, LLC (“Hydra”) with a face amount of $8.0 million. The Note accrues interest at 9% per annum. The maturity date of the Note is the earlier of (i) twelve months from the date of the Note or (ii) five business dates after the date on which the Company consummates</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Business Combination. The proceeds from the Note were used to acquire the 2022 Lilly License. If the registration statement on Form S-4 relating to the Business Combination had not been declared effective by the SEC by February 15, 2023, or if the Business Combination was not consummated by March 31, 2023, Hydra had the right to accelerate the Note and receive an amount equal to 120% of the face amount of the Note, plus accrued interest. On March 8, 2023, the Company signed a limited waiver letter under the Note, pursuant to which Hydra agreed to waive its acceleration right in consideration of the Company paying to Hydra 125% of the principal amount (equal to $10.0 million in the aggregate). The Note was repaid on March 20, 2023, upon the consummation of the Business Combination.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account for the Note at fair value (Note 4). The Company recorded any changes in the fair value of the Note during the period through other expense in the condensed consolidated statement of operations.</w:t>
      </w:r>
    </w:p>
    <w:p>
      <w:pPr>
        <w:spacing w:after="0" w:line="166"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20"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finder’s fee for the 2022 Lilly License, the Company’s consolidated subsidiary Z33 issued 4,900,222 shares of Z33 Series Seed Preferred Shares to Stone Peach. Zura has the right, but not the obligation to purchase up to 50% of the Series Seed Preferred Shares issued to Stone Peach at a price per share of $2.448869 for a period of two years from the date of the agreement. Stone Peach has the right, but not the obligation to sell up to 50% of the Series Seed Preferred Shares issued to Stone Peach to Zura for a price per share of $2.040724 (the “Put Option”). Stone Peach may exercise its option at any time between the first anniversary and the second anniversary of the transaction. As it is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represents redeemable noncontrolling interest.</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2023,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and as an adjustment to net loss to arrive at net loss attributable to Class A ordinary shareholders on the condensed consolidated statement of operations.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redeemable noncontrolling interest balance was $20.9 million and $10.0 million, respectively.</w:t>
      </w:r>
    </w:p>
    <w:p>
      <w:pPr>
        <w:spacing w:after="0" w:line="166"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has evaluated subsequent events through the date of issuance of the condensed consolidated financial statements. There have been no subsequent events that require recognition or disclosure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the audited financial statements of Zura Bio Limited (referred to as “Legacy Zura” herein) as of December 31, 2022, included in the Current Report on Form 8-K filed with the SEC on April 6, 2023 and in conjunction with the unaudited condensed consolidated financial statements and notes thereto included elsewhere in this Quarterly Report on Form 10-Q.</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In addition to historical information, this discussion and analysis contains forward-looking statements. These forward-looking statements are subject to risks and uncertainties, including those discussed in the section titled “Risk Factors” in our Registration Statement on Form S-4/A filed with the SEC on February 23, 2023, that could cause actual results to differ materially from historical results or anticipated results.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 to the Company prior to the consummation of the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Zura Bio Limited, formerly known as JATT Acquisition Corp., is a is a multi-asset clinical-stage biotechnology company focused on developing novel medicines for immune and inflammatory disorders. The experienced leadership team will build the company rapidly from a small to a medium size pharmaceutical company enabling Zura to become a leader in the autoimmunology field.</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were incorporated as a Cayman Islands exempted company on March 10, 2021. Our wholly owned subsidiary, Zura Bio Limited (“Zura Bio UK”) was formed in the United Kingdom, or UK, on January 18, 2022. Prior to March 20, 2023, our operations were conducted through Zura Bio UK.</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a limited operating history. Since our inception, our operations have focused on organizing and staffing our company, business planning, raising capital and entering into collaboration agreements for conducting manufacturing, research and development activities for our product. Our lead product candidates are in the clinical testing stage, however, we have not conducted any clinical tests ourselves, nor have any been conducted during the period since our inception. We do not have any product candidates approved for sale and have not generated any revenue from product sales. We have funded our operations through (i) the sale of equity, raising an aggregate of $10.0 million of gross proceeds from the sale of shares of convertible preferred stock of Zura Bio UK through March 31, 2023; (ii) the issuance of a promissory note, receiving net proceeds of $7.6 million in December 2022; (iii) proceeds from the Business Combination of $56.7 million in March 2023; and (iv) the April 2023 Private Placement, raising an aggregate of $80.0 million of gross proceeds from the sale of Class A Ordinary Shares and Pre-Funded Warrants during the three months ended June 30, 2023.</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our inception, we have incurred significant operating losses. Our net loss for the three and six months ended June 30, 2023 was $34.0 million and $43.6 million, respectively. As of June 30, 2023, we had an accumulated deficit of $86.8 million. We anticipate that our expenses will increase significantly in connection with our ongoing activities, as we:</w:t>
      </w:r>
    </w:p>
    <w:p>
      <w:pPr>
        <w:spacing w:after="0" w:line="184"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programs;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our planned clinical and preclinical trials of ZB-168, ZB-106, and torudokimab, as well as initiate and complete additional trials of future potential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manufacture current good manufacturing practices, or cGMP, material for clinical trials or potential commercial sales;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and validate a commercial-scale cGMP manufacturing facility, or use a contract manufacturing organization;</w:t>
      </w:r>
    </w:p>
    <w:p>
      <w:pPr>
        <w:spacing w:after="0" w:line="236" w:lineRule="exact"/>
        <w:rPr>
          <w:rFonts w:ascii="Arial" w:cs="Arial" w:eastAsia="Arial" w:hAnsi="Arial"/>
          <w:sz w:val="17"/>
          <w:szCs w:val="17"/>
          <w:color w:val="auto"/>
        </w:rPr>
      </w:pPr>
    </w:p>
    <w:p>
      <w:pPr>
        <w:ind w:left="680" w:right="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manufacturing and distribution capabilities to commercialize any product candidates for which we may obtain regulatory approval;</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hire additional clinical, manufacturing quality control, regulatory, manufacturing and scientific and administrative personnel;</w:t>
      </w:r>
    </w:p>
    <w:p>
      <w:pPr>
        <w:spacing w:after="0" w:line="236" w:lineRule="exact"/>
        <w:rPr>
          <w:rFonts w:ascii="Arial" w:cs="Arial" w:eastAsia="Arial" w:hAnsi="Arial"/>
          <w:sz w:val="17"/>
          <w:szCs w:val="17"/>
          <w:color w:val="auto"/>
        </w:rPr>
      </w:pPr>
    </w:p>
    <w:p>
      <w:pPr>
        <w:ind w:left="68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20, 2023 (the “Closing Date”), we consummated the previously-announced transactions contemplated by the Business Combination Agreement, dated June 16, 2022, as amended on September 20, 2022, November 14, 2022, and January 13, 2023 by and among Zura Bio Limited, a limited company incorporated under the laws of England and Wales (“Zura Bio UK”), JATT Acquisition Corp, a Cayman Islands exempted company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w:t>
      </w:r>
    </w:p>
    <w:p>
      <w:pPr>
        <w:spacing w:after="0" w:line="1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Pursuant to the Business Combination Agreement, (a) before the closing of the Business Combination, Holdco was established as our new holding company and became a party to the Business Combination Agreement; and (b) on the closing date, in sequential order:</w:t>
      </w:r>
    </w:p>
    <w:p>
      <w:pPr>
        <w:jc w:val="both"/>
        <w:ind w:firstLine="8"/>
        <w:spacing w:after="0" w:line="253" w:lineRule="auto"/>
        <w:tabs>
          <w:tab w:leader="none" w:pos="2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Merger Sub merged with and into Holdco, with Holdco continuing as the surviving company and a wholly owned subsidiary of JATT (the “Merger”); (ii) immediately following the Merger, Holdco merged with and into Merger Sub 2, with Merger Sub 2 continuing as the surviving company and a wholly owned subsidiary of JATT (the “Subsequent Merger”); and (iii) JATT changed its name to “Zura Bio Limited” (“Zura Bio”).</w:t>
      </w:r>
    </w:p>
    <w:p>
      <w:pPr>
        <w:spacing w:after="0" w:line="19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Subject to, and in accordance with, the terms and conditions of the Business Combination Agreement, at the Closing, (i) each JATT unit was (to the extent not already separated) automatically separated and the holder thereof was deemed to hold one JATT Class A Ordinary Share and one-half of a JATT warrant; (ii) in consideration for the Merger, JATT issued to holders of Holdco’s issued and outstanding shares immediately prior to the Effective Time (as defined in the Business Combination Agreement) an aggregate of 14,558,067 JATT Class A Ordinary Shares (including 499,993 JATT Class A Ordinary Shares underlying restricted share units granted to Amit Munshi, the Company’s Non-Executive Chairman) plus 1,941,933 options to acquire JATT Class A Ordinary Shares for which outstanding options to acquire Holdco Class A Ordinary Shares were exchanged on Closing; and (iii) pursuant to the terms and conditions of JATT’s existing amended and restated memorandum and articles of association, all then-outstanding Class B Class A Ordinary Shares, par value $0.0001 per share, were automatically converted into JATT Class A Ordinary Shares on a one-for-one basis.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the Closing Date, Ewon Comfortech Co., Ltd. (“Ewon”), an institutional accredited investor which is an indirect investor in Zura through its equity interest in Hana Immunotherapeutics LLC (“Hana”), purchased from JATT 2,000,000 JATT Class A Ordinary Shares and Eugene Investment &amp; Securities Co., Ltd (“Eugene”), an unaffiliated institutional credited investor, purchased from JATT 9,950 JATT Class A Ordinary Shares (Ewon, together with Eugene, the “PIPE Investors”), for an aggregate of 2,009,950 JATT Class A Ordinary Shares (the “PIPE Shares”) at a price of $10.00 per share, for an aggregate purchase price of $20,099,500 (the “PIPE Financing”), pursuant to the subscription agreement entered into by JATT and the Ewon as of June 16, 2022, as amended on November 25, 2022 (the “Ewon PIPE Subscription Agreement”) and the subscription agreement entered into by JATT and Eugene as of March 13, 2023 (the “Eugene PIPE Subscription Agreement” and, together with the Ewon PIPE Subscription Agreement, the “PIPE Subscription Agreements”).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the Closing of the Business Combination, Athanor Master Fund, LP and Athanor International Master Fund, LP (collectively, the “FPA Investors”), each of which is an unaffiliated institutional investor, purchased (i) an aggregate of 3,000,000 JATT Class A Ordinary Shares at $10 per share for $30,000,000; (ii) an aggregate of 1,301,633 JATT Class A Ordinary Shares at $10 per share for $13,016,330 (the “Redemption Backstop”) as public share redemptions were greater than 90% at the time of the Business Combination (the “Excess Redemptions”); and (iii) an additional 2,500,000 JATT Class A Ordinary Shares in consideration for the FPA Investors entering into the latest amendment, but for no additional monetary consideration, to the forward purchase agreements JATT and the FPA Investors entered into on August 5, 2021, as amended and restated on January 27, 2022 and as amended on March 8, 2023 (the “Forward Purchase Agreement”).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Business Combination, together with the PIPE financing, the Forward Purchase Agreement, and the Redemption Backstop, generated approximately $56.7 million in proceeds. On March 21, 2023, the Company’s Class A Ordinary Shares and public warrants began trading on the Nasdaq under the symbols “ZURA” and “ZURAW,”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2023 Private Placement</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“Pre-Funded Warrants”) to purchase up to 3,782,000 Class A Ordinary Shares. Each Class A Ordinary Share was sold at a price of $4.25 per Class A Ordinary Share and each Pre-Funded Warrant was sold at a price of $4.249 per Pre-Funded Warrant for an aggregate purchase price of $80.0 million.</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Concurrently with the April 2023 Private Placement,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Lilly License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in exchange for an upfront payment consisting of $5.8 million as well as 1,000,000 Class A Ordinary Shares issued at a fair value of $7.84 per Class A Ordinary Share. In addition, ZB17 will make a payment of $5.0 million upon the receipt of certain know-how, data, information and materials that Lilly is required to provide under the license agreement.</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EMA.</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additional consideration, Stone Peach will receive annual payments first of $0.6 million, and increasing by 10% annually, so long as the Company maintains its license for ZB-106 and beginning on May 1, 2023.</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to the consideration transferred during the three and six months ended June 30, 2023, 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commencement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expenses primarily consist of professional fees for legal, accounting, and consulting costs relating to corporate matters, as well as salaries and related costs for personnel in executive and administrative functions, including share-based compensation.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spacing w:after="0" w:line="18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(“R&amp;D”) expenses consist primarily of consulting fees for medical and manufacturing advisory services and costs related to manufacturing material for preclinical studies. Expenses are recognized as the related goods are delivered or the services are performed.</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R&amp;D expenses include the cost of in-process research and development (“IPR&amp;D”) assets purchased in an asset acquisition transaction. IPR&amp;D assets are expensed unless the assets acquired are deemed to have an alternative future use,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are immediately expensed in the period in which they are incurred and include upfront payments, as well as transaction fees and subsequent pre-commercial milestone payments. Research and development costs incurred after the acquisition are expensed as incurred. R&amp;D expenses also include the remeasurement of the research and development license consideration liability.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expenses could include:</w:t>
      </w:r>
    </w:p>
    <w:p>
      <w:pPr>
        <w:spacing w:after="0" w:line="225" w:lineRule="exact"/>
        <w:rPr>
          <w:sz w:val="20"/>
          <w:szCs w:val="20"/>
          <w:color w:val="auto"/>
        </w:rPr>
      </w:pPr>
    </w:p>
    <w:p>
      <w:pPr>
        <w:ind w:left="68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and other related costs for those employees involved in research and development efforts;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clinical research organizations, investigative sites and consultants to conduct our preclinical studies;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related to manufacturing material for preclinical studies and clinical trials, including fees paid to contract manufacturing organizations;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equipment.</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preclinical and 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preclinical studies and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p>
      <w:pPr>
        <w:spacing w:after="0" w:line="168" w:lineRule="exact"/>
        <w:rPr>
          <w:sz w:val="20"/>
          <w:szCs w:val="20"/>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incurred to conduct preclinical studies required to advance our product candidates into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 patient clinical trial costs, including based on the number of doses that patients receive;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who enroll in each clinical trial;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clinical trials required for approval;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sites included in the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countries in which the clinical trials are conducted;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duration of patient participation in clinical trials and follow-up;</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party contractors failing to comply with regulatory requirements or meet their contractual obligations in a timely manner, or at all;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insurance, including product liability insurance, in connection with clinical trials;</w:t>
      </w:r>
    </w:p>
    <w:p>
      <w:pPr>
        <w:spacing w:after="0" w:line="225"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 our results of operations for the periods presented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9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5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28,230</w:t>
            </w:r>
          </w:p>
        </w:tc>
        <w:tc>
          <w:tcPr>
            <w:tcW w:w="16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33,905</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Other expense/(income), net: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Change in fair value of private placement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40"/>
              <w:spacing w:after="0"/>
              <w:rPr>
                <w:sz w:val="20"/>
                <w:szCs w:val="20"/>
                <w:color w:val="auto"/>
              </w:rPr>
            </w:pPr>
            <w:r>
              <w:rPr>
                <w:rFonts w:ascii="Arial" w:cs="Arial" w:eastAsia="Arial" w:hAnsi="Arial"/>
                <w:sz w:val="18"/>
                <w:szCs w:val="18"/>
                <w:color w:val="auto"/>
              </w:rPr>
              <w:t>warrants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other expense/(income), 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(34,025)</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00" w:type="dxa"/>
            <w:vAlign w:val="bottom"/>
            <w:gridSpan w:val="2"/>
          </w:tcPr>
          <w:p>
            <w:pPr>
              <w:spacing w:after="0" w:line="182" w:lineRule="exact"/>
              <w:rPr>
                <w:sz w:val="20"/>
                <w:szCs w:val="20"/>
                <w:color w:val="auto"/>
              </w:rPr>
            </w:pPr>
            <w:r>
              <w:rPr>
                <w:rFonts w:ascii="Arial" w:cs="Arial" w:eastAsia="Arial" w:hAnsi="Arial"/>
                <w:sz w:val="18"/>
                <w:szCs w:val="18"/>
                <w:color w:val="auto"/>
              </w:rPr>
              <w:t>Net loss before redeemable noncontrolling</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(34,025)</w:t>
            </w:r>
          </w:p>
        </w:tc>
        <w:tc>
          <w:tcPr>
            <w:tcW w:w="9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(33,100)</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redeemable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(34,025)</w:t>
            </w: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Deemed dividend to redeemable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(10,875)</w:t>
            </w: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w w:val="95"/>
              </w:rPr>
              <w:t>Net loss attributable to Ordinary Shareholders</w:t>
            </w: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00" w:type="dxa"/>
            <w:vAlign w:val="bottom"/>
            <w:gridSpan w:val="2"/>
            <w:vMerge w:val="continue"/>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(44,900)</w:t>
            </w:r>
          </w:p>
        </w:tc>
        <w:tc>
          <w:tcPr>
            <w:tcW w:w="980" w:type="dxa"/>
            <w:vAlign w:val="bottom"/>
            <w:vMerge w:val="restart"/>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(925)</w:t>
            </w:r>
          </w:p>
        </w:tc>
        <w:tc>
          <w:tcPr>
            <w:tcW w:w="300" w:type="dxa"/>
            <w:vAlign w:val="bottom"/>
            <w:vMerge w:val="restart"/>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(43,975)</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00" w:type="dxa"/>
            <w:vAlign w:val="bottom"/>
            <w:gridSpan w:val="2"/>
          </w:tcPr>
          <w:p>
            <w:pPr>
              <w:ind w:left="140"/>
              <w:spacing w:after="0"/>
              <w:rPr>
                <w:sz w:val="20"/>
                <w:szCs w:val="20"/>
                <w:color w:val="auto"/>
              </w:rPr>
            </w:pPr>
            <w:r>
              <w:rPr>
                <w:rFonts w:ascii="Arial" w:cs="Arial" w:eastAsia="Arial" w:hAnsi="Arial"/>
                <w:sz w:val="18"/>
                <w:szCs w:val="18"/>
                <w:color w:val="auto"/>
              </w:rPr>
              <w:t>of Zura</w:t>
            </w:r>
          </w:p>
        </w:tc>
        <w:tc>
          <w:tcPr>
            <w:tcW w:w="34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*Percentage change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4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94"/>
              </w:rPr>
              <w:t>For the Three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400" w:type="dxa"/>
            <w:vAlign w:val="bottom"/>
            <w:vMerge w:val="restart"/>
          </w:tcPr>
          <w:p>
            <w:pPr>
              <w:jc w:val="right"/>
              <w:ind w:right="5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2"/>
                <w:szCs w:val="12"/>
                <w:color w:val="auto"/>
              </w:rPr>
            </w:pPr>
          </w:p>
        </w:tc>
        <w:tc>
          <w:tcPr>
            <w:tcW w:w="12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9"/>
              </w:rPr>
              <w:t>Change</w:t>
            </w:r>
          </w:p>
        </w:tc>
        <w:tc>
          <w:tcPr>
            <w:tcW w:w="1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28,230</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28,145</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expenses increased by $28.1 million for the three months ended June 30, 2023 compared to the three months ended June 30, 2022. The increase was primarily due to $27.2 million of expense related to the acquisition of an in-process research and development (“IPR&amp;D”) license from Lilly during the three months ended June 30, 2023. The increase was also due an increase of $0.9 million of costs incurred for consulting and advisory services for clinical development strategy and manufacturing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4"/>
              </w:rPr>
              <w:t>For the Three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0" w:type="dxa"/>
            <w:vAlign w:val="bottom"/>
            <w:vMerge w:val="restart"/>
          </w:tcPr>
          <w:p>
            <w:pPr>
              <w:jc w:val="right"/>
              <w:ind w:right="5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2"/>
                <w:szCs w:val="12"/>
                <w:color w:val="auto"/>
              </w:rPr>
            </w:pPr>
          </w:p>
        </w:tc>
        <w:tc>
          <w:tcPr>
            <w:tcW w:w="11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89"/>
              </w:rPr>
              <w:t>Change</w:t>
            </w:r>
          </w:p>
        </w:tc>
        <w:tc>
          <w:tcPr>
            <w:tcW w:w="1400" w:type="dxa"/>
            <w:vAlign w:val="bottom"/>
          </w:tcPr>
          <w:p>
            <w:pPr>
              <w:jc w:val="right"/>
              <w:ind w:right="362"/>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General and administrative expenses increased by $4.8 million for the three months ended June 30, 2023 compared to the three months ended June 30, 2022. The increase was primarily due to increases of $3.4 million in expenses related compensation for personnel</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executive and administrative functions including share-based compensation, as well as an increase of $0.9 million in professional fees for legal and accounting costs incurred related to our ongoing operations as a public company, and an increase of $0.5 million of travel and office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Expense/(Income), net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increased by $0.4 million for the three months ended June 30, 2023 compared to the three months ended June 30, 2022. This increase is primarily due to $0.4 million of dividend income from its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private placement warrants</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Revaluation loss on the liability-classified private placement warrants assumed in the Business Combination was $0.5 million for the three months ended June 30, 2023. No warrants were outstanding during the three months ended June 30,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redeemable noncontrolling interest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loss attributable to redeemable noncontrolling interest was -0- for the three months ended June 30, 2023, representing the noncontrolling shareholder’s interest in the net loss of our consolidated subsidiary. The redeemable noncontrolling interest was not outstanding during the three months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Deemed Dividend to Redeemable Noncontrolling Interest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Deemed dividend to the redeemable noncontrolling interest was $10.9 million for the three months ended June 30, 2023, due to the modification of the terms of the Z33 Series Seed Preferred Shares issued to Stone Peach. The redeemable noncontrolling interest was not outstanding during the three months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Six Months Ended June 30, 2023 and the Period from January 18, 2022 (date of inception) to June 30, 2022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 our results of operations for the periods presented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Six</w:t>
            </w:r>
          </w:p>
        </w:tc>
        <w:tc>
          <w:tcPr>
            <w:tcW w:w="80" w:type="dxa"/>
            <w:vAlign w:val="bottom"/>
          </w:tcPr>
          <w:p>
            <w:pPr>
              <w:spacing w:after="0"/>
              <w:rPr>
                <w:sz w:val="14"/>
                <w:szCs w:val="14"/>
                <w:color w:val="auto"/>
              </w:rPr>
            </w:pPr>
          </w:p>
        </w:tc>
        <w:tc>
          <w:tcPr>
            <w:tcW w:w="1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For the Period from January</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8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18, 2022 (date of inception) to</w:t>
            </w:r>
          </w:p>
        </w:tc>
        <w:tc>
          <w:tcPr>
            <w:tcW w:w="260" w:type="dxa"/>
            <w:vAlign w:val="bottom"/>
          </w:tcPr>
          <w:p>
            <w:pPr>
              <w:spacing w:after="0"/>
              <w:rPr>
                <w:sz w:val="12"/>
                <w:szCs w:val="12"/>
                <w:color w:val="auto"/>
              </w:rPr>
            </w:pPr>
          </w:p>
        </w:tc>
        <w:tc>
          <w:tcPr>
            <w:tcW w:w="11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4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center"/>
              <w:ind w:right="272"/>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33,114</w:t>
            </w:r>
          </w:p>
        </w:tc>
        <w:tc>
          <w:tcPr>
            <w:tcW w:w="80" w:type="dxa"/>
            <w:vAlign w:val="bottom"/>
          </w:tcPr>
          <w:p>
            <w:pPr>
              <w:spacing w:after="0"/>
              <w:rPr>
                <w:sz w:val="18"/>
                <w:szCs w:val="18"/>
                <w:color w:val="auto"/>
              </w:rPr>
            </w:pPr>
          </w:p>
        </w:tc>
        <w:tc>
          <w:tcPr>
            <w:tcW w:w="4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7,585</w:t>
            </w:r>
          </w:p>
        </w:tc>
        <w:tc>
          <w:tcPr>
            <w:tcW w:w="1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25,529</w:t>
            </w:r>
          </w:p>
        </w:tc>
        <w:tc>
          <w:tcPr>
            <w:tcW w:w="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32,878</w:t>
            </w:r>
          </w:p>
        </w:tc>
        <w:tc>
          <w:tcPr>
            <w:tcW w:w="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(32,878)</w:t>
            </w: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Other expense/(income),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5"/>
              </w:rPr>
              <w:t>Change in fair value of private placement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24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Change in fair value of note payable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other expense/(income), net</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(35,076)</w:t>
            </w: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Net loss before redeemable noncontrolling</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(43,820)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(8,744)</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(35,076)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Net loss attributable to redeemable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Accretion of redeemable noncontrolling</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interest to redemption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Deemed dividend to redeemable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(10,875)</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Net loss attributable to Ordinary</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gridSpan w:val="2"/>
            <w:vMerge w:val="continue"/>
          </w:tcPr>
          <w:p>
            <w:pPr>
              <w:spacing w:after="0"/>
              <w:rPr>
                <w:sz w:val="15"/>
                <w:szCs w:val="15"/>
                <w:color w:val="auto"/>
              </w:rPr>
            </w:pP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(54,695)</w:t>
            </w:r>
          </w:p>
        </w:tc>
        <w:tc>
          <w:tcPr>
            <w:tcW w:w="440" w:type="dxa"/>
            <w:vAlign w:val="bottom"/>
            <w:gridSpan w:val="2"/>
            <w:vMerge w:val="restart"/>
          </w:tcPr>
          <w:p>
            <w:pPr>
              <w:jc w:val="right"/>
              <w:ind w:right="208"/>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(8,744)</w:t>
            </w: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(45,951)</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Shareholders of Zura</w:t>
            </w:r>
          </w:p>
        </w:tc>
        <w:tc>
          <w:tcPr>
            <w:tcW w:w="32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*Percentage change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 (in thousands):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For the Six</w:t>
            </w:r>
          </w:p>
        </w:tc>
        <w:tc>
          <w:tcPr>
            <w:tcW w:w="16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 from January</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6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18, 2022 (date of inception) to</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36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center"/>
              <w:ind w:right="282"/>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33,114</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25,529</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Research and development expenses increased by $25.5 million for the six months ended June 30, 2023 compared to the period ended June 30, 2022. This was primarily due to an increase of $19.7 million of costs incurred to acquire licenses, as we recognized $7.5 million of expense related to the acquisition of an in-process research and development (“IPR&amp;D”) license from Pfizer during the six months ended June 30, 2022 and $27.2 million related to the acquisition of an IPR&amp;D license from Lilly during the period ended June 30, 2023. The increase was also due to the issuance of additional shares to Pfizer under an anti-dilution provision of $2.2 million recognized during the six months ended June 30, 2023, an increase of $1.9 million related to the change in fair value of our research and development license consideration liability, and an increase of $1.7 million of costs incurred for consulting and advisory services for clinical development strategy and manufacturing of our product candidates.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For the Six</w:t>
            </w:r>
          </w:p>
        </w:tc>
        <w:tc>
          <w:tcPr>
            <w:tcW w:w="160" w:type="dxa"/>
            <w:vAlign w:val="bottom"/>
          </w:tcPr>
          <w:p>
            <w:pPr>
              <w:spacing w:after="0"/>
              <w:rPr>
                <w:sz w:val="14"/>
                <w:szCs w:val="14"/>
                <w:color w:val="auto"/>
              </w:rPr>
            </w:pPr>
          </w:p>
        </w:tc>
        <w:tc>
          <w:tcPr>
            <w:tcW w:w="1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For the Period from January</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6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18, 2022 (date of inception) to</w:t>
            </w:r>
          </w:p>
        </w:tc>
        <w:tc>
          <w:tcPr>
            <w:tcW w:w="280" w:type="dxa"/>
            <w:vAlign w:val="bottom"/>
          </w:tcPr>
          <w:p>
            <w:pPr>
              <w:spacing w:after="0"/>
              <w:rPr>
                <w:sz w:val="12"/>
                <w:szCs w:val="12"/>
                <w:color w:val="auto"/>
              </w:rPr>
            </w:pPr>
          </w:p>
        </w:tc>
        <w:tc>
          <w:tcPr>
            <w:tcW w:w="112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360" w:type="dxa"/>
            <w:vAlign w:val="bottom"/>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center"/>
              <w:ind w:right="282"/>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360" w:type="dxa"/>
            <w:vAlign w:val="bottom"/>
          </w:tcPr>
          <w:p>
            <w:pPr>
              <w:jc w:val="right"/>
              <w:ind w:right="3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increased by $7.3 million for the six months ended June 30, 2023 compared to the period ended June 30, 2022. The increase was primarily due to increases of $5.1 million in expenses related compensation for personnel in executive and administrative functions including share-based compensation, as well as an increase of $1.6 million in professional fees for legal and accounting costs incurred related to our ongoing operations as a public company, an increase of $0.6 million of travel and office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Expense/(Income), net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increased by $0.4 million for the six months ended June 30, 2023 compared to the period ended June 30, 2022. This increase is primarily due to $0.4 million of dividend income from its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private placement warrants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Revaluation loss on the liability-classified private placement warrants assumed in the Business Combination was $0.4 million for the six months ended June 30, 2023. No warrants were outstanding during the period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note payable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Revaluation loss on the note payable was $2.2 million for the six months ended June 30, 2023 as the note was remeasured to its settlement value. The note payable was not outstanding during the period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redeemable noncontrolling interest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loss attributable to redeemable noncontrolling interest was $0.2 million for the six months ended June 30, 2023, representing the noncontrolling shareholder’s interest in the net loss of our consolidated subsidiary, Z33. The redeemable noncontrolling interest was not outstanding during the period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of redeemable noncontrolling interest to redemption value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Accretion of redeemable noncontrolling interest to redemption value was $0.2 million for the six months ended June 30, 2023. The redeemable noncontrolling interest was not outstanding during the period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Deemed Dividend to Redeemable Noncontrolling Interest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Deemed dividend to the redeemable noncontrolling interest was $10.9 million for the six months ended June 30, 2023, due to the modification of the terms of the Z33 Series Seed Preferred Shares issued to Stone Peach. The redeemable noncontrolling interest was not outstanding during the period ended June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Since our inception, we have not generated any revenue and expect to continue to incur significant operating losses for the foreseeable future and may never become profitable. As of June 30, 2023, we had cash and cash equivalents of $112.8 million. As of June 30, 2023, we have funded our operations through (i) the sale of equity, raising an aggregate of $10.0 million of gross proceeds from the sale of our convertible preferred shares; (ii) the issuance of a promissory note, receiving net proceeds of $7.6 million; (iii) proceeds from the Business Combination of $56.7 million in March 2023; and (iv) the April 2023 Private Placement, raising an aggregate</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$80.0 million of gross proceeds from the sale of Class A Ordinary Shares and Pre-Funded Warrants during the three months ended June 30, 2023.</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our expenses to increase significantly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also be responsible to Pfizer and Lilly for significant future contingent payments under the Pfizer Agreement, the 2022 Lilly License, and the 2023 Lilly License (collectively with the 2022 Lilly License,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We intend to fund these milestone payments using a portion of the proceeds from the Business Combination. In addition to milestone payments, we are also required to pay Pfizer and Lilly under the Pfizer Agreement and Lilly Licenses, respectively, ongoing royalties in the mid-single digits to low double-digits (less than 20%) percentage range based upon thresholds of net sales of products.</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anticipate that we will need substantial additional funding in connection with our continuing operations. We intend to devote most of the net proceeds from the Business Combination and the April 2023 Private Placement to the preclinical and clinical development of our product candidates, our public company compliance costs and certain milestone payments under the Pfizer Agreement and Lilly Licenses. Based on our current business plans, we believe that the net proceeds from the Business Combination and the Private Placement (as defined below) will enable us to fund our operating expenses and capital requirements through at least the next twelve months. Our estimate as to how long we expect the net proceeds from the Business Combination and the Private Placement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p>
      <w:pPr>
        <w:spacing w:after="0" w:line="184" w:lineRule="exact"/>
        <w:rPr>
          <w:sz w:val="20"/>
          <w:szCs w:val="20"/>
          <w:color w:val="auto"/>
        </w:rPr>
      </w:pPr>
    </w:p>
    <w:p>
      <w:pPr>
        <w:ind w:left="6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product candidates pipeline;</w:t>
      </w:r>
    </w:p>
    <w:p>
      <w:pPr>
        <w:spacing w:after="0" w:line="129"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and amount of our milestone payments to Pfizer under the Pfizer Agreement and to Lilly under the Lilly Licenses;</w:t>
      </w:r>
    </w:p>
    <w:p>
      <w:pPr>
        <w:spacing w:after="0" w:line="221" w:lineRule="exact"/>
        <w:rPr>
          <w:rFonts w:ascii="Arial" w:cs="Arial" w:eastAsia="Arial" w:hAnsi="Arial"/>
          <w:sz w:val="16"/>
          <w:szCs w:val="16"/>
          <w:color w:val="auto"/>
        </w:rPr>
      </w:pPr>
    </w:p>
    <w:p>
      <w:pPr>
        <w:ind w:left="680" w:right="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and expand our commercial infrastructure and operations;</w:t>
      </w:r>
    </w:p>
    <w:p>
      <w:pPr>
        <w:spacing w:after="0" w:line="129"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distributions, for any of our product candidates for which we receive marketing approval;</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royalty payments to Pfizer under the Pfizer Agreement and Lilly under the Lilly Licenses;</w:t>
      </w:r>
    </w:p>
    <w:p>
      <w:pPr>
        <w:spacing w:after="0" w:line="198"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revenue, if any, received from sales of our product candidates for which we receive marketing approval;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For the</w:t>
            </w:r>
          </w:p>
        </w:tc>
        <w:tc>
          <w:tcPr>
            <w:tcW w:w="80" w:type="dxa"/>
            <w:vAlign w:val="bottom"/>
          </w:tcPr>
          <w:p>
            <w:pPr>
              <w:spacing w:after="0"/>
              <w:rPr>
                <w:sz w:val="12"/>
                <w:szCs w:val="12"/>
                <w:color w:val="auto"/>
              </w:rPr>
            </w:pPr>
          </w:p>
        </w:tc>
        <w:tc>
          <w:tcPr>
            <w:tcW w:w="9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January 18,</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Six Months</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2022 (date of</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9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(5,750)</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125,415</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Net increase in cash</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111,235</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Cash used in operating activities for the six months ended June 30, 2023 was $8.4 million, which consisted of a net loss before redeemable noncontrolling interest of $43.8 million, partially offset by $36.1 million in non-cash charges and a net change of $0.7 million in our net operating assets and liabilities. The non-cash charges consisted of expense incurred in connection with the 2023 Lilly License of $27.4 million, a change in fair value of our promissory note of $2.2 million, a change in fair value of our research and development license consideration liability of $1.9 million, share-based payment expense of $2.2 million related to the anti-dilution</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issued to Pfizer, additional share-based payments of $2.5 million and a change in fair value on the private placement warrants of $0.3 million partially offset by foreign exchange transaction losses of $0.4 million.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used in operating activities for the period ended June 30, 2022 was $0.6 million, which consisted of a net loss of $8.8 million, partially offset by non-cash charges of $7.8 million and a net change of $0.3 million in our net operating assets and liaiblities. The non-cash charges consisted of the $7.5 million cost of the acquisition of the license under the Pfizer Agreement, which was expensed to research and development, and share-based payments of $0.3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for the six months ended June 30, 2023 was $5.8 million, which was entirely related to the cash consideration paid to acquire the 2023 Lilly License.</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for the period ended June 30, 2022 was $5.0 million, which was entirely related to the cash consideration paid to acquire the license from Pfizer under the Pfizer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provided by financing activities for the six months ended June 30, 2023 was $125.4 million, which consisted of $56.7 million of proceeds from the issuance of shares upon the closing of the Business Combination, and $63.9 million of proceeds from the issuance of Class A Ordinary Shares in connection with the April 2023 Private Placement, $16.1 million of proceeds from the issuance of Pre-Funded Warrants in connection with the April 2023 Private Placement, partially offset by a $10.0 million repayment of our promissory note and $1.2 million of payments of deferred transaction costs.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provided by financing activities for the period ended June 30, 2022 was $10.0 million, and was due to the issuance of Series A-1 convertible preferred shares of Legacy Zura in March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June 30, 2023, we did not have any commitments or contractual obligations. We have or will enter into agreements in the normal course of business with contract research organizations, contract manufacturing organizations and other vendors for research and development services for operating purposes, which are generally cancelable upon written notice. In addition, some third party CMOs have intellectual property, such as patents and/or know-how with an annual fee and royalty bearing license to its customers that forms part of the manufacturing agreement; we do not yet have any such licenses but may enter to them in the future. These payments are therefore not included in our contractual obligations herein.</w:t>
      </w:r>
    </w:p>
    <w:p>
      <w:pPr>
        <w:spacing w:after="0" w:line="17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have not included milestone or royalty payments or other contractual payment obligations as the timing and amount of such obligations are unknown or uncertain and are contingent upon the initiation and successful completion of future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unaudited condensed consolidated financial statements, which have been prepared in accordance with U.S. Generally Accepted Accounting Principles.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financial statements.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Upon closing of the Business Combination, remained an emerging growth company and may elect to extend the transition period for complying with new or revised accounting standards, which delays the adoption of these accounting standards until they would apply to private companies.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70" w:lineRule="exact"/>
        <w:rPr>
          <w:sz w:val="20"/>
          <w:szCs w:val="20"/>
          <w:color w:val="auto"/>
        </w:rPr>
      </w:pPr>
    </w:p>
    <w:p>
      <w:pPr>
        <w:jc w:val="both"/>
        <w:ind w:left="680" w:right="20" w:hanging="321"/>
        <w:spacing w:after="0" w:line="263" w:lineRule="auto"/>
        <w:tabs>
          <w:tab w:leader="none" w:pos="680" w:val="left"/>
        </w:tabs>
        <w:numPr>
          <w:ilvl w:val="0"/>
          <w:numId w:val="29"/>
        </w:numPr>
        <w:rPr>
          <w:rFonts w:ascii="Arial" w:cs="Arial" w:eastAsia="Arial" w:hAnsi="Arial"/>
          <w:sz w:val="18"/>
          <w:szCs w:val="18"/>
          <w:color w:val="212529"/>
        </w:rPr>
      </w:pPr>
      <w:r>
        <w:rPr>
          <w:rFonts w:ascii="Arial" w:cs="Arial" w:eastAsia="Arial" w:hAnsi="Arial"/>
          <w:sz w:val="18"/>
          <w:szCs w:val="18"/>
          <w:color w:val="212529"/>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183" w:lineRule="exact"/>
        <w:rPr>
          <w:rFonts w:ascii="Arial" w:cs="Arial" w:eastAsia="Arial" w:hAnsi="Arial"/>
          <w:sz w:val="18"/>
          <w:szCs w:val="18"/>
          <w:color w:val="212529"/>
        </w:rPr>
      </w:pPr>
    </w:p>
    <w:p>
      <w:pPr>
        <w:ind w:left="680" w:hanging="321"/>
        <w:spacing w:after="0" w:line="277" w:lineRule="auto"/>
        <w:tabs>
          <w:tab w:leader="none" w:pos="680" w:val="left"/>
        </w:tabs>
        <w:numPr>
          <w:ilvl w:val="0"/>
          <w:numId w:val="29"/>
        </w:numPr>
        <w:rPr>
          <w:rFonts w:ascii="Arial" w:cs="Arial" w:eastAsia="Arial" w:hAnsi="Arial"/>
          <w:sz w:val="18"/>
          <w:szCs w:val="18"/>
          <w:color w:val="212529"/>
        </w:rPr>
      </w:pPr>
      <w:r>
        <w:rPr>
          <w:rFonts w:ascii="Arial" w:cs="Arial" w:eastAsia="Arial" w:hAnsi="Arial"/>
          <w:sz w:val="18"/>
          <w:szCs w:val="18"/>
          <w:color w:val="212529"/>
        </w:rPr>
        <w:t>an exception from compliance with the auditor attestation requirements of Section 404 of the Sarbanes-Oxley Act of 2002, as amended;</w:t>
      </w:r>
    </w:p>
    <w:p>
      <w:pPr>
        <w:spacing w:after="0" w:line="170" w:lineRule="exact"/>
        <w:rPr>
          <w:rFonts w:ascii="Arial" w:cs="Arial" w:eastAsia="Arial" w:hAnsi="Arial"/>
          <w:sz w:val="18"/>
          <w:szCs w:val="18"/>
          <w:color w:val="212529"/>
        </w:rPr>
      </w:pPr>
    </w:p>
    <w:p>
      <w:pPr>
        <w:ind w:left="680" w:hanging="321"/>
        <w:spacing w:after="0" w:line="277" w:lineRule="auto"/>
        <w:tabs>
          <w:tab w:leader="none" w:pos="680" w:val="left"/>
        </w:tabs>
        <w:numPr>
          <w:ilvl w:val="0"/>
          <w:numId w:val="29"/>
        </w:numPr>
        <w:rPr>
          <w:rFonts w:ascii="Arial" w:cs="Arial" w:eastAsia="Arial" w:hAnsi="Arial"/>
          <w:sz w:val="18"/>
          <w:szCs w:val="18"/>
          <w:color w:val="212529"/>
        </w:rPr>
      </w:pPr>
      <w:r>
        <w:rPr>
          <w:rFonts w:ascii="Arial" w:cs="Arial" w:eastAsia="Arial" w:hAnsi="Arial"/>
          <w:sz w:val="18"/>
          <w:szCs w:val="18"/>
          <w:color w:val="212529"/>
        </w:rPr>
        <w:t>reduced disclosure about our executive compensation arrangements in our periodic reports, proxy statements and registrations statements;</w:t>
      </w:r>
    </w:p>
    <w:p>
      <w:pPr>
        <w:spacing w:after="0" w:line="170" w:lineRule="exact"/>
        <w:rPr>
          <w:rFonts w:ascii="Arial" w:cs="Arial" w:eastAsia="Arial" w:hAnsi="Arial"/>
          <w:sz w:val="18"/>
          <w:szCs w:val="18"/>
          <w:color w:val="212529"/>
        </w:rPr>
      </w:pPr>
    </w:p>
    <w:p>
      <w:pPr>
        <w:jc w:val="both"/>
        <w:ind w:left="680" w:hanging="321"/>
        <w:spacing w:after="0" w:line="286" w:lineRule="auto"/>
        <w:tabs>
          <w:tab w:leader="none" w:pos="680" w:val="left"/>
        </w:tabs>
        <w:numPr>
          <w:ilvl w:val="0"/>
          <w:numId w:val="29"/>
        </w:numPr>
        <w:rPr>
          <w:rFonts w:ascii="Arial" w:cs="Arial" w:eastAsia="Arial" w:hAnsi="Arial"/>
          <w:sz w:val="17"/>
          <w:szCs w:val="17"/>
          <w:color w:val="212529"/>
        </w:rPr>
      </w:pPr>
      <w:r>
        <w:rPr>
          <w:rFonts w:ascii="Arial" w:cs="Arial" w:eastAsia="Arial" w:hAnsi="Arial"/>
          <w:sz w:val="17"/>
          <w:szCs w:val="17"/>
          <w:color w:val="212529"/>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would cease to qualify as an emerging growth company on the date that is the earliest of: (i) December 31, 2026, (ii) the last day of the fiscal year in which we have more than $1.07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Accordingly, the information contained herein may be different than you might obtain from other public companies in which you hold equity interests.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also a “smaller reporting company” as defined under the Securities Act and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“smaller reporting company”, we are not required to provide the information otherwise required by this Item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Executive Officer, Chief Financial Officer, as appropriate, to allow timely decisions regarding required disclosure. As of June 30, 2023, our Chief Executive Officer and Chief Financial Officer carried out an evaluation with the participation of management of the effectiveness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June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Securities Exchange Act of 1934 that occurred during the quarter ended June 30, 2023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smaller reporting company, we are not required to make disclosures under this Item in our Quarterly Report on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securities issued in connection with the PIPE Subscription Agreements and Forward Purchase Agreement have not been registered under the Securities Act, in reliance on the exemption from registration provided by Section 4(a)(2) of the Securities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89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176"/>
        </w:trPr>
        <w:tc>
          <w:tcPr>
            <w:tcW w:w="20" w:type="dxa"/>
            <w:vAlign w:val="bottom"/>
          </w:tcPr>
          <w:p>
            <w:pPr>
              <w:spacing w:after="0"/>
              <w:rPr>
                <w:sz w:val="15"/>
                <w:szCs w:val="15"/>
                <w:color w:val="auto"/>
              </w:rPr>
            </w:pPr>
          </w:p>
        </w:tc>
        <w:tc>
          <w:tcPr>
            <w:tcW w:w="7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5"/>
                <w:szCs w:val="15"/>
                <w:color w:val="auto"/>
              </w:rPr>
            </w:pPr>
          </w:p>
        </w:tc>
        <w:tc>
          <w:tcPr>
            <w:tcW w:w="8920" w:type="dxa"/>
            <w:vAlign w:val="bottom"/>
            <w:tcBorders>
              <w:top w:val="single" w:sz="8" w:color="auto"/>
            </w:tcBorders>
            <w:gridSpan w:val="7"/>
          </w:tcPr>
          <w:p>
            <w:pPr>
              <w:spacing w:after="0" w:line="17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Zura Bio Limited 2023 Equity Incentive Plan, as amended. (incorporated by reference to Exhibit 10.1 to the Current Report</w:t>
              </w:r>
            </w:hyperlink>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on Form 8-K filed with the Securities &amp; Exchange Commission on June 1, 2023)</w:t>
              </w:r>
            </w:hyperlink>
          </w:p>
        </w:tc>
        <w:tc>
          <w:tcPr>
            <w:tcW w:w="30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6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8920" w:type="dxa"/>
            <w:vAlign w:val="bottom"/>
            <w:gridSpan w:val="7"/>
          </w:tcPr>
          <w:p>
            <w:pPr>
              <w:spacing w:after="0"/>
              <w:rPr>
                <w:sz w:val="20"/>
                <w:szCs w:val="20"/>
                <w:color w:val="auto"/>
              </w:rPr>
            </w:pPr>
            <w:r>
              <w:rPr>
                <w:rFonts w:ascii="Arial" w:cs="Arial" w:eastAsia="Arial" w:hAnsi="Arial"/>
                <w:sz w:val="18"/>
                <w:szCs w:val="18"/>
                <w:color w:val="0000EE"/>
                <w:w w:val="92"/>
              </w:rPr>
              <w:t>Certification of Principal Executive Officer Pursuant to Rules 13a-14(a) and 15d-14(a) under the Securities Exchange Act</w:t>
            </w: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0"/>
              </w:rPr>
              <w:t>of 1934, as Adopted Pursuant to Section 302 of the Sarbanes-Oxley Act of 2002.</w:t>
            </w:r>
          </w:p>
        </w:tc>
        <w:tc>
          <w:tcPr>
            <w:tcW w:w="3040" w:type="dxa"/>
            <w:vAlign w:val="bottom"/>
            <w:tcBorders>
              <w:top w:val="single" w:sz="8" w:color="0000EE"/>
            </w:tcBorders>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6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8920" w:type="dxa"/>
            <w:vAlign w:val="bottom"/>
            <w:gridSpan w:val="7"/>
          </w:tcPr>
          <w:p>
            <w:pPr>
              <w:spacing w:after="0"/>
              <w:rPr>
                <w:sz w:val="20"/>
                <w:szCs w:val="20"/>
                <w:color w:val="auto"/>
              </w:rPr>
            </w:pPr>
            <w:r>
              <w:rPr>
                <w:rFonts w:ascii="Arial" w:cs="Arial" w:eastAsia="Arial" w:hAnsi="Arial"/>
                <w:sz w:val="18"/>
                <w:szCs w:val="18"/>
                <w:color w:val="0000EE"/>
                <w:w w:val="93"/>
              </w:rPr>
              <w:t>Certification of Principal Financial Officer Pursuant to Rules 13a-14(a) and 15d-14(a) under the Securities Exchange Act</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0"/>
              </w:rPr>
              <w:t>of 1934, as Adopted Pursuant to Section 302 of the Sarbanes-Oxley Act of 2002.</w:t>
            </w:r>
          </w:p>
        </w:tc>
        <w:tc>
          <w:tcPr>
            <w:tcW w:w="3060" w:type="dxa"/>
            <w:vAlign w:val="bottom"/>
            <w:tcBorders>
              <w:top w:val="single" w:sz="8" w:color="0000EE"/>
            </w:tcBorders>
            <w:gridSpan w:val="3"/>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89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Principal Executive Officer Pursuant to 18 U.S.C. Section 1350, as Adopted Pursuant to Section 906 of the</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Sarbanes-Oxley Act of 2002.</w:t>
            </w:r>
          </w:p>
        </w:tc>
        <w:tc>
          <w:tcPr>
            <w:tcW w:w="6800" w:type="dxa"/>
            <w:vAlign w:val="bottom"/>
            <w:gridSpan w:val="5"/>
          </w:tcPr>
          <w:p>
            <w:pPr>
              <w:spacing w:after="0"/>
              <w:rPr>
                <w:sz w:val="18"/>
                <w:szCs w:val="18"/>
                <w:color w:val="auto"/>
              </w:rPr>
            </w:pPr>
          </w:p>
        </w:tc>
      </w:tr>
      <w:tr>
        <w:trPr>
          <w:trHeight w:val="210"/>
        </w:trPr>
        <w:tc>
          <w:tcPr>
            <w:tcW w:w="760" w:type="dxa"/>
            <w:vAlign w:val="bottom"/>
            <w:gridSpan w:val="2"/>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89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Certification of Principal Financial Officer Pursuant to 18 U.S.C. Section 1350, as Adopted Pursuant to Section 906 of the</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20" w:type="dxa"/>
            <w:vAlign w:val="bottom"/>
            <w:gridSpan w:val="7"/>
          </w:tcPr>
          <w:p>
            <w:pPr>
              <w:spacing w:after="0"/>
              <w:rPr>
                <w:sz w:val="20"/>
                <w:szCs w:val="20"/>
                <w:color w:val="auto"/>
              </w:rPr>
            </w:pPr>
            <w:r>
              <w:rPr>
                <w:rFonts w:ascii="Arial" w:cs="Arial" w:eastAsia="Arial" w:hAnsi="Arial"/>
                <w:sz w:val="18"/>
                <w:szCs w:val="18"/>
                <w:color w:val="0000EE"/>
              </w:rPr>
              <w:t>Sarbanes-Oxley Act of 2002.</w:t>
            </w:r>
          </w:p>
        </w:tc>
      </w:tr>
      <w:tr>
        <w:trPr>
          <w:trHeight w:val="249"/>
        </w:trPr>
        <w:tc>
          <w:tcPr>
            <w:tcW w:w="10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10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7"/>
              </w:rPr>
              <w:t>XBRL Instance Document*</w:t>
            </w:r>
          </w:p>
        </w:tc>
        <w:tc>
          <w:tcPr>
            <w:tcW w:w="6820" w:type="dxa"/>
            <w:vAlign w:val="bottom"/>
            <w:gridSpan w:val="6"/>
          </w:tcPr>
          <w:p>
            <w:pPr>
              <w:spacing w:after="0"/>
              <w:rPr>
                <w:sz w:val="21"/>
                <w:szCs w:val="21"/>
                <w:color w:val="auto"/>
              </w:rPr>
            </w:pPr>
          </w:p>
        </w:tc>
      </w:tr>
      <w:tr>
        <w:trPr>
          <w:trHeight w:val="229"/>
        </w:trPr>
        <w:tc>
          <w:tcPr>
            <w:tcW w:w="10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9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0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9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10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9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0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9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9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15684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6700" w:type="dxa"/>
            <w:vAlign w:val="bottom"/>
            <w:gridSpan w:val="2"/>
          </w:tcPr>
          <w:p>
            <w:pPr>
              <w:ind w:left="1560"/>
              <w:spacing w:after="0"/>
              <w:rPr>
                <w:sz w:val="20"/>
                <w:szCs w:val="20"/>
                <w:color w:val="auto"/>
              </w:rPr>
            </w:pPr>
            <w:r>
              <w:rPr>
                <w:rFonts w:ascii="Arial" w:cs="Arial" w:eastAsia="Arial" w:hAnsi="Arial"/>
                <w:sz w:val="18"/>
                <w:szCs w:val="18"/>
                <w:b w:val="1"/>
                <w:bCs w:val="1"/>
                <w:color w:val="auto"/>
              </w:rPr>
              <w:t>ZURA BIO LIMITED</w:t>
            </w: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Date: August 14, 2023</w:t>
            </w:r>
          </w:p>
        </w:tc>
        <w:tc>
          <w:tcPr>
            <w:tcW w:w="2320" w:type="dxa"/>
            <w:vAlign w:val="bottom"/>
          </w:tcPr>
          <w:p>
            <w:pPr>
              <w:ind w:left="156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Someit Sidhu, MD</w:t>
            </w:r>
          </w:p>
        </w:tc>
      </w:tr>
      <w:tr>
        <w:trPr>
          <w:trHeight w:val="215"/>
        </w:trPr>
        <w:tc>
          <w:tcPr>
            <w:tcW w:w="3200" w:type="dxa"/>
            <w:vAlign w:val="bottom"/>
          </w:tcPr>
          <w:p>
            <w:pPr>
              <w:spacing w:after="0"/>
              <w:rPr>
                <w:sz w:val="18"/>
                <w:szCs w:val="18"/>
                <w:color w:val="auto"/>
              </w:rPr>
            </w:pPr>
          </w:p>
        </w:tc>
        <w:tc>
          <w:tcPr>
            <w:tcW w:w="2320" w:type="dxa"/>
            <w:vAlign w:val="bottom"/>
          </w:tcPr>
          <w:p>
            <w:pPr>
              <w:ind w:left="156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Someit Sidhu, MD</w:t>
            </w:r>
          </w:p>
        </w:tc>
      </w:tr>
      <w:tr>
        <w:trPr>
          <w:trHeight w:val="229"/>
        </w:trPr>
        <w:tc>
          <w:tcPr>
            <w:tcW w:w="3200" w:type="dxa"/>
            <w:vAlign w:val="bottom"/>
          </w:tcPr>
          <w:p>
            <w:pPr>
              <w:spacing w:after="0"/>
              <w:rPr>
                <w:sz w:val="19"/>
                <w:szCs w:val="19"/>
                <w:color w:val="auto"/>
              </w:rPr>
            </w:pPr>
          </w:p>
        </w:tc>
        <w:tc>
          <w:tcPr>
            <w:tcW w:w="2320" w:type="dxa"/>
            <w:vAlign w:val="bottom"/>
          </w:tcPr>
          <w:p>
            <w:pPr>
              <w:ind w:left="156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66"/>
        </w:trPr>
        <w:tc>
          <w:tcPr>
            <w:tcW w:w="3200" w:type="dxa"/>
            <w:vAlign w:val="bottom"/>
          </w:tcPr>
          <w:p>
            <w:pPr>
              <w:spacing w:after="0"/>
              <w:rPr>
                <w:sz w:val="20"/>
                <w:szCs w:val="20"/>
                <w:color w:val="auto"/>
              </w:rPr>
            </w:pPr>
            <w:r>
              <w:rPr>
                <w:rFonts w:ascii="Arial" w:cs="Arial" w:eastAsia="Arial" w:hAnsi="Arial"/>
                <w:sz w:val="18"/>
                <w:szCs w:val="18"/>
                <w:color w:val="auto"/>
              </w:rPr>
              <w:t>Date: August 14, 2023</w:t>
            </w:r>
          </w:p>
        </w:tc>
        <w:tc>
          <w:tcPr>
            <w:tcW w:w="2320" w:type="dxa"/>
            <w:vAlign w:val="bottom"/>
          </w:tcPr>
          <w:p>
            <w:pPr>
              <w:ind w:left="156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Verender S. Badial</w:t>
            </w:r>
          </w:p>
        </w:tc>
      </w:tr>
      <w:tr>
        <w:trPr>
          <w:trHeight w:val="215"/>
        </w:trPr>
        <w:tc>
          <w:tcPr>
            <w:tcW w:w="3200" w:type="dxa"/>
            <w:vAlign w:val="bottom"/>
          </w:tcPr>
          <w:p>
            <w:pPr>
              <w:spacing w:after="0"/>
              <w:rPr>
                <w:sz w:val="18"/>
                <w:szCs w:val="18"/>
                <w:color w:val="auto"/>
              </w:rPr>
            </w:pPr>
          </w:p>
        </w:tc>
        <w:tc>
          <w:tcPr>
            <w:tcW w:w="2320" w:type="dxa"/>
            <w:vAlign w:val="bottom"/>
          </w:tcPr>
          <w:p>
            <w:pPr>
              <w:ind w:left="156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Verender S. Badial</w:t>
            </w:r>
          </w:p>
        </w:tc>
      </w:tr>
      <w:tr>
        <w:trPr>
          <w:trHeight w:val="229"/>
        </w:trPr>
        <w:tc>
          <w:tcPr>
            <w:tcW w:w="3200" w:type="dxa"/>
            <w:vAlign w:val="bottom"/>
          </w:tcPr>
          <w:p>
            <w:pPr>
              <w:spacing w:after="0"/>
              <w:rPr>
                <w:sz w:val="19"/>
                <w:szCs w:val="19"/>
                <w:color w:val="auto"/>
              </w:rPr>
            </w:pPr>
          </w:p>
        </w:tc>
        <w:tc>
          <w:tcPr>
            <w:tcW w:w="2320" w:type="dxa"/>
            <w:vAlign w:val="bottom"/>
          </w:tcPr>
          <w:p>
            <w:pPr>
              <w:ind w:left="156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Someit Sidhu, certify that:</w:t>
      </w:r>
    </w:p>
    <w:p>
      <w:pPr>
        <w:spacing w:after="0" w:line="185"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Zura Bio Limited;</w:t>
      </w:r>
    </w:p>
    <w:p>
      <w:pPr>
        <w:spacing w:after="0" w:line="225" w:lineRule="exact"/>
        <w:rPr>
          <w:rFonts w:ascii="Arial" w:cs="Arial" w:eastAsia="Arial" w:hAnsi="Arial"/>
          <w:sz w:val="18"/>
          <w:szCs w:val="18"/>
          <w:color w:val="auto"/>
        </w:rPr>
      </w:pPr>
    </w:p>
    <w:p>
      <w:pPr>
        <w:ind w:left="380" w:right="120" w:hanging="372"/>
        <w:spacing w:after="0" w:line="263"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80" w:right="20" w:hanging="372"/>
        <w:spacing w:after="0" w:line="263"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380" w:right="100" w:hanging="372"/>
        <w:spacing w:after="0" w:line="263"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660" w:right="16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184" w:lineRule="exact"/>
        <w:rPr>
          <w:rFonts w:ascii="Arial" w:cs="Arial" w:eastAsia="Arial" w:hAnsi="Arial"/>
          <w:sz w:val="18"/>
          <w:szCs w:val="18"/>
          <w:color w:val="auto"/>
        </w:rPr>
      </w:pPr>
    </w:p>
    <w:p>
      <w:pPr>
        <w:ind w:left="660" w:right="28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660" w:right="300" w:hanging="328"/>
        <w:spacing w:after="0" w:line="311"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380" w:right="120" w:hanging="372"/>
        <w:spacing w:after="0" w:line="263"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Someit Sidhu</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Verender Badial, certify that:</w:t>
      </w:r>
    </w:p>
    <w:p>
      <w:pPr>
        <w:spacing w:after="0" w:line="18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Zura Bio Limited;</w:t>
      </w:r>
    </w:p>
    <w:p>
      <w:pPr>
        <w:spacing w:after="0" w:line="184" w:lineRule="exact"/>
        <w:rPr>
          <w:rFonts w:ascii="Arial" w:cs="Arial" w:eastAsia="Arial" w:hAnsi="Arial"/>
          <w:sz w:val="18"/>
          <w:szCs w:val="18"/>
          <w:color w:val="auto"/>
        </w:rPr>
      </w:pPr>
    </w:p>
    <w:p>
      <w:pPr>
        <w:ind w:left="320" w:right="20" w:hanging="312"/>
        <w:spacing w:after="0" w:line="263"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20" w:right="80" w:hanging="312"/>
        <w:spacing w:after="0" w:line="263"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20" w:right="160" w:hanging="312"/>
        <w:spacing w:after="0" w:line="263"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660" w:right="16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184" w:lineRule="exact"/>
        <w:rPr>
          <w:rFonts w:ascii="Arial" w:cs="Arial" w:eastAsia="Arial" w:hAnsi="Arial"/>
          <w:sz w:val="18"/>
          <w:szCs w:val="18"/>
          <w:color w:val="auto"/>
        </w:rPr>
      </w:pPr>
    </w:p>
    <w:p>
      <w:pPr>
        <w:ind w:left="660" w:right="28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660" w:right="300" w:hanging="328"/>
        <w:spacing w:after="0" w:line="311"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320" w:right="40" w:hanging="312"/>
        <w:spacing w:after="0" w:line="263"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Verender Badial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connection with the Quarterly Report of Zura Bio Limited (the “Company”) on Form 10-Q for the quarterly period ended June 30, 2023, as filed with the Securities and Exchange Commission (the “Report”), I, Someit Sidhu, Chief Executive Officer of the Company, certify, pursuant to 18 U.S.C. §1350, as adopted pursuant to §906 of the Sarbanes-Oxley Act of 2002, that, to the best of my knowledge:</w:t>
      </w:r>
    </w:p>
    <w:p>
      <w:pPr>
        <w:spacing w:after="0" w:line="108"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980" w:right="54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Someit Sidhu</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Quarterly Report of Zura Bio Limited (the “Company”) on Form 10-Q for the quarterly period ended June 30, 2023, as filed with the Securities and Exchange Commission (the “Report”), I, Verender Badial, Chief Financial Officer of the Company, certify, pursuant to 18 U.S.C. §1350, as adopted pursuant to §906 of the Sarbanes-Oxley Act of 2002, that, to the best of my knowledge:</w:t>
      </w:r>
    </w:p>
    <w:p>
      <w:pPr>
        <w:spacing w:after="0" w:line="108"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980" w:right="54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Verender Badial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4"/>
    </w:lvl>
  </w:abstractNum>
  <w:abstractNum w:abstractNumId="9">
    <w:nsid w:val="333AB105"/>
    <w:multiLevelType w:val="hybridMultilevel"/>
    <w:lvl w:ilvl="0">
      <w:lvlJc w:val="left"/>
      <w:lvlText w:val="%1."/>
      <w:numFmt w:val="decimal"/>
      <w:start w:val="5"/>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decimal"/>
      <w:start w:val="7"/>
    </w:lvl>
  </w:abstractNum>
  <w:abstractNum w:abstractNumId="13">
    <w:nsid w:val="6763845E"/>
    <w:multiLevelType w:val="hybridMultilevel"/>
    <w:lvl w:ilvl="0">
      <w:lvlJc w:val="left"/>
      <w:lvlText w:val="%1."/>
      <w:numFmt w:val="decimal"/>
      <w:start w:val="7"/>
    </w:lvl>
  </w:abstractNum>
  <w:abstractNum w:abstractNumId="14">
    <w:nsid w:val="75A2A8D4"/>
    <w:multiLevelType w:val="hybridMultilevel"/>
    <w:lvl w:ilvl="0">
      <w:lvlJc w:val="left"/>
      <w:lvlText w:val="%1."/>
      <w:numFmt w:val="decimal"/>
      <w:start w:val="8"/>
    </w:lvl>
  </w:abstractNum>
  <w:abstractNum w:abstractNumId="15">
    <w:nsid w:val="8EDBDAB"/>
    <w:multiLevelType w:val="hybridMultilevel"/>
    <w:lvl w:ilvl="0">
      <w:lvlJc w:val="left"/>
      <w:lvlText w:val="%1."/>
      <w:numFmt w:val="decimal"/>
      <w:start w:val="9"/>
    </w:lvl>
  </w:abstractNum>
  <w:abstractNum w:abstractNumId="16">
    <w:nsid w:val="79838CB2"/>
    <w:multiLevelType w:val="hybridMultilevel"/>
    <w:lvl w:ilvl="0">
      <w:lvlJc w:val="left"/>
      <w:lvlText w:val="%1."/>
      <w:numFmt w:val="decimal"/>
      <w:start w:val="10"/>
    </w:lvl>
  </w:abstractNum>
  <w:abstractNum w:abstractNumId="17">
    <w:nsid w:val="4353D0CD"/>
    <w:multiLevelType w:val="hybridMultilevel"/>
    <w:lvl w:ilvl="0">
      <w:lvlJc w:val="left"/>
      <w:lvlText w:val="%1."/>
      <w:numFmt w:val="decimal"/>
      <w:start w:val="11"/>
    </w:lvl>
  </w:abstractNum>
  <w:abstractNum w:abstractNumId="18">
    <w:nsid w:val="B03E0C6"/>
    <w:multiLevelType w:val="hybridMultilevel"/>
    <w:lvl w:ilvl="0">
      <w:lvlJc w:val="left"/>
      <w:lvlText w:val="%1."/>
      <w:numFmt w:val="decimal"/>
      <w:start w:val="12"/>
    </w:lvl>
  </w:abstractNum>
  <w:abstractNum w:abstractNumId="19">
    <w:nsid w:val="189A769B"/>
    <w:multiLevelType w:val="hybridMultilevel"/>
    <w:lvl w:ilvl="0">
      <w:lvlJc w:val="left"/>
      <w:lvlText w:val="%1."/>
      <w:numFmt w:val="decimal"/>
      <w:start w:val="13"/>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55" Type="http://schemas.openxmlformats.org/officeDocument/2006/relationships/hyperlink" Target="https://www.sec.gov/Archives/edgar/data/1855644/000110465923067181/tm231757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2023-08-14T06:44:34Z</dcterms:created>
  <dcterms:modified xsi:type="dcterms:W3CDTF">2023-08-14T06:44:34Z</dcterms:modified>
</cp:coreProperties>
</file>