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1580" cy="330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417830</wp:posOffset>
            </wp:positionV>
            <wp:extent cx="6291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15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54610</wp:posOffset>
            </wp:positionV>
            <wp:extent cx="156654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6545" cy="16510"/>
                    </a:xfrm>
                    <a:prstGeom prst="rect">
                      <a:avLst/>
                    </a:prstGeom>
                    <a:noFill/>
                  </pic:spPr>
                </pic:pic>
              </a:graphicData>
            </a:graphic>
          </wp:anchor>
        </w:drawing>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71755</wp:posOffset>
            </wp:positionV>
            <wp:extent cx="15665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6545"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101" w:lineRule="exact"/>
        <w:rPr>
          <w:sz w:val="24"/>
          <w:szCs w:val="24"/>
          <w:color w:val="auto"/>
        </w:rPr>
      </w:pPr>
    </w:p>
    <w:p>
      <w:pPr>
        <w:ind w:left="420" w:hanging="403"/>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2025</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6" w:lineRule="exact"/>
        <w:rPr>
          <w:sz w:val="24"/>
          <w:szCs w:val="24"/>
          <w:color w:val="auto"/>
        </w:rPr>
      </w:pPr>
    </w:p>
    <w:p>
      <w:pPr>
        <w:ind w:left="420" w:hanging="403"/>
        <w:spacing w:after="0"/>
        <w:tabs>
          <w:tab w:leader="none" w:pos="42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w:t>
      </w:r>
    </w:p>
    <w:p>
      <w:pPr>
        <w:spacing w:after="0" w:line="32" w:lineRule="exact"/>
        <w:rPr>
          <w:sz w:val="24"/>
          <w:szCs w:val="24"/>
          <w:color w:val="auto"/>
        </w:rPr>
      </w:pPr>
    </w:p>
    <w:p>
      <w:pPr>
        <w:ind w:left="420"/>
        <w:spacing w:after="0"/>
        <w:tabs>
          <w:tab w:leader="none" w:pos="3140" w:val="left"/>
        </w:tabs>
        <w:rPr>
          <w:sz w:val="20"/>
          <w:szCs w:val="20"/>
          <w:color w:val="auto"/>
        </w:rPr>
      </w:pPr>
      <w:r>
        <w:rPr>
          <w:rFonts w:ascii="Times New Roman" w:cs="Times New Roman" w:eastAsia="Times New Roman" w:hAnsi="Times New Roman"/>
          <w:sz w:val="16"/>
          <w:szCs w:val="16"/>
          <w:b w:val="1"/>
          <w:bCs w:val="1"/>
          <w:color w:val="auto"/>
        </w:rPr>
        <w:t>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001-40598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75565</wp:posOffset>
            </wp:positionV>
            <wp:extent cx="15665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6654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3"/>
          <w:szCs w:val="33"/>
          <w:b w:val="1"/>
          <w:bCs w:val="1"/>
          <w:color w:val="auto"/>
        </w:rPr>
        <w:t>ZURA BIO LIMITED</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54610</wp:posOffset>
            </wp:positionV>
            <wp:extent cx="156654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66545" cy="16510"/>
                    </a:xfrm>
                    <a:prstGeom prst="rect">
                      <a:avLst/>
                    </a:prstGeom>
                    <a:noFill/>
                  </pic:spPr>
                </pic:pic>
              </a:graphicData>
            </a:graphic>
          </wp:anchor>
        </w:drawing>
      </w:r>
    </w:p>
    <w:p>
      <w:pPr>
        <w:spacing w:after="0" w:line="233" w:lineRule="exact"/>
        <w:rPr>
          <w:sz w:val="24"/>
          <w:szCs w:val="24"/>
          <w:color w:val="auto"/>
        </w:rPr>
      </w:pPr>
    </w:p>
    <w:tbl>
      <w:tblPr>
        <w:tblLayout w:type="fixed"/>
        <w:tblInd w:w="1180" w:type="dxa"/>
        <w:tblCellMar>
          <w:top w:w="0" w:type="dxa"/>
          <w:left w:w="0" w:type="dxa"/>
          <w:bottom w:w="0" w:type="dxa"/>
          <w:right w:w="0" w:type="dxa"/>
        </w:tblCellMar>
      </w:tblPr>
      <w:tr>
        <w:trPr>
          <w:trHeight w:val="196"/>
        </w:trPr>
        <w:tc>
          <w:tcPr>
            <w:tcW w:w="4120" w:type="dxa"/>
            <w:vAlign w:val="bottom"/>
          </w:tcPr>
          <w:p>
            <w:pPr>
              <w:jc w:val="center"/>
              <w:ind w:right="1442"/>
              <w:spacing w:after="0"/>
              <w:rPr>
                <w:sz w:val="20"/>
                <w:szCs w:val="20"/>
                <w:color w:val="auto"/>
              </w:rPr>
            </w:pPr>
            <w:r>
              <w:rPr>
                <w:rFonts w:ascii="Times New Roman" w:cs="Times New Roman" w:eastAsia="Times New Roman" w:hAnsi="Times New Roman"/>
                <w:sz w:val="16"/>
                <w:szCs w:val="16"/>
                <w:b w:val="1"/>
                <w:bCs w:val="1"/>
                <w:color w:val="auto"/>
                <w:w w:val="97"/>
              </w:rPr>
              <w:t>Cayman Islands</w:t>
            </w:r>
          </w:p>
        </w:tc>
        <w:tc>
          <w:tcPr>
            <w:tcW w:w="274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98-1725736</w:t>
            </w:r>
          </w:p>
        </w:tc>
      </w:tr>
      <w:tr>
        <w:trPr>
          <w:trHeight w:val="196"/>
        </w:trPr>
        <w:tc>
          <w:tcPr>
            <w:tcW w:w="4120" w:type="dxa"/>
            <w:vAlign w:val="bottom"/>
          </w:tcPr>
          <w:p>
            <w:pPr>
              <w:jc w:val="center"/>
              <w:ind w:right="1442"/>
              <w:spacing w:after="0"/>
              <w:rPr>
                <w:sz w:val="20"/>
                <w:szCs w:val="20"/>
                <w:color w:val="auto"/>
              </w:rPr>
            </w:pPr>
            <w:r>
              <w:rPr>
                <w:rFonts w:ascii="Times New Roman" w:cs="Times New Roman" w:eastAsia="Times New Roman" w:hAnsi="Times New Roman"/>
                <w:sz w:val="16"/>
                <w:szCs w:val="16"/>
                <w:b w:val="1"/>
                <w:bCs w:val="1"/>
                <w:color w:val="auto"/>
                <w:w w:val="97"/>
              </w:rPr>
              <w:t>(State or other jurisdiction of</w:t>
            </w:r>
          </w:p>
        </w:tc>
        <w:tc>
          <w:tcPr>
            <w:tcW w:w="2740" w:type="dxa"/>
            <w:vAlign w:val="bottom"/>
          </w:tcPr>
          <w:p>
            <w:pPr>
              <w:jc w:val="center"/>
              <w:ind w:left="1442"/>
              <w:spacing w:after="0"/>
              <w:rPr>
                <w:sz w:val="20"/>
                <w:szCs w:val="20"/>
                <w:color w:val="auto"/>
              </w:rPr>
            </w:pPr>
            <w:r>
              <w:rPr>
                <w:rFonts w:ascii="Times New Roman" w:cs="Times New Roman" w:eastAsia="Times New Roman" w:hAnsi="Times New Roman"/>
                <w:sz w:val="16"/>
                <w:szCs w:val="16"/>
                <w:b w:val="1"/>
                <w:bCs w:val="1"/>
                <w:color w:val="auto"/>
                <w:w w:val="98"/>
              </w:rPr>
              <w:t>(I.R.S. Employer</w:t>
            </w:r>
          </w:p>
        </w:tc>
      </w:tr>
      <w:tr>
        <w:trPr>
          <w:trHeight w:val="209"/>
        </w:trPr>
        <w:tc>
          <w:tcPr>
            <w:tcW w:w="4120" w:type="dxa"/>
            <w:vAlign w:val="bottom"/>
          </w:tcPr>
          <w:p>
            <w:pPr>
              <w:jc w:val="center"/>
              <w:ind w:right="1442"/>
              <w:spacing w:after="0"/>
              <w:rPr>
                <w:sz w:val="20"/>
                <w:szCs w:val="20"/>
                <w:color w:val="auto"/>
              </w:rPr>
            </w:pPr>
            <w:r>
              <w:rPr>
                <w:rFonts w:ascii="Times New Roman" w:cs="Times New Roman" w:eastAsia="Times New Roman" w:hAnsi="Times New Roman"/>
                <w:sz w:val="16"/>
                <w:szCs w:val="16"/>
                <w:b w:val="1"/>
                <w:bCs w:val="1"/>
                <w:color w:val="auto"/>
                <w:w w:val="97"/>
              </w:rPr>
              <w:t>incorporation or organization)</w:t>
            </w:r>
          </w:p>
        </w:tc>
        <w:tc>
          <w:tcPr>
            <w:tcW w:w="2740" w:type="dxa"/>
            <w:vAlign w:val="bottom"/>
          </w:tcPr>
          <w:p>
            <w:pPr>
              <w:jc w:val="center"/>
              <w:ind w:left="1442"/>
              <w:spacing w:after="0"/>
              <w:rPr>
                <w:sz w:val="20"/>
                <w:szCs w:val="20"/>
                <w:color w:val="auto"/>
              </w:rPr>
            </w:pPr>
            <w:r>
              <w:rPr>
                <w:rFonts w:ascii="Times New Roman" w:cs="Times New Roman" w:eastAsia="Times New Roman" w:hAnsi="Times New Roman"/>
                <w:sz w:val="16"/>
                <w:szCs w:val="16"/>
                <w:b w:val="1"/>
                <w:bCs w:val="1"/>
                <w:color w:val="auto"/>
                <w:w w:val="97"/>
              </w:rPr>
              <w:t>Identification No.)</w:t>
            </w:r>
          </w:p>
        </w:tc>
      </w:tr>
      <w:tr>
        <w:trPr>
          <w:trHeight w:val="206"/>
        </w:trPr>
        <w:tc>
          <w:tcPr>
            <w:tcW w:w="4120" w:type="dxa"/>
            <w:vAlign w:val="bottom"/>
          </w:tcPr>
          <w:p>
            <w:pPr>
              <w:jc w:val="center"/>
              <w:ind w:right="1442"/>
              <w:spacing w:after="0"/>
              <w:rPr>
                <w:sz w:val="20"/>
                <w:szCs w:val="20"/>
                <w:color w:val="auto"/>
              </w:rPr>
            </w:pPr>
            <w:r>
              <w:rPr>
                <w:rFonts w:ascii="Times New Roman" w:cs="Times New Roman" w:eastAsia="Times New Roman" w:hAnsi="Times New Roman"/>
                <w:sz w:val="16"/>
                <w:szCs w:val="16"/>
                <w:b w:val="1"/>
                <w:bCs w:val="1"/>
                <w:color w:val="auto"/>
                <w:w w:val="95"/>
              </w:rPr>
              <w:t>1489 W. Warm Springs Rd. #110</w:t>
            </w:r>
          </w:p>
        </w:tc>
        <w:tc>
          <w:tcPr>
            <w:tcW w:w="2740" w:type="dxa"/>
            <w:vAlign w:val="bottom"/>
          </w:tcPr>
          <w:p>
            <w:pPr>
              <w:spacing w:after="0"/>
              <w:rPr>
                <w:sz w:val="17"/>
                <w:szCs w:val="17"/>
                <w:color w:val="auto"/>
              </w:rPr>
            </w:pPr>
          </w:p>
        </w:tc>
      </w:tr>
      <w:tr>
        <w:trPr>
          <w:trHeight w:val="212"/>
        </w:trPr>
        <w:tc>
          <w:tcPr>
            <w:tcW w:w="4120" w:type="dxa"/>
            <w:vAlign w:val="bottom"/>
          </w:tcPr>
          <w:p>
            <w:pPr>
              <w:jc w:val="center"/>
              <w:ind w:right="1442"/>
              <w:spacing w:after="0"/>
              <w:rPr>
                <w:sz w:val="20"/>
                <w:szCs w:val="20"/>
                <w:color w:val="auto"/>
              </w:rPr>
            </w:pPr>
            <w:r>
              <w:rPr>
                <w:rFonts w:ascii="Times New Roman" w:cs="Times New Roman" w:eastAsia="Times New Roman" w:hAnsi="Times New Roman"/>
                <w:sz w:val="16"/>
                <w:szCs w:val="16"/>
                <w:b w:val="1"/>
                <w:bCs w:val="1"/>
                <w:color w:val="auto"/>
                <w:w w:val="98"/>
              </w:rPr>
              <w:t>Henderson, NV</w:t>
            </w:r>
          </w:p>
        </w:tc>
        <w:tc>
          <w:tcPr>
            <w:tcW w:w="2740" w:type="dxa"/>
            <w:vAlign w:val="bottom"/>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89014</w:t>
            </w:r>
          </w:p>
        </w:tc>
      </w:tr>
      <w:tr>
        <w:trPr>
          <w:trHeight w:val="206"/>
        </w:trPr>
        <w:tc>
          <w:tcPr>
            <w:tcW w:w="4120" w:type="dxa"/>
            <w:vAlign w:val="bottom"/>
          </w:tcPr>
          <w:p>
            <w:pPr>
              <w:jc w:val="center"/>
              <w:ind w:right="1442"/>
              <w:spacing w:after="0"/>
              <w:rPr>
                <w:sz w:val="20"/>
                <w:szCs w:val="20"/>
                <w:color w:val="auto"/>
              </w:rPr>
            </w:pPr>
            <w:r>
              <w:rPr>
                <w:rFonts w:ascii="Times New Roman" w:cs="Times New Roman" w:eastAsia="Times New Roman" w:hAnsi="Times New Roman"/>
                <w:sz w:val="16"/>
                <w:szCs w:val="16"/>
                <w:b w:val="1"/>
                <w:bCs w:val="1"/>
                <w:color w:val="auto"/>
                <w:w w:val="98"/>
              </w:rPr>
              <w:t>(Address of principal executive offices)</w:t>
            </w:r>
          </w:p>
        </w:tc>
        <w:tc>
          <w:tcPr>
            <w:tcW w:w="2740" w:type="dxa"/>
            <w:vAlign w:val="bottom"/>
          </w:tcPr>
          <w:p>
            <w:pPr>
              <w:jc w:val="center"/>
              <w:ind w:left="1462"/>
              <w:spacing w:after="0"/>
              <w:rPr>
                <w:sz w:val="20"/>
                <w:szCs w:val="20"/>
                <w:color w:val="auto"/>
              </w:rPr>
            </w:pPr>
            <w:r>
              <w:rPr>
                <w:rFonts w:ascii="Times New Roman" w:cs="Times New Roman" w:eastAsia="Times New Roman" w:hAnsi="Times New Roman"/>
                <w:sz w:val="16"/>
                <w:szCs w:val="16"/>
                <w:b w:val="1"/>
                <w:bCs w:val="1"/>
                <w:color w:val="auto"/>
                <w:w w:val="96"/>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(702) 825-9872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67310</wp:posOffset>
            </wp:positionV>
            <wp:extent cx="15665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66545" cy="8255"/>
                    </a:xfrm>
                    <a:prstGeom prst="rect">
                      <a:avLst/>
                    </a:prstGeom>
                    <a:noFill/>
                  </pic:spPr>
                </pic:pic>
              </a:graphicData>
            </a:graphic>
          </wp:anchor>
        </w:drawing>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gridSpan w:val="2"/>
            <w:vMerge w:val="continue"/>
          </w:tcPr>
          <w:p>
            <w:pPr>
              <w:spacing w:after="0"/>
              <w:rPr>
                <w:sz w:val="14"/>
                <w:szCs w:val="14"/>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Class A Ordinary Shares</w:t>
            </w:r>
          </w:p>
        </w:tc>
        <w:tc>
          <w:tcPr>
            <w:tcW w:w="140" w:type="dxa"/>
            <w:vAlign w:val="bottom"/>
          </w:tcPr>
          <w:p>
            <w:pPr>
              <w:spacing w:after="0"/>
              <w:rPr>
                <w:sz w:val="15"/>
                <w:szCs w:val="15"/>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ZURA</w:t>
            </w:r>
          </w:p>
        </w:tc>
        <w:tc>
          <w:tcPr>
            <w:tcW w:w="140" w:type="dxa"/>
            <w:vAlign w:val="bottom"/>
          </w:tcPr>
          <w:p>
            <w:pPr>
              <w:spacing w:after="0"/>
              <w:rPr>
                <w:sz w:val="15"/>
                <w:szCs w:val="15"/>
                <w:color w:val="auto"/>
              </w:rPr>
            </w:pPr>
          </w:p>
        </w:tc>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(The Nasdaq Capital Market)</w:t>
            </w:r>
          </w:p>
        </w:tc>
        <w:tc>
          <w:tcPr>
            <w:tcW w:w="0" w:type="dxa"/>
            <w:vAlign w:val="bottom"/>
          </w:tcPr>
          <w:p>
            <w:pPr>
              <w:spacing w:after="0"/>
              <w:rPr>
                <w:sz w:val="1"/>
                <w:szCs w:val="1"/>
                <w:color w:val="auto"/>
              </w:rPr>
            </w:pPr>
          </w:p>
        </w:tc>
      </w:tr>
    </w:tbl>
    <w:p>
      <w:pPr>
        <w:spacing w:after="0" w:line="53" w:lineRule="exact"/>
        <w:rPr>
          <w:sz w:val="24"/>
          <w:szCs w:val="24"/>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tabs>
          <w:tab w:leader="none" w:pos="420" w:val="left"/>
          <w:tab w:leader="none" w:pos="980" w:val="left"/>
        </w:tabs>
        <w:rPr>
          <w:sz w:val="20"/>
          <w:szCs w:val="20"/>
          <w:color w:val="auto"/>
        </w:rPr>
      </w:pPr>
      <w:r>
        <w:rPr>
          <w:rFonts w:ascii="Times New Roman" w:cs="Times New Roman" w:eastAsia="Times New Roman" w:hAnsi="Times New Roman"/>
          <w:sz w:val="14"/>
          <w:szCs w:val="14"/>
          <w:color w:val="auto"/>
        </w:rPr>
        <w:t>days.</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6" w:lineRule="exact"/>
        <w:rPr>
          <w:sz w:val="24"/>
          <w:szCs w:val="24"/>
          <w:color w:val="auto"/>
        </w:rPr>
      </w:pPr>
    </w:p>
    <w:p>
      <w:pPr>
        <w:jc w:val="both"/>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5" w:lineRule="exact"/>
        <w:rPr>
          <w:sz w:val="24"/>
          <w:szCs w:val="24"/>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1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4520" w:type="dxa"/>
            <w:vAlign w:val="bottom"/>
          </w:tcPr>
          <w:p>
            <w:pPr>
              <w:ind w:left="268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6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1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4520" w:type="dxa"/>
            <w:vAlign w:val="bottom"/>
          </w:tcPr>
          <w:p>
            <w:pPr>
              <w:ind w:left="26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3"/>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1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45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44" w:lineRule="exact"/>
        <w:rPr>
          <w:sz w:val="24"/>
          <w:szCs w:val="24"/>
          <w:color w:val="auto"/>
        </w:rPr>
      </w:pPr>
    </w:p>
    <w:p>
      <w:pPr>
        <w:jc w:val="both"/>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7" w:lineRule="exact"/>
        <w:rPr>
          <w:sz w:val="24"/>
          <w:szCs w:val="24"/>
          <w:color w:val="auto"/>
        </w:rPr>
      </w:pPr>
    </w:p>
    <w:p>
      <w:pPr>
        <w:ind w:right="2540"/>
        <w:spacing w:after="0" w:line="23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w:t>
      </w:r>
      <w:r>
        <w:rPr>
          <w:rFonts w:ascii="Times New Roman" w:cs="Times New Roman" w:eastAsia="Times New Roman" w:hAnsi="Times New Roman"/>
          <w:sz w:val="14"/>
          <w:szCs w:val="14"/>
          <w:color w:val="212529"/>
        </w:rPr>
        <w:t>August 4</w:t>
      </w:r>
      <w:r>
        <w:rPr>
          <w:rFonts w:ascii="Times New Roman" w:cs="Times New Roman" w:eastAsia="Times New Roman" w:hAnsi="Times New Roman"/>
          <w:sz w:val="14"/>
          <w:szCs w:val="14"/>
          <w:color w:val="auto"/>
        </w:rPr>
        <w:t>, 2025, the registrant had 65,018,058 Class A Ordinary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479425</wp:posOffset>
            </wp:positionV>
            <wp:extent cx="6291580" cy="24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1580" cy="247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73660</wp:posOffset>
            </wp:positionV>
            <wp:extent cx="6291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158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114935</wp:posOffset>
            </wp:positionV>
            <wp:extent cx="6291580"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1580" cy="33020"/>
                    </a:xfrm>
                    <a:prstGeom prst="rect">
                      <a:avLst/>
                    </a:prstGeom>
                    <a:noFill/>
                  </pic:spPr>
                </pic:pic>
              </a:graphicData>
            </a:graphic>
          </wp:anchor>
        </w:drawing>
      </w:r>
    </w:p>
    <w:p>
      <w:pPr>
        <w:sectPr>
          <w:pgSz w:w="11900" w:h="16838" w:orient="portrait"/>
          <w:cols w:equalWidth="0" w:num="1">
            <w:col w:w="9920"/>
          </w:cols>
          <w:pgMar w:left="980" w:top="643"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20" w:type="dxa"/>
            <w:vAlign w:val="bottom"/>
            <w:gridSpan w:val="13"/>
            <w:vMerge w:val="restart"/>
          </w:tcPr>
          <w:p>
            <w:pPr>
              <w:spacing w:after="0"/>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4300" w:type="dxa"/>
            <w:vAlign w:val="bottom"/>
            <w:gridSpan w:val="6"/>
            <w:vMerge w:val="restart"/>
          </w:tcPr>
          <w:p>
            <w:pPr>
              <w:spacing w:after="0"/>
              <w:rPr>
                <w:sz w:val="14"/>
                <w:szCs w:val="14"/>
                <w:color w:val="auto"/>
              </w:rPr>
            </w:pPr>
          </w:p>
        </w:tc>
        <w:tc>
          <w:tcPr>
            <w:tcW w:w="6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1"/>
        </w:trPr>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0000EE"/>
                <w:w w:val="97"/>
              </w:rPr>
              <w:t>PART I</w:t>
            </w:r>
          </w:p>
        </w:tc>
        <w:tc>
          <w:tcPr>
            <w:tcW w:w="360" w:type="dxa"/>
            <w:vAlign w:val="bottom"/>
            <w:gridSpan w:val="5"/>
            <w:vMerge w:val="restart"/>
          </w:tcPr>
          <w:p>
            <w:pPr>
              <w:spacing w:after="0"/>
              <w:rPr>
                <w:sz w:val="15"/>
                <w:szCs w:val="15"/>
                <w:color w:val="auto"/>
              </w:rPr>
            </w:pPr>
          </w:p>
        </w:tc>
        <w:tc>
          <w:tcPr>
            <w:tcW w:w="4020" w:type="dxa"/>
            <w:vAlign w:val="bottom"/>
            <w:tcBorders>
              <w:bottom w:val="single" w:sz="8" w:color="0000EE"/>
            </w:tcBorders>
            <w:gridSpan w:val="13"/>
            <w:vMerge w:val="continue"/>
          </w:tcPr>
          <w:p>
            <w:pPr>
              <w:spacing w:after="0"/>
              <w:rPr>
                <w:sz w:val="15"/>
                <w:szCs w:val="15"/>
                <w:color w:val="auto"/>
              </w:rPr>
            </w:pPr>
          </w:p>
        </w:tc>
        <w:tc>
          <w:tcPr>
            <w:tcW w:w="4300" w:type="dxa"/>
            <w:vAlign w:val="bottom"/>
            <w:gridSpan w:val="6"/>
            <w:vMerge w:val="continue"/>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2"/>
        </w:trPr>
        <w:tc>
          <w:tcPr>
            <w:tcW w:w="580" w:type="dxa"/>
            <w:vAlign w:val="bottom"/>
            <w:gridSpan w:val="2"/>
            <w:vMerge w:val="continue"/>
          </w:tcPr>
          <w:p>
            <w:pPr>
              <w:spacing w:after="0"/>
              <w:rPr>
                <w:sz w:val="17"/>
                <w:szCs w:val="17"/>
                <w:color w:val="auto"/>
              </w:rPr>
            </w:pPr>
          </w:p>
        </w:tc>
        <w:tc>
          <w:tcPr>
            <w:tcW w:w="360" w:type="dxa"/>
            <w:vAlign w:val="bottom"/>
            <w:gridSpan w:val="5"/>
            <w:vMerge w:val="continue"/>
          </w:tcPr>
          <w:p>
            <w:pPr>
              <w:spacing w:after="0"/>
              <w:rPr>
                <w:sz w:val="17"/>
                <w:szCs w:val="17"/>
                <w:color w:val="auto"/>
              </w:rPr>
            </w:pPr>
          </w:p>
        </w:tc>
        <w:tc>
          <w:tcPr>
            <w:tcW w:w="8320" w:type="dxa"/>
            <w:vAlign w:val="bottom"/>
            <w:gridSpan w:val="19"/>
          </w:tcPr>
          <w:p>
            <w:pPr>
              <w:spacing w:after="0"/>
              <w:rPr>
                <w:sz w:val="20"/>
                <w:szCs w:val="20"/>
                <w:color w:val="auto"/>
              </w:rPr>
            </w:pPr>
            <w:r>
              <w:rPr>
                <w:rFonts w:ascii="Times New Roman" w:cs="Times New Roman" w:eastAsia="Times New Roman" w:hAnsi="Times New Roman"/>
                <w:sz w:val="17"/>
                <w:szCs w:val="17"/>
                <w:color w:val="0000EE"/>
              </w:rPr>
              <w:t>FINANCIAL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20" w:type="dxa"/>
            <w:vAlign w:val="bottom"/>
          </w:tcPr>
          <w:p>
            <w:pPr>
              <w:spacing w:after="0"/>
              <w:rPr>
                <w:sz w:val="17"/>
                <w:szCs w:val="17"/>
                <w:color w:val="auto"/>
              </w:rPr>
            </w:pPr>
          </w:p>
        </w:tc>
        <w:tc>
          <w:tcPr>
            <w:tcW w:w="5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9"/>
              </w:rPr>
              <w:t>Item 1.</w:t>
            </w:r>
          </w:p>
        </w:tc>
        <w:tc>
          <w:tcPr>
            <w:tcW w:w="320" w:type="dxa"/>
            <w:vAlign w:val="bottom"/>
            <w:gridSpan w:val="4"/>
          </w:tcPr>
          <w:p>
            <w:pPr>
              <w:spacing w:after="0"/>
              <w:rPr>
                <w:sz w:val="17"/>
                <w:szCs w:val="17"/>
                <w:color w:val="auto"/>
              </w:rPr>
            </w:pPr>
          </w:p>
        </w:tc>
        <w:tc>
          <w:tcPr>
            <w:tcW w:w="14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Financial Statements</w:t>
            </w:r>
          </w:p>
        </w:tc>
        <w:tc>
          <w:tcPr>
            <w:tcW w:w="6860" w:type="dxa"/>
            <w:vAlign w:val="bottom"/>
            <w:gridSpan w:val="14"/>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320" w:type="dxa"/>
            <w:vAlign w:val="bottom"/>
            <w:gridSpan w:val="19"/>
          </w:tcPr>
          <w:p>
            <w:pPr>
              <w:spacing w:after="0"/>
              <w:rPr>
                <w:sz w:val="20"/>
                <w:szCs w:val="20"/>
                <w:color w:val="auto"/>
              </w:rPr>
            </w:pPr>
            <w:r>
              <w:rPr>
                <w:rFonts w:ascii="Times New Roman" w:cs="Times New Roman" w:eastAsia="Times New Roman" w:hAnsi="Times New Roman"/>
                <w:sz w:val="17"/>
                <w:szCs w:val="17"/>
                <w:color w:val="0000EE"/>
              </w:rPr>
              <w:t>Condensed Consolidated Balance Sheets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320" w:type="dxa"/>
            <w:vAlign w:val="bottom"/>
            <w:gridSpan w:val="19"/>
          </w:tcPr>
          <w:p>
            <w:pPr>
              <w:spacing w:after="0"/>
              <w:rPr>
                <w:sz w:val="20"/>
                <w:szCs w:val="20"/>
                <w:color w:val="auto"/>
              </w:rPr>
            </w:pPr>
            <w:r>
              <w:rPr>
                <w:rFonts w:ascii="Times New Roman" w:cs="Times New Roman" w:eastAsia="Times New Roman" w:hAnsi="Times New Roman"/>
                <w:sz w:val="17"/>
                <w:szCs w:val="17"/>
                <w:color w:val="0000EE"/>
              </w:rPr>
              <w:t>Condensed Consolidated Statements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320" w:type="dxa"/>
            <w:vAlign w:val="bottom"/>
            <w:gridSpan w:val="19"/>
          </w:tcPr>
          <w:p>
            <w:pPr>
              <w:spacing w:after="0"/>
              <w:rPr>
                <w:sz w:val="20"/>
                <w:szCs w:val="20"/>
                <w:color w:val="auto"/>
              </w:rPr>
            </w:pPr>
            <w:r>
              <w:rPr>
                <w:rFonts w:ascii="Times New Roman" w:cs="Times New Roman" w:eastAsia="Times New Roman" w:hAnsi="Times New Roman"/>
                <w:sz w:val="17"/>
                <w:szCs w:val="17"/>
                <w:color w:val="0000EE"/>
              </w:rPr>
              <w:t>Condensed Consolidated Statements of Changes in Redeemable Noncontrolling Interest and Shareholders’ Equity</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7"/>
                <w:szCs w:val="17"/>
                <w:color w:val="0000EE"/>
              </w:rPr>
              <w:t>Condensed Consolidated Statements of Cash Flows</w:t>
            </w:r>
          </w:p>
        </w:tc>
        <w:tc>
          <w:tcPr>
            <w:tcW w:w="4340" w:type="dxa"/>
            <w:vAlign w:val="bottom"/>
            <w:tcBorders>
              <w:top w:val="single" w:sz="8" w:color="0000EE"/>
            </w:tcBorders>
            <w:gridSpan w:val="6"/>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7"/>
                <w:szCs w:val="17"/>
                <w:color w:val="0000EE"/>
              </w:rPr>
              <w:t>Notes to Unaudited Condensed Consolidated Financial Statements</w:t>
            </w:r>
          </w:p>
        </w:tc>
        <w:tc>
          <w:tcPr>
            <w:tcW w:w="3680" w:type="dxa"/>
            <w:vAlign w:val="bottom"/>
            <w:gridSpan w:val="3"/>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0000EE"/>
                <w:w w:val="99"/>
              </w:rPr>
              <w:t>Item 2.</w:t>
            </w:r>
          </w:p>
        </w:tc>
        <w:tc>
          <w:tcPr>
            <w:tcW w:w="320" w:type="dxa"/>
            <w:vAlign w:val="bottom"/>
            <w:gridSpan w:val="4"/>
          </w:tcPr>
          <w:p>
            <w:pPr>
              <w:spacing w:after="0"/>
              <w:rPr>
                <w:sz w:val="17"/>
                <w:szCs w:val="17"/>
                <w:color w:val="auto"/>
              </w:rPr>
            </w:pPr>
          </w:p>
        </w:tc>
        <w:tc>
          <w:tcPr>
            <w:tcW w:w="8320" w:type="dxa"/>
            <w:vAlign w:val="bottom"/>
            <w:gridSpan w:val="19"/>
          </w:tcPr>
          <w:p>
            <w:pPr>
              <w:spacing w:after="0"/>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5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9"/>
              </w:rPr>
              <w:t>Item 3.</w:t>
            </w:r>
          </w:p>
        </w:tc>
        <w:tc>
          <w:tcPr>
            <w:tcW w:w="320" w:type="dxa"/>
            <w:vAlign w:val="bottom"/>
            <w:gridSpan w:val="4"/>
          </w:tcPr>
          <w:p>
            <w:pPr>
              <w:spacing w:after="0"/>
              <w:rPr>
                <w:sz w:val="17"/>
                <w:szCs w:val="17"/>
                <w:color w:val="auto"/>
              </w:rPr>
            </w:pPr>
          </w:p>
        </w:tc>
        <w:tc>
          <w:tcPr>
            <w:tcW w:w="422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2020" w:type="dxa"/>
            <w:vAlign w:val="bottom"/>
            <w:tcBorders>
              <w:top w:val="single" w:sz="8" w:color="0000EE"/>
            </w:tcBorders>
            <w:gridSpan w:val="2"/>
          </w:tcPr>
          <w:p>
            <w:pPr>
              <w:spacing w:after="0"/>
              <w:rPr>
                <w:sz w:val="17"/>
                <w:szCs w:val="17"/>
                <w:color w:val="auto"/>
              </w:rPr>
            </w:pPr>
          </w:p>
        </w:tc>
        <w:tc>
          <w:tcPr>
            <w:tcW w:w="2080" w:type="dxa"/>
            <w:vAlign w:val="bottom"/>
            <w:gridSpan w:val="2"/>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5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9"/>
              </w:rPr>
              <w:t>Item 4.</w:t>
            </w:r>
          </w:p>
        </w:tc>
        <w:tc>
          <w:tcPr>
            <w:tcW w:w="320" w:type="dxa"/>
            <w:vAlign w:val="bottom"/>
            <w:gridSpan w:val="4"/>
          </w:tcPr>
          <w:p>
            <w:pPr>
              <w:spacing w:after="0"/>
              <w:rPr>
                <w:sz w:val="17"/>
                <w:szCs w:val="17"/>
                <w:color w:val="auto"/>
              </w:rPr>
            </w:pPr>
          </w:p>
        </w:tc>
        <w:tc>
          <w:tcPr>
            <w:tcW w:w="17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Controls and Procedures</w:t>
            </w:r>
          </w:p>
        </w:tc>
        <w:tc>
          <w:tcPr>
            <w:tcW w:w="6600" w:type="dxa"/>
            <w:vAlign w:val="bottom"/>
            <w:gridSpan w:val="13"/>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332"/>
        </w:trPr>
        <w:tc>
          <w:tcPr>
            <w:tcW w:w="6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0000EE"/>
                <w:w w:val="97"/>
              </w:rPr>
              <w:t>PART II</w:t>
            </w:r>
          </w:p>
        </w:tc>
        <w:tc>
          <w:tcPr>
            <w:tcW w:w="300" w:type="dxa"/>
            <w:vAlign w:val="bottom"/>
            <w:gridSpan w:val="3"/>
          </w:tcPr>
          <w:p>
            <w:pPr>
              <w:spacing w:after="0"/>
              <w:rPr>
                <w:sz w:val="24"/>
                <w:szCs w:val="24"/>
                <w:color w:val="auto"/>
              </w:rPr>
            </w:pPr>
          </w:p>
        </w:tc>
        <w:tc>
          <w:tcPr>
            <w:tcW w:w="8320" w:type="dxa"/>
            <w:vAlign w:val="bottom"/>
            <w:gridSpan w:val="19"/>
          </w:tcPr>
          <w:p>
            <w:pPr>
              <w:spacing w:after="0"/>
              <w:rPr>
                <w:sz w:val="20"/>
                <w:szCs w:val="20"/>
                <w:color w:val="auto"/>
              </w:rPr>
            </w:pPr>
            <w:r>
              <w:rPr>
                <w:rFonts w:ascii="Times New Roman" w:cs="Times New Roman" w:eastAsia="Times New Roman" w:hAnsi="Times New Roman"/>
                <w:sz w:val="17"/>
                <w:szCs w:val="17"/>
                <w:color w:val="0000EE"/>
              </w:rPr>
              <w:t>OTHER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424"/>
        </w:trPr>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9"/>
              </w:rPr>
              <w:t>Item 1.</w:t>
            </w:r>
          </w:p>
        </w:tc>
        <w:tc>
          <w:tcPr>
            <w:tcW w:w="20" w:type="dxa"/>
            <w:vAlign w:val="bottom"/>
            <w:tcBorders>
              <w:top w:val="single" w:sz="8" w:color="0000EE"/>
            </w:tcBorders>
          </w:tcPr>
          <w:p>
            <w:pPr>
              <w:spacing w:after="0"/>
              <w:rPr>
                <w:sz w:val="24"/>
                <w:szCs w:val="24"/>
                <w:color w:val="auto"/>
              </w:rPr>
            </w:pPr>
          </w:p>
        </w:tc>
        <w:tc>
          <w:tcPr>
            <w:tcW w:w="300" w:type="dxa"/>
            <w:vAlign w:val="bottom"/>
            <w:gridSpan w:val="3"/>
          </w:tcPr>
          <w:p>
            <w:pPr>
              <w:spacing w:after="0"/>
              <w:rPr>
                <w:sz w:val="24"/>
                <w:szCs w:val="24"/>
                <w:color w:val="auto"/>
              </w:rPr>
            </w:pPr>
          </w:p>
        </w:tc>
        <w:tc>
          <w:tcPr>
            <w:tcW w:w="13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Legal Proceedings</w:t>
            </w:r>
          </w:p>
        </w:tc>
        <w:tc>
          <w:tcPr>
            <w:tcW w:w="520" w:type="dxa"/>
            <w:vAlign w:val="bottom"/>
            <w:tcBorders>
              <w:top w:val="single" w:sz="8" w:color="0000EE"/>
            </w:tcBorders>
            <w:gridSpan w:val="3"/>
          </w:tcPr>
          <w:p>
            <w:pPr>
              <w:spacing w:after="0"/>
              <w:rPr>
                <w:sz w:val="24"/>
                <w:szCs w:val="24"/>
                <w:color w:val="auto"/>
              </w:rPr>
            </w:pPr>
          </w:p>
        </w:tc>
        <w:tc>
          <w:tcPr>
            <w:tcW w:w="6500" w:type="dxa"/>
            <w:vAlign w:val="bottom"/>
            <w:gridSpan w:val="12"/>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820" w:type="dxa"/>
            <w:vAlign w:val="bottom"/>
            <w:gridSpan w:val="6"/>
          </w:tcPr>
          <w:p>
            <w:pPr>
              <w:spacing w:after="0"/>
              <w:rPr>
                <w:sz w:val="20"/>
                <w:szCs w:val="20"/>
                <w:color w:val="auto"/>
              </w:rPr>
            </w:pPr>
            <w:r>
              <w:rPr>
                <w:rFonts w:ascii="Times New Roman" w:cs="Times New Roman" w:eastAsia="Times New Roman" w:hAnsi="Times New Roman"/>
                <w:sz w:val="17"/>
                <w:szCs w:val="17"/>
                <w:color w:val="0000EE"/>
              </w:rPr>
              <w:t>Item 1A.</w:t>
            </w:r>
          </w:p>
        </w:tc>
        <w:tc>
          <w:tcPr>
            <w:tcW w:w="8320" w:type="dxa"/>
            <w:vAlign w:val="bottom"/>
            <w:gridSpan w:val="19"/>
          </w:tcPr>
          <w:p>
            <w:pPr>
              <w:spacing w:after="0"/>
              <w:rPr>
                <w:sz w:val="20"/>
                <w:szCs w:val="20"/>
                <w:color w:val="auto"/>
              </w:rPr>
            </w:pPr>
            <w:r>
              <w:rPr>
                <w:rFonts w:ascii="Times New Roman" w:cs="Times New Roman" w:eastAsia="Times New Roman" w:hAnsi="Times New Roman"/>
                <w:sz w:val="17"/>
                <w:szCs w:val="17"/>
                <w:color w:val="0000EE"/>
              </w:rPr>
              <w:t>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20" w:type="dxa"/>
            <w:vAlign w:val="bottom"/>
          </w:tcPr>
          <w:p>
            <w:pPr>
              <w:spacing w:after="0"/>
              <w:rPr>
                <w:sz w:val="17"/>
                <w:szCs w:val="17"/>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0000EE"/>
                <w:w w:val="99"/>
              </w:rPr>
              <w:t>Item 2.</w:t>
            </w:r>
          </w:p>
        </w:tc>
        <w:tc>
          <w:tcPr>
            <w:tcW w:w="12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8320" w:type="dxa"/>
            <w:vAlign w:val="bottom"/>
            <w:gridSpan w:val="19"/>
          </w:tcPr>
          <w:p>
            <w:pPr>
              <w:spacing w:after="0"/>
              <w:rPr>
                <w:sz w:val="20"/>
                <w:szCs w:val="20"/>
                <w:color w:val="auto"/>
              </w:rPr>
            </w:pPr>
            <w:r>
              <w:rPr>
                <w:rFonts w:ascii="Times New Roman" w:cs="Times New Roman" w:eastAsia="Times New Roman" w:hAnsi="Times New Roman"/>
                <w:sz w:val="17"/>
                <w:szCs w:val="17"/>
                <w:color w:val="0000EE"/>
              </w:rPr>
              <w:t>Unregistered Sales of Equity Securities and Use of Proceeds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5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9"/>
              </w:rPr>
              <w:t>Item 3.</w:t>
            </w:r>
          </w:p>
        </w:tc>
        <w:tc>
          <w:tcPr>
            <w:tcW w:w="320" w:type="dxa"/>
            <w:vAlign w:val="bottom"/>
            <w:gridSpan w:val="4"/>
          </w:tcPr>
          <w:p>
            <w:pPr>
              <w:spacing w:after="0"/>
              <w:rPr>
                <w:sz w:val="17"/>
                <w:szCs w:val="17"/>
                <w:color w:val="auto"/>
              </w:rPr>
            </w:pPr>
          </w:p>
        </w:tc>
        <w:tc>
          <w:tcPr>
            <w:tcW w:w="226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7"/>
                <w:szCs w:val="17"/>
                <w:color w:val="0000EE"/>
              </w:rPr>
              <w:t>Defaults Upon Senior Securities</w:t>
            </w:r>
          </w:p>
        </w:tc>
        <w:tc>
          <w:tcPr>
            <w:tcW w:w="1940" w:type="dxa"/>
            <w:vAlign w:val="bottom"/>
            <w:tcBorders>
              <w:top w:val="single" w:sz="8" w:color="0000EE"/>
            </w:tcBorders>
            <w:gridSpan w:val="5"/>
          </w:tcPr>
          <w:p>
            <w:pPr>
              <w:spacing w:after="0"/>
              <w:rPr>
                <w:sz w:val="17"/>
                <w:szCs w:val="17"/>
                <w:color w:val="auto"/>
              </w:rPr>
            </w:pPr>
          </w:p>
        </w:tc>
        <w:tc>
          <w:tcPr>
            <w:tcW w:w="4120" w:type="dxa"/>
            <w:vAlign w:val="bottom"/>
            <w:gridSpan w:val="5"/>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5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9"/>
              </w:rPr>
              <w:t>Item 4.</w:t>
            </w:r>
          </w:p>
        </w:tc>
        <w:tc>
          <w:tcPr>
            <w:tcW w:w="320" w:type="dxa"/>
            <w:vAlign w:val="bottom"/>
            <w:gridSpan w:val="4"/>
          </w:tcPr>
          <w:p>
            <w:pPr>
              <w:spacing w:after="0"/>
              <w:rPr>
                <w:sz w:val="17"/>
                <w:szCs w:val="17"/>
                <w:color w:val="auto"/>
              </w:rPr>
            </w:pPr>
          </w:p>
        </w:tc>
        <w:tc>
          <w:tcPr>
            <w:tcW w:w="17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Mine Safety Disclosures</w:t>
            </w:r>
          </w:p>
        </w:tc>
        <w:tc>
          <w:tcPr>
            <w:tcW w:w="6600" w:type="dxa"/>
            <w:vAlign w:val="bottom"/>
            <w:gridSpan w:val="13"/>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5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9"/>
              </w:rPr>
              <w:t>Item 5.</w:t>
            </w:r>
          </w:p>
        </w:tc>
        <w:tc>
          <w:tcPr>
            <w:tcW w:w="320" w:type="dxa"/>
            <w:vAlign w:val="bottom"/>
            <w:gridSpan w:val="4"/>
          </w:tcPr>
          <w:p>
            <w:pPr>
              <w:spacing w:after="0"/>
              <w:rPr>
                <w:sz w:val="17"/>
                <w:szCs w:val="17"/>
                <w:color w:val="auto"/>
              </w:rPr>
            </w:pPr>
          </w:p>
        </w:tc>
        <w:tc>
          <w:tcPr>
            <w:tcW w:w="12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rPr>
              <w:t>Other Information</w:t>
            </w:r>
          </w:p>
        </w:tc>
        <w:tc>
          <w:tcPr>
            <w:tcW w:w="7040" w:type="dxa"/>
            <w:vAlign w:val="bottom"/>
            <w:gridSpan w:val="16"/>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0000EE"/>
                <w:w w:val="99"/>
              </w:rPr>
              <w:t>Item 6.</w:t>
            </w:r>
          </w:p>
        </w:tc>
        <w:tc>
          <w:tcPr>
            <w:tcW w:w="320" w:type="dxa"/>
            <w:vAlign w:val="bottom"/>
            <w:gridSpan w:val="4"/>
          </w:tcPr>
          <w:p>
            <w:pPr>
              <w:spacing w:after="0"/>
              <w:rPr>
                <w:sz w:val="17"/>
                <w:szCs w:val="17"/>
                <w:color w:val="auto"/>
              </w:rPr>
            </w:pPr>
          </w:p>
        </w:tc>
        <w:tc>
          <w:tcPr>
            <w:tcW w:w="8320" w:type="dxa"/>
            <w:vAlign w:val="bottom"/>
            <w:gridSpan w:val="19"/>
          </w:tcPr>
          <w:p>
            <w:pPr>
              <w:spacing w:after="0"/>
              <w:rPr>
                <w:sz w:val="20"/>
                <w:szCs w:val="20"/>
                <w:color w:val="auto"/>
              </w:rPr>
            </w:pPr>
            <w:r>
              <w:rPr>
                <w:rFonts w:ascii="Times New Roman" w:cs="Times New Roman" w:eastAsia="Times New Roman" w:hAnsi="Times New Roman"/>
                <w:sz w:val="17"/>
                <w:szCs w:val="17"/>
                <w:color w:val="0000EE"/>
              </w:rPr>
              <w:t>Exhibits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20" w:type="dxa"/>
            <w:vAlign w:val="bottom"/>
          </w:tcPr>
          <w:p>
            <w:pPr>
              <w:spacing w:after="0"/>
              <w:rPr>
                <w:sz w:val="17"/>
                <w:szCs w:val="17"/>
                <w:color w:val="auto"/>
              </w:rPr>
            </w:pPr>
          </w:p>
        </w:tc>
        <w:tc>
          <w:tcPr>
            <w:tcW w:w="7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Signatures</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24"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This Quarterly Report on Form 10-Q (this “Quarterly Report”) contains forward-looking statements within the meaning of the safe harbor provisions of the Private Securities Litigation Reform Act of 1995.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 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w:t>
      </w:r>
    </w:p>
    <w:p>
      <w:pPr>
        <w:spacing w:after="0" w:line="177" w:lineRule="exact"/>
        <w:rPr>
          <w:sz w:val="20"/>
          <w:szCs w:val="20"/>
          <w:color w:val="auto"/>
        </w:rPr>
      </w:pPr>
    </w:p>
    <w:p>
      <w:pPr>
        <w:jc w:val="both"/>
        <w:ind w:firstLine="313"/>
        <w:spacing w:after="0" w:line="264" w:lineRule="auto"/>
        <w:rPr>
          <w:sz w:val="20"/>
          <w:szCs w:val="20"/>
          <w:color w:val="auto"/>
        </w:rPr>
      </w:pPr>
      <w:r>
        <w:rPr>
          <w:rFonts w:ascii="Times New Roman" w:cs="Times New Roman" w:eastAsia="Times New Roman" w:hAnsi="Times New Roman"/>
          <w:sz w:val="17"/>
          <w:szCs w:val="17"/>
          <w:color w:val="auto"/>
        </w:rPr>
        <w:t>These forward-looking statements are based on the current expectations of Zura Bio Limited (the “Company” or “Zura”) and its management and are inherently subject to uncertainties and changes in circumstances and their potential effects and speak only as of the date of such statements. Forward-looking statements are not guarantees of performance. You should not put undue reliance on our forward-looking statements.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w:t>
      </w:r>
    </w:p>
    <w:p>
      <w:pPr>
        <w:spacing w:after="0" w:line="172" w:lineRule="exact"/>
        <w:rPr>
          <w:sz w:val="20"/>
          <w:szCs w:val="20"/>
          <w:color w:val="auto"/>
        </w:rPr>
      </w:pPr>
    </w:p>
    <w:p>
      <w:pPr>
        <w:ind w:left="660" w:right="20" w:hanging="315"/>
        <w:spacing w:after="0" w:line="295"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our product candidates and their related benefits, and our beliefs regarding competing product candidates and products both in development and approved, may not be achieved;</w:t>
      </w:r>
    </w:p>
    <w:p>
      <w:pPr>
        <w:spacing w:after="0" w:line="146"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vision and strategy may not be successful;</w:t>
      </w:r>
    </w:p>
    <w:p>
      <w:pPr>
        <w:spacing w:after="0" w:line="222" w:lineRule="exact"/>
        <w:rPr>
          <w:rFonts w:ascii="Times New Roman" w:cs="Times New Roman" w:eastAsia="Times New Roman" w:hAnsi="Times New Roman"/>
          <w:sz w:val="17"/>
          <w:szCs w:val="17"/>
          <w:color w:val="auto"/>
        </w:rPr>
      </w:pPr>
    </w:p>
    <w:p>
      <w:pPr>
        <w:ind w:left="660" w:right="20" w:hanging="315"/>
        <w:spacing w:after="0" w:line="295"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key events and initiation of our studies and release of clinical data may take longer than anticipated or may not be achieved at all;</w:t>
      </w:r>
    </w:p>
    <w:p>
      <w:pPr>
        <w:spacing w:after="0" w:line="146" w:lineRule="exact"/>
        <w:rPr>
          <w:rFonts w:ascii="Times New Roman" w:cs="Times New Roman" w:eastAsia="Times New Roman" w:hAnsi="Times New Roman"/>
          <w:sz w:val="17"/>
          <w:szCs w:val="17"/>
          <w:color w:val="auto"/>
        </w:rPr>
      </w:pPr>
    </w:p>
    <w:p>
      <w:pPr>
        <w:ind w:left="660" w:right="20" w:hanging="315"/>
        <w:spacing w:after="0" w:line="295"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expectations regarding the potential general acceptability and maintenance of our product candidates by regulatory authorities, payors, physicians, and patients may not be achieved;</w:t>
      </w:r>
    </w:p>
    <w:p>
      <w:pPr>
        <w:spacing w:after="0" w:line="146"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attract and retain key personnel;</w:t>
      </w:r>
    </w:p>
    <w:p>
      <w:pPr>
        <w:spacing w:after="0" w:line="222" w:lineRule="exact"/>
        <w:rPr>
          <w:rFonts w:ascii="Times New Roman" w:cs="Times New Roman" w:eastAsia="Times New Roman" w:hAnsi="Times New Roman"/>
          <w:sz w:val="17"/>
          <w:szCs w:val="17"/>
          <w:color w:val="auto"/>
        </w:rPr>
      </w:pPr>
    </w:p>
    <w:p>
      <w:pPr>
        <w:ind w:left="660" w:hanging="315"/>
        <w:spacing w:after="0" w:line="295"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expectations with respect to our future operating expenses, capital requirements and needs for additional financing may not be achieved;</w:t>
      </w:r>
    </w:p>
    <w:p>
      <w:pPr>
        <w:spacing w:after="0" w:line="146"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not completed any clinical trials, and have no products approved for commercial sale;</w:t>
      </w:r>
    </w:p>
    <w:p>
      <w:pPr>
        <w:spacing w:after="0" w:line="222" w:lineRule="exact"/>
        <w:rPr>
          <w:rFonts w:ascii="Times New Roman" w:cs="Times New Roman" w:eastAsia="Times New Roman" w:hAnsi="Times New Roman"/>
          <w:sz w:val="17"/>
          <w:szCs w:val="17"/>
          <w:color w:val="auto"/>
        </w:rPr>
      </w:pPr>
    </w:p>
    <w:p>
      <w:pPr>
        <w:ind w:left="660" w:right="20" w:hanging="315"/>
        <w:spacing w:after="0" w:line="295"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losses since inception, and expect to incur significant losses for the foreseeable future and may not be able to achieve or sustain profitability in the future;</w:t>
      </w:r>
    </w:p>
    <w:p>
      <w:pPr>
        <w:spacing w:after="0" w:line="146" w:lineRule="exact"/>
        <w:rPr>
          <w:rFonts w:ascii="Times New Roman" w:cs="Times New Roman" w:eastAsia="Times New Roman" w:hAnsi="Times New Roman"/>
          <w:sz w:val="17"/>
          <w:szCs w:val="17"/>
          <w:color w:val="auto"/>
        </w:rPr>
      </w:pPr>
    </w:p>
    <w:p>
      <w:pPr>
        <w:jc w:val="both"/>
        <w:ind w:left="660" w:right="20" w:hanging="315"/>
        <w:spacing w:after="0" w:line="275"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require substantial additional capital to finance our operations, and if we are unable to raise such capital when needed or on acceptable terms, we may be forced to delay, reduce, and/or eliminate one or more of our development programs or future commercialization efforts;</w:t>
      </w:r>
    </w:p>
    <w:p>
      <w:pPr>
        <w:spacing w:after="0" w:line="163" w:lineRule="exact"/>
        <w:rPr>
          <w:rFonts w:ascii="Times New Roman" w:cs="Times New Roman" w:eastAsia="Times New Roman" w:hAnsi="Times New Roman"/>
          <w:sz w:val="17"/>
          <w:szCs w:val="17"/>
          <w:color w:val="auto"/>
        </w:rPr>
      </w:pPr>
    </w:p>
    <w:p>
      <w:pPr>
        <w:ind w:left="660" w:right="20" w:hanging="315"/>
        <w:spacing w:after="0" w:line="295"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renew existing contracts, enter into new contracts or may experience disputes or other challenges with respect to our vendors or other third-parties;</w:t>
      </w:r>
    </w:p>
    <w:p>
      <w:pPr>
        <w:spacing w:after="0" w:line="146"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third-party contract development manufacturing organizations for the manufacture of clinical materials;</w:t>
      </w:r>
    </w:p>
    <w:p>
      <w:pPr>
        <w:spacing w:after="0" w:line="222" w:lineRule="exact"/>
        <w:rPr>
          <w:rFonts w:ascii="Times New Roman" w:cs="Times New Roman" w:eastAsia="Times New Roman" w:hAnsi="Times New Roman"/>
          <w:sz w:val="17"/>
          <w:szCs w:val="17"/>
          <w:color w:val="auto"/>
        </w:rPr>
      </w:pPr>
    </w:p>
    <w:p>
      <w:pPr>
        <w:ind w:left="660" w:right="20" w:hanging="315"/>
        <w:spacing w:after="0" w:line="295"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contract research organizations, clinical trial sites, and other third parties to conduct our preclinical studies and clinical trials;</w:t>
      </w:r>
    </w:p>
    <w:p>
      <w:pPr>
        <w:spacing w:after="0" w:line="146" w:lineRule="exact"/>
        <w:rPr>
          <w:rFonts w:ascii="Times New Roman" w:cs="Times New Roman" w:eastAsia="Times New Roman" w:hAnsi="Times New Roman"/>
          <w:sz w:val="17"/>
          <w:szCs w:val="17"/>
          <w:color w:val="auto"/>
        </w:rPr>
      </w:pPr>
    </w:p>
    <w:p>
      <w:pPr>
        <w:ind w:left="660" w:right="20" w:hanging="315"/>
        <w:spacing w:after="0" w:line="295"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obtain regulatory approval for our product candidates, and there may be related restrictions or limitations of any approved products;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60" w:hanging="315"/>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successfully respond to general economic and geopolitical conditions;</w:t>
      </w:r>
    </w:p>
    <w:p>
      <w:pPr>
        <w:spacing w:after="0" w:line="222"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effectively manage growth;</w:t>
      </w:r>
    </w:p>
    <w:p>
      <w:pPr>
        <w:spacing w:after="0" w:line="222"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competitive pressures from other companies worldwide;</w:t>
      </w:r>
    </w:p>
    <w:p>
      <w:pPr>
        <w:spacing w:after="0" w:line="222"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adequately protect our intellectual property rights; and</w:t>
      </w:r>
    </w:p>
    <w:p>
      <w:pPr>
        <w:spacing w:after="0" w:line="222"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set forth in documents filed, or to be filed, with the Securities and Exchange Commission (the “SEC”).</w:t>
      </w:r>
    </w:p>
    <w:p>
      <w:pPr>
        <w:spacing w:after="0" w:line="222"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color w:val="auto"/>
        </w:rPr>
        <w:t>Additional discussion of the risks, uncertainties and other factors described above, as well as other risks material to our business, can be found under “Risk Factors” in Part I, Item 1A of our Annual Report on Form 10-K for the year ended December 31, 2024 (the “2024 Annual Report), as supplemented by the risks and uncertainties described in “Risk Factors” Item 1A. Risk Factors in Part II of this Quarterly Report. We may not actually achieve the plans, intentions or expectations disclosed in our forward-looking statements.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Our forward-looking statements do not reflect the potential impact of any future acquisitions, mergers, dispositions, joint ventures, investments or other transactions we may execute.</w:t>
      </w:r>
    </w:p>
    <w:p>
      <w:pPr>
        <w:spacing w:after="0" w:line="179" w:lineRule="exact"/>
        <w:rPr>
          <w:sz w:val="20"/>
          <w:szCs w:val="20"/>
          <w:color w:val="auto"/>
        </w:rPr>
      </w:pPr>
    </w:p>
    <w:p>
      <w:pPr>
        <w:jc w:val="both"/>
        <w:ind w:firstLine="313"/>
        <w:spacing w:after="0" w:line="260" w:lineRule="auto"/>
        <w:rPr>
          <w:sz w:val="20"/>
          <w:szCs w:val="20"/>
          <w:color w:val="auto"/>
        </w:rPr>
      </w:pPr>
      <w:r>
        <w:rPr>
          <w:rFonts w:ascii="Times New Roman" w:cs="Times New Roman" w:eastAsia="Times New Roman" w:hAnsi="Times New Roman"/>
          <w:sz w:val="17"/>
          <w:szCs w:val="17"/>
          <w:color w:val="auto"/>
        </w:rPr>
        <w:t>For the reasons described above, we caution you against relying on any forward-looking statements, which should also be read in conjunction with this Quarterly Report and the documents referenced within this Quarterly Report and the other cautionary statements that are included elsewhere in this Quarterly Report and in our public filings, including under “Management’s Discussion and Analysis of Financial Condition and Results of Operations.” Forward-looking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statements should not be read to indicate that we have conducted an exhaustive inquiry into, or review of, all potentially available relevant information.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Zura Bio Limited</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68"/>
        </w:trPr>
        <w:tc>
          <w:tcPr>
            <w:tcW w:w="7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37"/>
        </w:trPr>
        <w:tc>
          <w:tcPr>
            <w:tcW w:w="7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55"/>
              <w:spacing w:after="0" w:line="137"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09"/>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9"/>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154,490</w:t>
            </w:r>
          </w:p>
        </w:tc>
        <w:tc>
          <w:tcPr>
            <w:tcW w:w="2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176,498</w:t>
            </w:r>
          </w:p>
        </w:tc>
      </w:tr>
      <w:tr>
        <w:trPr>
          <w:trHeight w:val="209"/>
        </w:trPr>
        <w:tc>
          <w:tcPr>
            <w:tcW w:w="7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2,246</w:t>
            </w:r>
          </w:p>
        </w:tc>
      </w:tr>
      <w:tr>
        <w:trPr>
          <w:trHeight w:val="202"/>
        </w:trPr>
        <w:tc>
          <w:tcPr>
            <w:tcW w:w="7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current assets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156,985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178,744</w:t>
            </w:r>
          </w:p>
        </w:tc>
      </w:tr>
      <w:tr>
        <w:trPr>
          <w:trHeight w:val="209"/>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09"/>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r>
      <w:tr>
        <w:trPr>
          <w:trHeight w:val="242"/>
        </w:trPr>
        <w:tc>
          <w:tcPr>
            <w:tcW w:w="7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157,805</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179,533</w:t>
            </w:r>
          </w:p>
        </w:tc>
      </w:tr>
      <w:tr>
        <w:trPr>
          <w:trHeight w:val="188"/>
        </w:trPr>
        <w:tc>
          <w:tcPr>
            <w:tcW w:w="7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09"/>
        </w:trPr>
        <w:tc>
          <w:tcPr>
            <w:tcW w:w="7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 Redeemable Noncontrolling Interest and Shareholders’ Equity</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9"/>
        </w:trPr>
        <w:tc>
          <w:tcPr>
            <w:tcW w:w="7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18,696</w:t>
            </w:r>
          </w:p>
        </w:tc>
        <w:tc>
          <w:tcPr>
            <w:tcW w:w="2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19,514</w:t>
            </w:r>
          </w:p>
        </w:tc>
      </w:tr>
      <w:tr>
        <w:trPr>
          <w:trHeight w:val="202"/>
        </w:trPr>
        <w:tc>
          <w:tcPr>
            <w:tcW w:w="75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18,696</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19,514</w:t>
            </w:r>
          </w:p>
        </w:tc>
      </w:tr>
      <w:tr>
        <w:trPr>
          <w:trHeight w:val="202"/>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18,696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19,514</w:t>
            </w:r>
          </w:p>
        </w:tc>
      </w:tr>
      <w:tr>
        <w:trPr>
          <w:trHeight w:val="209"/>
        </w:trPr>
        <w:tc>
          <w:tcPr>
            <w:tcW w:w="7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9"/>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(Note 9)</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7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9"/>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Redeemable noncontrolling interest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11,663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11,663</w:t>
            </w:r>
          </w:p>
        </w:tc>
      </w:tr>
      <w:tr>
        <w:trPr>
          <w:trHeight w:val="209"/>
        </w:trPr>
        <w:tc>
          <w:tcPr>
            <w:tcW w:w="7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9"/>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Shareholders’ Equity</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0"/>
        </w:trPr>
        <w:tc>
          <w:tcPr>
            <w:tcW w:w="7540" w:type="dxa"/>
            <w:vAlign w:val="bottom"/>
            <w:shd w:val="clear" w:color="auto" w:fill="CCEEFF"/>
          </w:tcPr>
          <w:p>
            <w:pPr>
              <w:ind w:left="100"/>
              <w:spacing w:after="0" w:line="190" w:lineRule="exact"/>
              <w:rPr>
                <w:sz w:val="20"/>
                <w:szCs w:val="20"/>
                <w:color w:val="auto"/>
              </w:rPr>
            </w:pPr>
            <w:r>
              <w:rPr>
                <w:rFonts w:ascii="Times New Roman" w:cs="Times New Roman" w:eastAsia="Times New Roman" w:hAnsi="Times New Roman"/>
                <w:sz w:val="17"/>
                <w:szCs w:val="17"/>
                <w:color w:val="auto"/>
              </w:rPr>
              <w:t>Preferred shares, $0.0001 par value, 1,000,000 shares authorized as of June 30, 2025 and December 31,</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27"/>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2024; no shares issued and outstanding as of June 30, 2025 and December 31, 2024</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0"/>
        </w:trPr>
        <w:tc>
          <w:tcPr>
            <w:tcW w:w="7540" w:type="dxa"/>
            <w:vAlign w:val="bottom"/>
          </w:tcPr>
          <w:p>
            <w:pPr>
              <w:ind w:left="100"/>
              <w:spacing w:after="0" w:line="190" w:lineRule="exact"/>
              <w:rPr>
                <w:sz w:val="20"/>
                <w:szCs w:val="20"/>
                <w:color w:val="auto"/>
              </w:rPr>
            </w:pPr>
            <w:r>
              <w:rPr>
                <w:rFonts w:ascii="Times New Roman" w:cs="Times New Roman" w:eastAsia="Times New Roman" w:hAnsi="Times New Roman"/>
                <w:sz w:val="17"/>
                <w:szCs w:val="17"/>
                <w:color w:val="auto"/>
              </w:rPr>
              <w:t>Class A Ordinary Shares, $0.0001 par value; 300,000,000 shares authorized as of June 30, 2025 and</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9"/>
        </w:trPr>
        <w:tc>
          <w:tcPr>
            <w:tcW w:w="7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December 31, 2024; 62,064,270 and 65,297,530 shares issued and outstanding as of June 30, 2025</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7"/>
        </w:trPr>
        <w:tc>
          <w:tcPr>
            <w:tcW w:w="7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and December 31, 2024, respectively</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09"/>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315,231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302,705</w:t>
            </w:r>
          </w:p>
        </w:tc>
      </w:tr>
      <w:tr>
        <w:trPr>
          <w:trHeight w:val="209"/>
        </w:trPr>
        <w:tc>
          <w:tcPr>
            <w:tcW w:w="7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Accumulated deficit</w:t>
            </w: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(189,332)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(155,897)</w:t>
            </w:r>
          </w:p>
        </w:tc>
      </w:tr>
      <w:tr>
        <w:trPr>
          <w:trHeight w:val="202"/>
        </w:trPr>
        <w:tc>
          <w:tcPr>
            <w:tcW w:w="75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Zura Bio Limited shareholders’ equity</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125,905</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146,815</w:t>
            </w:r>
          </w:p>
        </w:tc>
      </w:tr>
      <w:tr>
        <w:trPr>
          <w:trHeight w:val="202"/>
        </w:trPr>
        <w:tc>
          <w:tcPr>
            <w:tcW w:w="7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Noncontrolling interest</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1,541</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1,541</w:t>
            </w:r>
          </w:p>
        </w:tc>
      </w:tr>
      <w:tr>
        <w:trPr>
          <w:trHeight w:val="202"/>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shareholders’ equity</w:t>
            </w: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127,446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148,356</w:t>
            </w:r>
          </w:p>
        </w:tc>
      </w:tr>
      <w:tr>
        <w:trPr>
          <w:trHeight w:val="202"/>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 redeemable noncontrolling interest and shareholders’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157,805</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179,533</w:t>
            </w:r>
          </w:p>
        </w:tc>
      </w:tr>
      <w:tr>
        <w:trPr>
          <w:trHeight w:val="20"/>
        </w:trPr>
        <w:tc>
          <w:tcPr>
            <w:tcW w:w="7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Zura Bio Limited</w:t>
      </w:r>
    </w:p>
    <w:p>
      <w:pPr>
        <w:spacing w:after="0" w:line="22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3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0" w:type="dxa"/>
            <w:vAlign w:val="bottom"/>
          </w:tcPr>
          <w:p>
            <w:pPr>
              <w:spacing w:after="0"/>
              <w:rPr>
                <w:sz w:val="13"/>
                <w:szCs w:val="13"/>
                <w:color w:val="auto"/>
              </w:rPr>
            </w:pPr>
          </w:p>
        </w:tc>
        <w:tc>
          <w:tcPr>
            <w:tcW w:w="2080" w:type="dxa"/>
            <w:vAlign w:val="bottom"/>
            <w:gridSpan w:val="5"/>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68"/>
        </w:trPr>
        <w:tc>
          <w:tcPr>
            <w:tcW w:w="5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3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76"/>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74"/>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76"/>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94"/>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8,704</w:t>
            </w: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19,178</w:t>
            </w: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9,132</w:t>
            </w: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11,006</w:t>
            </w:r>
          </w:p>
        </w:tc>
        <w:tc>
          <w:tcPr>
            <w:tcW w:w="0" w:type="dxa"/>
            <w:vAlign w:val="bottom"/>
          </w:tcPr>
          <w:p>
            <w:pPr>
              <w:spacing w:after="0"/>
              <w:rPr>
                <w:sz w:val="1"/>
                <w:szCs w:val="1"/>
                <w:color w:val="auto"/>
              </w:rPr>
            </w:pPr>
          </w:p>
        </w:tc>
      </w:tr>
      <w:tr>
        <w:trPr>
          <w:trHeight w:val="202"/>
        </w:trPr>
        <w:tc>
          <w:tcPr>
            <w:tcW w:w="5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18,062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11,759</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37,316</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20,138</w:t>
            </w: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(11,759)</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(37,316)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(20,138)</w:t>
            </w:r>
          </w:p>
        </w:tc>
        <w:tc>
          <w:tcPr>
            <w:tcW w:w="0" w:type="dxa"/>
            <w:vAlign w:val="bottom"/>
          </w:tcPr>
          <w:p>
            <w:pPr>
              <w:spacing w:after="0"/>
              <w:rPr>
                <w:sz w:val="1"/>
                <w:szCs w:val="1"/>
                <w:color w:val="auto"/>
              </w:rPr>
            </w:pPr>
          </w:p>
        </w:tc>
      </w:tr>
      <w:tr>
        <w:trPr>
          <w:trHeight w:val="202"/>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Other (income)/expense, net:</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Interest income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(2,196)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(3,534)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(3,411)</w:t>
            </w:r>
          </w:p>
        </w:tc>
        <w:tc>
          <w:tcPr>
            <w:tcW w:w="0" w:type="dxa"/>
            <w:vAlign w:val="bottom"/>
          </w:tcPr>
          <w:p>
            <w:pPr>
              <w:spacing w:after="0"/>
              <w:rPr>
                <w:sz w:val="1"/>
                <w:szCs w:val="1"/>
                <w:color w:val="auto"/>
              </w:rPr>
            </w:pPr>
          </w:p>
        </w:tc>
      </w:tr>
      <w:tr>
        <w:trPr>
          <w:trHeight w:val="209"/>
        </w:trPr>
        <w:tc>
          <w:tcPr>
            <w:tcW w:w="5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Change in fair value of private placement warrants</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income, net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02"/>
        </w:trPr>
        <w:tc>
          <w:tcPr>
            <w:tcW w:w="5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Total other income, net</w:t>
            </w: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(1,430)</w:t>
            </w:r>
          </w:p>
        </w:tc>
        <w:tc>
          <w:tcPr>
            <w:tcW w:w="1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(3,881)</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(2,062)</w:t>
            </w: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(15,993)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(33,435)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(18,076)</w:t>
            </w:r>
          </w:p>
        </w:tc>
        <w:tc>
          <w:tcPr>
            <w:tcW w:w="0" w:type="dxa"/>
            <w:vAlign w:val="bottom"/>
          </w:tcPr>
          <w:p>
            <w:pPr>
              <w:spacing w:after="0"/>
              <w:rPr>
                <w:sz w:val="1"/>
                <w:szCs w:val="1"/>
                <w:color w:val="auto"/>
              </w:rPr>
            </w:pPr>
          </w:p>
        </w:tc>
      </w:tr>
      <w:tr>
        <w:trPr>
          <w:trHeight w:val="209"/>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Income tax benefit</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(15,993)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(10,329)</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(33,435)</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(18,076)</w:t>
            </w:r>
          </w:p>
        </w:tc>
        <w:tc>
          <w:tcPr>
            <w:tcW w:w="0" w:type="dxa"/>
            <w:vAlign w:val="bottom"/>
          </w:tcPr>
          <w:p>
            <w:pPr>
              <w:spacing w:after="0"/>
              <w:rPr>
                <w:sz w:val="1"/>
                <w:szCs w:val="1"/>
                <w:color w:val="auto"/>
              </w:rPr>
            </w:pPr>
          </w:p>
        </w:tc>
      </w:tr>
      <w:tr>
        <w:trPr>
          <w:trHeight w:val="209"/>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Accretion of redeemable noncontrolling interest to redemption value</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(2,337)</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(2,337)</w:t>
            </w:r>
          </w:p>
        </w:tc>
        <w:tc>
          <w:tcPr>
            <w:tcW w:w="0" w:type="dxa"/>
            <w:vAlign w:val="bottom"/>
          </w:tcPr>
          <w:p>
            <w:pPr>
              <w:spacing w:after="0"/>
              <w:rPr>
                <w:sz w:val="1"/>
                <w:szCs w:val="1"/>
                <w:color w:val="auto"/>
              </w:rPr>
            </w:pPr>
          </w:p>
        </w:tc>
      </w:tr>
      <w:tr>
        <w:trPr>
          <w:trHeight w:val="190"/>
        </w:trPr>
        <w:tc>
          <w:tcPr>
            <w:tcW w:w="530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Adjustment of redeemable noncontrolling interest from redemption value</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 carrying value</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7,017</w:t>
            </w:r>
          </w:p>
        </w:tc>
        <w:tc>
          <w:tcPr>
            <w:tcW w:w="0" w:type="dxa"/>
            <w:vAlign w:val="bottom"/>
          </w:tcPr>
          <w:p>
            <w:pPr>
              <w:spacing w:after="0"/>
              <w:rPr>
                <w:sz w:val="1"/>
                <w:szCs w:val="1"/>
                <w:color w:val="auto"/>
              </w:rPr>
            </w:pPr>
          </w:p>
        </w:tc>
      </w:tr>
      <w:tr>
        <w:trPr>
          <w:trHeight w:val="242"/>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loss attributable to Class A Ordinary Shareholders of Zura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(15,993)</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(12,666)</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(33,435)</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(13,396)</w:t>
            </w:r>
          </w:p>
        </w:tc>
        <w:tc>
          <w:tcPr>
            <w:tcW w:w="0" w:type="dxa"/>
            <w:vAlign w:val="bottom"/>
          </w:tcPr>
          <w:p>
            <w:pPr>
              <w:spacing w:after="0"/>
              <w:rPr>
                <w:sz w:val="1"/>
                <w:szCs w:val="1"/>
                <w:color w:val="auto"/>
              </w:rPr>
            </w:pPr>
          </w:p>
        </w:tc>
      </w:tr>
      <w:tr>
        <w:trPr>
          <w:trHeight w:val="144"/>
        </w:trPr>
        <w:tc>
          <w:tcPr>
            <w:tcW w:w="53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Net loss per share attributable to Class A Ordinary Shareholders of Zura,</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(0.17)</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(0.17)</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(0.36)</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0" w:type="dxa"/>
            <w:vAlign w:val="bottom"/>
          </w:tcPr>
          <w:p>
            <w:pPr>
              <w:spacing w:after="0"/>
              <w:rPr>
                <w:sz w:val="1"/>
                <w:szCs w:val="1"/>
                <w:color w:val="auto"/>
              </w:rPr>
            </w:pPr>
          </w:p>
        </w:tc>
      </w:tr>
      <w:tr>
        <w:trPr>
          <w:trHeight w:val="214"/>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basic and diluted</w:t>
            </w:r>
          </w:p>
        </w:tc>
        <w:tc>
          <w:tcPr>
            <w:tcW w:w="14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auto"/>
              </w:rPr>
              <w:t>Weighted-average Class A Ordinary Shares used in computing net loss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per share attributable to Class A Ordinary Shareholders of Zura, basic</w:t>
            </w:r>
          </w:p>
        </w:tc>
        <w:tc>
          <w:tcPr>
            <w:tcW w:w="14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94,289,954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74,947,369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93,630,719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60,930,956</w:t>
            </w:r>
          </w:p>
        </w:tc>
        <w:tc>
          <w:tcPr>
            <w:tcW w:w="0" w:type="dxa"/>
            <w:vAlign w:val="bottom"/>
          </w:tcPr>
          <w:p>
            <w:pPr>
              <w:spacing w:after="0"/>
              <w:rPr>
                <w:sz w:val="1"/>
                <w:szCs w:val="1"/>
                <w:color w:val="auto"/>
              </w:rPr>
            </w:pPr>
          </w:p>
        </w:tc>
      </w:tr>
      <w:tr>
        <w:trPr>
          <w:trHeight w:val="214"/>
        </w:trPr>
        <w:tc>
          <w:tcPr>
            <w:tcW w:w="5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and diluted</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auto"/>
        </w:rPr>
        <w:t>Zura Bio Limited</w:t>
      </w:r>
    </w:p>
    <w:p>
      <w:pPr>
        <w:spacing w:after="0" w:line="1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Redeemable Noncontrolling Interest and Shareholders’ Equity</w:t>
      </w:r>
    </w:p>
    <w:p>
      <w:pPr>
        <w:spacing w:after="0" w:line="3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20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For the Three Months Ended June 30,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42"/>
        </w:trPr>
        <w:tc>
          <w:tcPr>
            <w:tcW w:w="3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gridSpan w:val="4"/>
            <w:vMerge w:val="restart"/>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16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4"/>
            <w:vMerge w:val="continue"/>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16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900" w:type="dxa"/>
            <w:vAlign w:val="bottom"/>
          </w:tcPr>
          <w:p>
            <w:pPr>
              <w:spacing w:after="0"/>
              <w:rPr>
                <w:sz w:val="14"/>
                <w:szCs w:val="14"/>
                <w:color w:val="auto"/>
              </w:rPr>
            </w:pP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w w:val="95"/>
              </w:rPr>
              <w:t>Noncontrolling</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20" w:type="dxa"/>
            <w:vAlign w:val="bottom"/>
            <w:gridSpan w:val="3"/>
            <w:vMerge w:val="continue"/>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Shareholders’</w:t>
            </w:r>
          </w:p>
        </w:tc>
        <w:tc>
          <w:tcPr>
            <w:tcW w:w="0" w:type="dxa"/>
            <w:vAlign w:val="bottom"/>
          </w:tcPr>
          <w:p>
            <w:pPr>
              <w:spacing w:after="0"/>
              <w:rPr>
                <w:sz w:val="1"/>
                <w:szCs w:val="1"/>
                <w:color w:val="auto"/>
              </w:rPr>
            </w:pPr>
          </w:p>
        </w:tc>
      </w:tr>
      <w:tr>
        <w:trPr>
          <w:trHeight w:val="137"/>
        </w:trPr>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ind w:right="150"/>
              <w:spacing w:after="0" w:line="13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70"/>
              <w:spacing w:after="0" w:line="137"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50"/>
              <w:spacing w:after="0" w:line="137"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130"/>
              <w:spacing w:after="0" w:line="137"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50"/>
              <w:spacing w:after="0" w:line="137"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37"/>
        </w:trPr>
        <w:tc>
          <w:tcPr>
            <w:tcW w:w="390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11,663</w:t>
            </w:r>
          </w:p>
        </w:tc>
        <w:tc>
          <w:tcPr>
            <w:tcW w:w="10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w w:val="95"/>
              </w:rPr>
              <w:t>68,374,998</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7</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311,532</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(173,339)</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1,541</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139,741</w:t>
            </w:r>
          </w:p>
        </w:tc>
        <w:tc>
          <w:tcPr>
            <w:tcW w:w="0" w:type="dxa"/>
            <w:vAlign w:val="bottom"/>
          </w:tcPr>
          <w:p>
            <w:pPr>
              <w:spacing w:after="0"/>
              <w:rPr>
                <w:sz w:val="1"/>
                <w:szCs w:val="1"/>
                <w:color w:val="auto"/>
              </w:rPr>
            </w:pPr>
          </w:p>
        </w:tc>
      </w:tr>
      <w:tr>
        <w:trPr>
          <w:trHeight w:val="121"/>
        </w:trPr>
        <w:tc>
          <w:tcPr>
            <w:tcW w:w="3900" w:type="dxa"/>
            <w:vAlign w:val="bottom"/>
          </w:tcPr>
          <w:p>
            <w:pPr>
              <w:spacing w:after="0" w:line="121" w:lineRule="exact"/>
              <w:rPr>
                <w:sz w:val="20"/>
                <w:szCs w:val="20"/>
                <w:color w:val="auto"/>
              </w:rPr>
            </w:pPr>
            <w:r>
              <w:rPr>
                <w:rFonts w:ascii="Times New Roman" w:cs="Times New Roman" w:eastAsia="Times New Roman" w:hAnsi="Times New Roman"/>
                <w:sz w:val="14"/>
                <w:szCs w:val="14"/>
                <w:color w:val="auto"/>
              </w:rPr>
              <w:t>Issuance of Pre-Funded Warrants in exchange for Class A Ordinary</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0"/>
                <w:szCs w:val="10"/>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(6,500,000)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3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9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rPr>
              <w:t>Issuance of Class A Ordinary Shares for restricted stock units, net of</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189,272</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66"/>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shares withheld for taxes</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9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Share-based compensation</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3,732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3,732</w:t>
            </w: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Net loss</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(15,993)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(15,993)</w:t>
            </w:r>
          </w:p>
        </w:tc>
        <w:tc>
          <w:tcPr>
            <w:tcW w:w="0" w:type="dxa"/>
            <w:vAlign w:val="bottom"/>
          </w:tcPr>
          <w:p>
            <w:pPr>
              <w:spacing w:after="0"/>
              <w:rPr>
                <w:sz w:val="1"/>
                <w:szCs w:val="1"/>
                <w:color w:val="auto"/>
              </w:rPr>
            </w:pPr>
          </w:p>
        </w:tc>
      </w:tr>
      <w:tr>
        <w:trPr>
          <w:trHeight w:val="137"/>
        </w:trPr>
        <w:tc>
          <w:tcPr>
            <w:tcW w:w="3900" w:type="dxa"/>
            <w:vAlign w:val="bottom"/>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10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11,663</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w w:val="95"/>
              </w:rPr>
              <w:t>62,064,270</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6</w:t>
            </w:r>
          </w:p>
        </w:tc>
        <w:tc>
          <w:tcPr>
            <w:tcW w:w="16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315,231</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(189,332)</w:t>
            </w:r>
          </w:p>
        </w:tc>
        <w:tc>
          <w:tcPr>
            <w:tcW w:w="1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1,541</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127,446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For the Three Months Ended June 30,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42"/>
        </w:trPr>
        <w:tc>
          <w:tcPr>
            <w:tcW w:w="47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3"/>
                <w:szCs w:val="3"/>
                <w:color w:val="auto"/>
              </w:rPr>
            </w:pPr>
          </w:p>
        </w:tc>
        <w:tc>
          <w:tcPr>
            <w:tcW w:w="108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3"/>
                <w:szCs w:val="3"/>
                <w:color w:val="auto"/>
              </w:rPr>
            </w:pPr>
          </w:p>
        </w:tc>
        <w:tc>
          <w:tcPr>
            <w:tcW w:w="680" w:type="dxa"/>
            <w:vAlign w:val="bottom"/>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9"/>
        </w:trPr>
        <w:tc>
          <w:tcPr>
            <w:tcW w:w="4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7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shd w:val="clear" w:color="auto" w:fill="000000"/>
          </w:tcPr>
          <w:p>
            <w:pPr>
              <w:spacing w:after="0"/>
              <w:rPr>
                <w:sz w:val="14"/>
                <w:szCs w:val="14"/>
                <w:color w:val="auto"/>
              </w:rPr>
            </w:pPr>
          </w:p>
        </w:tc>
        <w:tc>
          <w:tcPr>
            <w:tcW w:w="15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Shareholders’</w:t>
            </w: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20" w:type="dxa"/>
            <w:vAlign w:val="bottom"/>
            <w:tcBorders>
              <w:top w:val="single" w:sz="8" w:color="auto"/>
            </w:tcBorders>
            <w:shd w:val="clear" w:color="auto" w:fill="000000"/>
          </w:tcPr>
          <w:p>
            <w:pPr>
              <w:spacing w:after="0"/>
              <w:rPr>
                <w:sz w:val="11"/>
                <w:szCs w:val="11"/>
                <w:color w:val="auto"/>
              </w:rPr>
            </w:pPr>
          </w:p>
        </w:tc>
        <w:tc>
          <w:tcPr>
            <w:tcW w:w="880" w:type="dxa"/>
            <w:vAlign w:val="bottom"/>
            <w:tcBorders>
              <w:top w:val="single" w:sz="8" w:color="auto"/>
            </w:tcBorders>
            <w:gridSpan w:val="2"/>
          </w:tcPr>
          <w:p>
            <w:pPr>
              <w:ind w:left="200"/>
              <w:spacing w:after="0" w:line="137"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1"/>
                <w:szCs w:val="11"/>
                <w:color w:val="auto"/>
              </w:rPr>
            </w:pPr>
          </w:p>
        </w:tc>
        <w:tc>
          <w:tcPr>
            <w:tcW w:w="80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1"/>
                <w:szCs w:val="11"/>
                <w:color w:val="auto"/>
              </w:rPr>
            </w:pPr>
          </w:p>
        </w:tc>
        <w:tc>
          <w:tcPr>
            <w:tcW w:w="88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1"/>
                <w:szCs w:val="11"/>
                <w:color w:val="auto"/>
              </w:rPr>
            </w:pPr>
          </w:p>
        </w:tc>
        <w:tc>
          <w:tcPr>
            <w:tcW w:w="680" w:type="dxa"/>
            <w:vAlign w:val="bottom"/>
          </w:tcPr>
          <w:p>
            <w:pPr>
              <w:jc w:val="right"/>
              <w:ind w:right="130"/>
              <w:spacing w:after="0" w:line="137"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37"/>
        </w:trPr>
        <w:tc>
          <w:tcPr>
            <w:tcW w:w="474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8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11,663</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740" w:type="dxa"/>
            <w:vAlign w:val="bottom"/>
            <w:tcBorders>
              <w:top w:val="single" w:sz="8" w:color="auto"/>
              <w:left w:val="single" w:sz="8" w:color="CCEEFF"/>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43,593,678</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50"/>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4</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w w:val="99"/>
              </w:rPr>
              <w:t>$ 172,246</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(111,241)</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1,541</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62,550</w:t>
            </w:r>
          </w:p>
        </w:tc>
        <w:tc>
          <w:tcPr>
            <w:tcW w:w="0" w:type="dxa"/>
            <w:vAlign w:val="bottom"/>
          </w:tcPr>
          <w:p>
            <w:pPr>
              <w:spacing w:after="0"/>
              <w:rPr>
                <w:sz w:val="1"/>
                <w:szCs w:val="1"/>
                <w:color w:val="auto"/>
              </w:rPr>
            </w:pPr>
          </w:p>
        </w:tc>
      </w:tr>
      <w:tr>
        <w:trPr>
          <w:trHeight w:val="121"/>
        </w:trPr>
        <w:tc>
          <w:tcPr>
            <w:tcW w:w="4740" w:type="dxa"/>
            <w:vAlign w:val="bottom"/>
          </w:tcPr>
          <w:p>
            <w:pPr>
              <w:spacing w:after="0" w:line="121" w:lineRule="exact"/>
              <w:rPr>
                <w:sz w:val="20"/>
                <w:szCs w:val="20"/>
                <w:color w:val="auto"/>
              </w:rPr>
            </w:pPr>
            <w:r>
              <w:rPr>
                <w:rFonts w:ascii="Times New Roman" w:cs="Times New Roman" w:eastAsia="Times New Roman" w:hAnsi="Times New Roman"/>
                <w:sz w:val="14"/>
                <w:szCs w:val="14"/>
                <w:color w:val="212529"/>
              </w:rPr>
              <w:t>Issuance of Class A Ordinary Shares in connection with April 2024 Private</w:t>
            </w:r>
          </w:p>
        </w:tc>
        <w:tc>
          <w:tcPr>
            <w:tcW w:w="8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20,090,128</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55,221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55,223</w:t>
            </w:r>
          </w:p>
        </w:tc>
        <w:tc>
          <w:tcPr>
            <w:tcW w:w="0" w:type="dxa"/>
            <w:vAlign w:val="bottom"/>
          </w:tcPr>
          <w:p>
            <w:pPr>
              <w:spacing w:after="0"/>
              <w:rPr>
                <w:sz w:val="1"/>
                <w:szCs w:val="1"/>
                <w:color w:val="auto"/>
              </w:rPr>
            </w:pPr>
          </w:p>
        </w:tc>
      </w:tr>
      <w:tr>
        <w:trPr>
          <w:trHeight w:val="166"/>
        </w:trPr>
        <w:tc>
          <w:tcPr>
            <w:tcW w:w="4740" w:type="dxa"/>
            <w:vAlign w:val="bottom"/>
          </w:tcPr>
          <w:p>
            <w:pPr>
              <w:ind w:left="120"/>
              <w:spacing w:after="0"/>
              <w:rPr>
                <w:sz w:val="20"/>
                <w:szCs w:val="20"/>
                <w:color w:val="auto"/>
              </w:rPr>
            </w:pPr>
            <w:r>
              <w:rPr>
                <w:rFonts w:ascii="Times New Roman" w:cs="Times New Roman" w:eastAsia="Times New Roman" w:hAnsi="Times New Roman"/>
                <w:sz w:val="14"/>
                <w:szCs w:val="14"/>
                <w:color w:val="212529"/>
              </w:rPr>
              <w:t>Placement, net of $7.2 million of transaction costs</w:t>
            </w: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7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Issuance of Pre-Funded Warrants in connection with April 2024 Private Placement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80" w:type="dxa"/>
            <w:vAlign w:val="bottom"/>
            <w:tcBorders>
              <w:left w:val="single" w:sz="8" w:color="CCEEFF"/>
            </w:tcBorders>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50,030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50,030</w:t>
            </w:r>
          </w:p>
        </w:tc>
        <w:tc>
          <w:tcPr>
            <w:tcW w:w="0" w:type="dxa"/>
            <w:vAlign w:val="bottom"/>
          </w:tcPr>
          <w:p>
            <w:pPr>
              <w:spacing w:after="0"/>
              <w:rPr>
                <w:sz w:val="1"/>
                <w:szCs w:val="1"/>
                <w:color w:val="auto"/>
              </w:rPr>
            </w:pPr>
          </w:p>
        </w:tc>
      </w:tr>
      <w:tr>
        <w:trPr>
          <w:trHeight w:val="144"/>
        </w:trPr>
        <w:tc>
          <w:tcPr>
            <w:tcW w:w="47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Share-based compensation</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8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6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2,926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2,926</w:t>
            </w:r>
          </w:p>
        </w:tc>
        <w:tc>
          <w:tcPr>
            <w:tcW w:w="0" w:type="dxa"/>
            <w:vAlign w:val="bottom"/>
          </w:tcPr>
          <w:p>
            <w:pPr>
              <w:spacing w:after="0"/>
              <w:rPr>
                <w:sz w:val="1"/>
                <w:szCs w:val="1"/>
                <w:color w:val="auto"/>
              </w:rPr>
            </w:pPr>
          </w:p>
        </w:tc>
      </w:tr>
      <w:tr>
        <w:trPr>
          <w:trHeight w:val="144"/>
        </w:trPr>
        <w:tc>
          <w:tcPr>
            <w:tcW w:w="47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Accretion of redeemable noncontrolling interest to redemption value</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2,337</w:t>
            </w: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80" w:type="dxa"/>
            <w:vAlign w:val="bottom"/>
            <w:tcBorders>
              <w:left w:val="single" w:sz="8" w:color="CCEEFF"/>
            </w:tcBorders>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(2,337)</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(2,337)</w:t>
            </w:r>
          </w:p>
        </w:tc>
        <w:tc>
          <w:tcPr>
            <w:tcW w:w="0" w:type="dxa"/>
            <w:vAlign w:val="bottom"/>
          </w:tcPr>
          <w:p>
            <w:pPr>
              <w:spacing w:after="0"/>
              <w:rPr>
                <w:sz w:val="1"/>
                <w:szCs w:val="1"/>
                <w:color w:val="auto"/>
              </w:rPr>
            </w:pPr>
          </w:p>
        </w:tc>
      </w:tr>
      <w:tr>
        <w:trPr>
          <w:trHeight w:val="144"/>
        </w:trPr>
        <w:tc>
          <w:tcPr>
            <w:tcW w:w="47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8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6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(10,329)</w:t>
            </w:r>
          </w:p>
        </w:tc>
        <w:tc>
          <w:tcPr>
            <w:tcW w:w="140" w:type="dxa"/>
            <w:vAlign w:val="bottom"/>
          </w:tcPr>
          <w:p>
            <w:pPr>
              <w:spacing w:after="0"/>
              <w:rPr>
                <w:sz w:val="12"/>
                <w:szCs w:val="12"/>
                <w:color w:val="auto"/>
              </w:rPr>
            </w:pPr>
          </w:p>
        </w:tc>
        <w:tc>
          <w:tcPr>
            <w:tcW w:w="88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(10,329)</w:t>
            </w:r>
          </w:p>
        </w:tc>
        <w:tc>
          <w:tcPr>
            <w:tcW w:w="0" w:type="dxa"/>
            <w:vAlign w:val="bottom"/>
          </w:tcPr>
          <w:p>
            <w:pPr>
              <w:spacing w:after="0"/>
              <w:rPr>
                <w:sz w:val="1"/>
                <w:szCs w:val="1"/>
                <w:color w:val="auto"/>
              </w:rPr>
            </w:pPr>
          </w:p>
        </w:tc>
      </w:tr>
      <w:tr>
        <w:trPr>
          <w:trHeight w:val="137"/>
        </w:trPr>
        <w:tc>
          <w:tcPr>
            <w:tcW w:w="4740" w:type="dxa"/>
            <w:vAlign w:val="bottom"/>
            <w:tcBorders>
              <w:top w:val="single" w:sz="8" w:color="CCEEFF"/>
              <w:bottom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80" w:type="dxa"/>
            <w:vAlign w:val="bottom"/>
            <w:tcBorders>
              <w:top w:val="single" w:sz="8" w:color="auto"/>
              <w:bottom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14,000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000000"/>
          </w:tcPr>
          <w:p>
            <w:pPr>
              <w:spacing w:after="0"/>
              <w:rPr>
                <w:sz w:val="11"/>
                <w:szCs w:val="11"/>
                <w:color w:val="auto"/>
              </w:rPr>
            </w:pPr>
          </w:p>
        </w:tc>
        <w:tc>
          <w:tcPr>
            <w:tcW w:w="740" w:type="dxa"/>
            <w:vAlign w:val="bottom"/>
            <w:tcBorders>
              <w:top w:val="single" w:sz="8" w:color="auto"/>
              <w:left w:val="single" w:sz="8" w:color="CCEEFF"/>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63,683,806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50"/>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w w:val="99"/>
              </w:rPr>
              <w:t>$ 278,086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(121,570)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1,541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158,063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649033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90335" cy="16510"/>
                    </a:xfrm>
                    <a:prstGeom prst="rect">
                      <a:avLst/>
                    </a:prstGeom>
                    <a:noFill/>
                  </pic:spPr>
                </pic:pic>
              </a:graphicData>
            </a:graphic>
          </wp:anchor>
        </w:drawing>
      </w:r>
    </w:p>
    <w:p>
      <w:pPr>
        <w:sectPr>
          <w:pgSz w:w="11900" w:h="16838" w:orient="portrait"/>
          <w:cols w:equalWidth="0" w:num="1">
            <w:col w:w="10820"/>
          </w:cols>
          <w:pgMar w:left="840" w:top="500"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auto"/>
        </w:rPr>
        <w:t>Zura Bio Limited</w:t>
      </w:r>
    </w:p>
    <w:p>
      <w:pPr>
        <w:spacing w:after="0" w:line="1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Redeemable Noncontrolling Interest and Shareholders’ Equity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Six Months Ended June 30,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42"/>
        </w:trPr>
        <w:tc>
          <w:tcPr>
            <w:tcW w:w="3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5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Pr>
          <w:p>
            <w:pPr>
              <w:spacing w:after="0"/>
              <w:rPr>
                <w:sz w:val="3"/>
                <w:szCs w:val="3"/>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5"/>
              </w:rPr>
              <w:t>Noncontrolling</w:t>
            </w: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580" w:type="dxa"/>
            <w:vAlign w:val="bottom"/>
          </w:tcPr>
          <w:p>
            <w:pPr>
              <w:spacing w:after="0"/>
              <w:rPr>
                <w:sz w:val="14"/>
                <w:szCs w:val="14"/>
                <w:color w:val="auto"/>
              </w:rPr>
            </w:pPr>
          </w:p>
        </w:tc>
        <w:tc>
          <w:tcPr>
            <w:tcW w:w="11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w w:val="97"/>
              </w:rPr>
              <w:t>Noncontrolling</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Ordinary 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6"/>
              </w:rPr>
              <w:t>Paid-in</w:t>
            </w:r>
          </w:p>
        </w:tc>
        <w:tc>
          <w:tcPr>
            <w:tcW w:w="960" w:type="dxa"/>
            <w:vAlign w:val="bottom"/>
            <w:gridSpan w:val="3"/>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37"/>
        </w:trPr>
        <w:tc>
          <w:tcPr>
            <w:tcW w:w="35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10"/>
              <w:spacing w:after="0" w:line="137"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00" w:type="dxa"/>
            <w:vAlign w:val="bottom"/>
            <w:tcBorders>
              <w:bottom w:val="single" w:sz="8" w:color="CCEEFF"/>
              <w:right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ind w:right="70"/>
              <w:spacing w:after="0" w:line="137"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30"/>
              <w:spacing w:after="0" w:line="137"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50"/>
              <w:spacing w:after="0" w:line="137"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50"/>
              <w:spacing w:after="0" w:line="137"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50"/>
              <w:spacing w:after="0" w:line="13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90"/>
              <w:spacing w:after="0" w:line="137"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37"/>
        </w:trPr>
        <w:tc>
          <w:tcPr>
            <w:tcW w:w="35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11,663</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w w:val="95"/>
              </w:rPr>
              <w:t>65,297,530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302,705</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(155,897)</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1,541</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148,356</w:t>
            </w:r>
          </w:p>
        </w:tc>
        <w:tc>
          <w:tcPr>
            <w:tcW w:w="0" w:type="dxa"/>
            <w:vAlign w:val="bottom"/>
          </w:tcPr>
          <w:p>
            <w:pPr>
              <w:spacing w:after="0"/>
              <w:rPr>
                <w:sz w:val="1"/>
                <w:szCs w:val="1"/>
                <w:color w:val="auto"/>
              </w:rPr>
            </w:pPr>
          </w:p>
        </w:tc>
      </w:tr>
      <w:tr>
        <w:trPr>
          <w:trHeight w:val="121"/>
        </w:trPr>
        <w:tc>
          <w:tcPr>
            <w:tcW w:w="3580" w:type="dxa"/>
            <w:vAlign w:val="bottom"/>
          </w:tcPr>
          <w:p>
            <w:pPr>
              <w:spacing w:after="0" w:line="121" w:lineRule="exact"/>
              <w:rPr>
                <w:sz w:val="20"/>
                <w:szCs w:val="20"/>
                <w:color w:val="auto"/>
              </w:rPr>
            </w:pPr>
            <w:r>
              <w:rPr>
                <w:rFonts w:ascii="Times New Roman" w:cs="Times New Roman" w:eastAsia="Times New Roman" w:hAnsi="Times New Roman"/>
                <w:sz w:val="14"/>
                <w:szCs w:val="14"/>
                <w:color w:val="auto"/>
              </w:rPr>
              <w:t>Issuance of Class A Ordinary Shares in connection with a sale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5,093</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5,093</w:t>
            </w:r>
          </w:p>
        </w:tc>
        <w:tc>
          <w:tcPr>
            <w:tcW w:w="0" w:type="dxa"/>
            <w:vAlign w:val="bottom"/>
          </w:tcPr>
          <w:p>
            <w:pPr>
              <w:spacing w:after="0"/>
              <w:rPr>
                <w:sz w:val="1"/>
                <w:szCs w:val="1"/>
                <w:color w:val="auto"/>
              </w:rPr>
            </w:pPr>
          </w:p>
        </w:tc>
      </w:tr>
      <w:tr>
        <w:trPr>
          <w:trHeight w:val="166"/>
        </w:trPr>
        <w:tc>
          <w:tcPr>
            <w:tcW w:w="3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under the ATM, net of $0.2 million of commissions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8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rPr>
              <w:t>Issuance of Pre-Funded Warrants in exchange for Class A</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(6,500,000)</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Ordinary Shares</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80" w:type="dxa"/>
            <w:vAlign w:val="bottom"/>
          </w:tcPr>
          <w:p>
            <w:pPr>
              <w:spacing w:after="0" w:line="121" w:lineRule="exact"/>
              <w:rPr>
                <w:sz w:val="20"/>
                <w:szCs w:val="20"/>
                <w:color w:val="auto"/>
              </w:rPr>
            </w:pPr>
            <w:r>
              <w:rPr>
                <w:rFonts w:ascii="Times New Roman" w:cs="Times New Roman" w:eastAsia="Times New Roman" w:hAnsi="Times New Roman"/>
                <w:sz w:val="14"/>
                <w:szCs w:val="14"/>
                <w:color w:val="auto"/>
              </w:rPr>
              <w:t>Issuance of Class A Ordinary Shares for stock option exercises</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266,740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66"/>
        </w:trPr>
        <w:tc>
          <w:tcPr>
            <w:tcW w:w="3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 restricted stock units, net of shares withheld for taxes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Share-based compensation</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7,376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7,376</w:t>
            </w:r>
          </w:p>
        </w:tc>
        <w:tc>
          <w:tcPr>
            <w:tcW w:w="0" w:type="dxa"/>
            <w:vAlign w:val="bottom"/>
          </w:tcPr>
          <w:p>
            <w:pPr>
              <w:spacing w:after="0"/>
              <w:rPr>
                <w:sz w:val="1"/>
                <w:szCs w:val="1"/>
                <w:color w:val="auto"/>
              </w:rPr>
            </w:pPr>
          </w:p>
        </w:tc>
      </w:tr>
      <w:tr>
        <w:trPr>
          <w:trHeight w:val="144"/>
        </w:trPr>
        <w:tc>
          <w:tcPr>
            <w:tcW w:w="3580" w:type="dxa"/>
            <w:vAlign w:val="bottom"/>
            <w:tcBorders>
              <w:bottom w:val="single" w:sz="8" w:color="CCEEFF"/>
            </w:tcBorders>
          </w:tcPr>
          <w:p>
            <w:pPr>
              <w:spacing w:after="0" w:line="144" w:lineRule="exact"/>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right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(33,435)</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(33,435)</w:t>
            </w:r>
          </w:p>
        </w:tc>
        <w:tc>
          <w:tcPr>
            <w:tcW w:w="0" w:type="dxa"/>
            <w:vAlign w:val="bottom"/>
          </w:tcPr>
          <w:p>
            <w:pPr>
              <w:spacing w:after="0"/>
              <w:rPr>
                <w:sz w:val="1"/>
                <w:szCs w:val="1"/>
                <w:color w:val="auto"/>
              </w:rPr>
            </w:pPr>
          </w:p>
        </w:tc>
      </w:tr>
      <w:tr>
        <w:trPr>
          <w:trHeight w:val="137"/>
        </w:trPr>
        <w:tc>
          <w:tcPr>
            <w:tcW w:w="3580" w:type="dxa"/>
            <w:vAlign w:val="bottom"/>
            <w:tcBorders>
              <w:bottom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11,663</w:t>
            </w: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w w:val="95"/>
              </w:rPr>
              <w:t>62,064,270</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6</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315,231</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(189,332)</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1,541</w:t>
            </w:r>
          </w:p>
        </w:tc>
        <w:tc>
          <w:tcPr>
            <w:tcW w:w="1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127,446</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580" w:type="dxa"/>
            <w:vAlign w:val="bottom"/>
          </w:tcPr>
          <w:p>
            <w:pPr>
              <w:spacing w:after="0"/>
              <w:rPr>
                <w:sz w:val="24"/>
                <w:szCs w:val="24"/>
                <w:color w:val="auto"/>
              </w:rPr>
            </w:pPr>
          </w:p>
        </w:tc>
        <w:tc>
          <w:tcPr>
            <w:tcW w:w="3040" w:type="dxa"/>
            <w:vAlign w:val="bottom"/>
            <w:gridSpan w:val="11"/>
          </w:tcPr>
          <w:p>
            <w:pPr>
              <w:jc w:val="right"/>
              <w:spacing w:after="0"/>
              <w:rPr>
                <w:sz w:val="20"/>
                <w:szCs w:val="20"/>
                <w:color w:val="auto"/>
              </w:rPr>
            </w:pPr>
            <w:r>
              <w:rPr>
                <w:rFonts w:ascii="Times New Roman" w:cs="Times New Roman" w:eastAsia="Times New Roman" w:hAnsi="Times New Roman"/>
                <w:sz w:val="17"/>
                <w:szCs w:val="17"/>
                <w:b w:val="1"/>
                <w:bCs w:val="1"/>
                <w:color w:val="auto"/>
              </w:rPr>
              <w:t>For the Six Months Ended June 30, 2024</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Pr>
          <w:p>
            <w:pPr>
              <w:spacing w:after="0"/>
              <w:rPr>
                <w:sz w:val="13"/>
                <w:szCs w:val="13"/>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5"/>
              </w:rPr>
              <w:t>Noncontrolling</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580" w:type="dxa"/>
            <w:vAlign w:val="bottom"/>
          </w:tcPr>
          <w:p>
            <w:pPr>
              <w:spacing w:after="0"/>
              <w:rPr>
                <w:sz w:val="14"/>
                <w:szCs w:val="14"/>
                <w:color w:val="auto"/>
              </w:rPr>
            </w:pPr>
          </w:p>
        </w:tc>
        <w:tc>
          <w:tcPr>
            <w:tcW w:w="11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w w:val="97"/>
              </w:rPr>
              <w:t>Noncontrolling</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Ordinary 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6"/>
              </w:rPr>
              <w:t>Paid-in</w:t>
            </w:r>
          </w:p>
        </w:tc>
        <w:tc>
          <w:tcPr>
            <w:tcW w:w="960" w:type="dxa"/>
            <w:vAlign w:val="bottom"/>
            <w:gridSpan w:val="3"/>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37"/>
        </w:trPr>
        <w:tc>
          <w:tcPr>
            <w:tcW w:w="35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10"/>
              <w:spacing w:after="0" w:line="137"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00" w:type="dxa"/>
            <w:vAlign w:val="bottom"/>
            <w:tcBorders>
              <w:bottom w:val="single" w:sz="8" w:color="CCEEFF"/>
              <w:right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ind w:right="70"/>
              <w:spacing w:after="0" w:line="137"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30"/>
              <w:spacing w:after="0" w:line="137"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50"/>
              <w:spacing w:after="0" w:line="137"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50"/>
              <w:spacing w:after="0" w:line="137"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50"/>
              <w:spacing w:after="0" w:line="13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90"/>
              <w:spacing w:after="0" w:line="137"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37"/>
        </w:trPr>
        <w:tc>
          <w:tcPr>
            <w:tcW w:w="35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18,680</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w w:val="95"/>
              </w:rPr>
              <w:t>43,593,678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162,820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(103,494)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1,541</w:t>
            </w:r>
          </w:p>
        </w:tc>
        <w:tc>
          <w:tcPr>
            <w:tcW w:w="160" w:type="dxa"/>
            <w:vAlign w:val="bottom"/>
            <w:gridSpan w:val="2"/>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60,871</w:t>
            </w:r>
          </w:p>
        </w:tc>
        <w:tc>
          <w:tcPr>
            <w:tcW w:w="0" w:type="dxa"/>
            <w:vAlign w:val="bottom"/>
          </w:tcPr>
          <w:p>
            <w:pPr>
              <w:spacing w:after="0"/>
              <w:rPr>
                <w:sz w:val="1"/>
                <w:szCs w:val="1"/>
                <w:color w:val="auto"/>
              </w:rPr>
            </w:pPr>
          </w:p>
        </w:tc>
      </w:tr>
      <w:tr>
        <w:trPr>
          <w:trHeight w:val="121"/>
        </w:trPr>
        <w:tc>
          <w:tcPr>
            <w:tcW w:w="3580" w:type="dxa"/>
            <w:vAlign w:val="bottom"/>
          </w:tcPr>
          <w:p>
            <w:pPr>
              <w:spacing w:after="0" w:line="121" w:lineRule="exact"/>
              <w:rPr>
                <w:sz w:val="20"/>
                <w:szCs w:val="20"/>
                <w:color w:val="auto"/>
              </w:rPr>
            </w:pPr>
            <w:r>
              <w:rPr>
                <w:rFonts w:ascii="Times New Roman" w:cs="Times New Roman" w:eastAsia="Times New Roman" w:hAnsi="Times New Roman"/>
                <w:sz w:val="14"/>
                <w:szCs w:val="14"/>
                <w:color w:val="auto"/>
              </w:rPr>
              <w:t>Issuance of Class A Ordinary Shares in connection with April</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80" w:type="dxa"/>
            <w:vAlign w:val="bottom"/>
          </w:tcPr>
          <w:p>
            <w:pPr>
              <w:ind w:left="120"/>
              <w:spacing w:after="0" w:line="144" w:lineRule="exact"/>
              <w:rPr>
                <w:sz w:val="20"/>
                <w:szCs w:val="20"/>
                <w:color w:val="auto"/>
              </w:rPr>
            </w:pPr>
            <w:r>
              <w:rPr>
                <w:rFonts w:ascii="Times New Roman" w:cs="Times New Roman" w:eastAsia="Times New Roman" w:hAnsi="Times New Roman"/>
                <w:sz w:val="14"/>
                <w:szCs w:val="14"/>
                <w:color w:val="auto"/>
              </w:rPr>
              <w:t>2024 Private Placement, net of $7.2 million of transaction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20,090,128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55,221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55,223</w:t>
            </w:r>
          </w:p>
        </w:tc>
        <w:tc>
          <w:tcPr>
            <w:tcW w:w="0" w:type="dxa"/>
            <w:vAlign w:val="bottom"/>
          </w:tcPr>
          <w:p>
            <w:pPr>
              <w:spacing w:after="0"/>
              <w:rPr>
                <w:sz w:val="1"/>
                <w:szCs w:val="1"/>
                <w:color w:val="auto"/>
              </w:rPr>
            </w:pPr>
          </w:p>
        </w:tc>
      </w:tr>
      <w:tr>
        <w:trPr>
          <w:trHeight w:val="166"/>
        </w:trPr>
        <w:tc>
          <w:tcPr>
            <w:tcW w:w="3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8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w w:val="99"/>
              </w:rPr>
              <w:t>Issuance of Pre-Funded Warrants in connection with April 2024</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50,030</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50,030</w:t>
            </w:r>
          </w:p>
        </w:tc>
        <w:tc>
          <w:tcPr>
            <w:tcW w:w="0" w:type="dxa"/>
            <w:vAlign w:val="bottom"/>
          </w:tcPr>
          <w:p>
            <w:pPr>
              <w:spacing w:after="0"/>
              <w:rPr>
                <w:sz w:val="1"/>
                <w:szCs w:val="1"/>
                <w:color w:val="auto"/>
              </w:rPr>
            </w:pPr>
          </w:p>
        </w:tc>
      </w:tr>
      <w:tr>
        <w:trPr>
          <w:trHeight w:val="166"/>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Private Placement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5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Share-based compensation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5,335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5,335</w:t>
            </w:r>
          </w:p>
        </w:tc>
        <w:tc>
          <w:tcPr>
            <w:tcW w:w="0" w:type="dxa"/>
            <w:vAlign w:val="bottom"/>
          </w:tcPr>
          <w:p>
            <w:pPr>
              <w:spacing w:after="0"/>
              <w:rPr>
                <w:sz w:val="1"/>
                <w:szCs w:val="1"/>
                <w:color w:val="auto"/>
              </w:rPr>
            </w:pPr>
          </w:p>
        </w:tc>
      </w:tr>
      <w:tr>
        <w:trPr>
          <w:trHeight w:val="121"/>
        </w:trPr>
        <w:tc>
          <w:tcPr>
            <w:tcW w:w="358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rPr>
              <w:t>Adjustment of redeemable noncontrolling interest from</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(7,017)</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7,017</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7,017</w:t>
            </w:r>
          </w:p>
        </w:tc>
        <w:tc>
          <w:tcPr>
            <w:tcW w:w="0" w:type="dxa"/>
            <w:vAlign w:val="bottom"/>
          </w:tcPr>
          <w:p>
            <w:pPr>
              <w:spacing w:after="0"/>
              <w:rPr>
                <w:sz w:val="1"/>
                <w:szCs w:val="1"/>
                <w:color w:val="auto"/>
              </w:rPr>
            </w:pPr>
          </w:p>
        </w:tc>
      </w:tr>
      <w:tr>
        <w:trPr>
          <w:trHeight w:val="166"/>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redemption value to carrying value</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80" w:type="dxa"/>
            <w:vAlign w:val="bottom"/>
          </w:tcPr>
          <w:p>
            <w:pPr>
              <w:spacing w:after="0" w:line="121" w:lineRule="exact"/>
              <w:rPr>
                <w:sz w:val="20"/>
                <w:szCs w:val="20"/>
                <w:color w:val="auto"/>
              </w:rPr>
            </w:pPr>
            <w:r>
              <w:rPr>
                <w:rFonts w:ascii="Times New Roman" w:cs="Times New Roman" w:eastAsia="Times New Roman" w:hAnsi="Times New Roman"/>
                <w:sz w:val="14"/>
                <w:szCs w:val="14"/>
                <w:color w:val="auto"/>
              </w:rPr>
              <w:t>Accretion of redeemable noncontrolling interest to redemption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0" w:type="dxa"/>
            <w:vAlign w:val="bottom"/>
          </w:tcPr>
          <w:p>
            <w:pPr>
              <w:spacing w:after="0"/>
              <w:rPr>
                <w:sz w:val="1"/>
                <w:szCs w:val="1"/>
                <w:color w:val="auto"/>
              </w:rPr>
            </w:pPr>
          </w:p>
        </w:tc>
      </w:tr>
      <w:tr>
        <w:trPr>
          <w:trHeight w:val="166"/>
        </w:trPr>
        <w:tc>
          <w:tcPr>
            <w:tcW w:w="3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value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Net loss</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(18,076)</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(18,076)</w:t>
            </w:r>
          </w:p>
        </w:tc>
        <w:tc>
          <w:tcPr>
            <w:tcW w:w="0" w:type="dxa"/>
            <w:vAlign w:val="bottom"/>
          </w:tcPr>
          <w:p>
            <w:pPr>
              <w:spacing w:after="0"/>
              <w:rPr>
                <w:sz w:val="1"/>
                <w:szCs w:val="1"/>
                <w:color w:val="auto"/>
              </w:rPr>
            </w:pPr>
          </w:p>
        </w:tc>
      </w:tr>
      <w:tr>
        <w:trPr>
          <w:trHeight w:val="137"/>
        </w:trPr>
        <w:tc>
          <w:tcPr>
            <w:tcW w:w="3580" w:type="dxa"/>
            <w:vAlign w:val="bottom"/>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220" w:type="dxa"/>
            <w:vAlign w:val="bottom"/>
          </w:tcPr>
          <w:p>
            <w:pPr>
              <w:spacing w:after="0"/>
              <w:rPr>
                <w:sz w:val="11"/>
                <w:szCs w:val="11"/>
                <w:color w:val="auto"/>
              </w:rPr>
            </w:pPr>
          </w:p>
        </w:tc>
        <w:tc>
          <w:tcPr>
            <w:tcW w:w="80" w:type="dxa"/>
            <w:vAlign w:val="bottom"/>
          </w:tcPr>
          <w:p>
            <w:pPr>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14,000</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w w:val="95"/>
              </w:rPr>
              <w:t>63,683,806</w:t>
            </w:r>
          </w:p>
        </w:tc>
        <w:tc>
          <w:tcPr>
            <w:tcW w:w="1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6</w:t>
            </w:r>
          </w:p>
        </w:tc>
        <w:tc>
          <w:tcPr>
            <w:tcW w:w="140" w:type="dxa"/>
            <w:vAlign w:val="bottom"/>
          </w:tcPr>
          <w:p>
            <w:pPr>
              <w:spacing w:after="0"/>
              <w:rPr>
                <w:sz w:val="11"/>
                <w:szCs w:val="11"/>
                <w:color w:val="auto"/>
              </w:rPr>
            </w:pPr>
          </w:p>
        </w:tc>
        <w:tc>
          <w:tcPr>
            <w:tcW w:w="12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278,086</w:t>
            </w:r>
          </w:p>
        </w:tc>
        <w:tc>
          <w:tcPr>
            <w:tcW w:w="140" w:type="dxa"/>
            <w:vAlign w:val="bottom"/>
          </w:tcPr>
          <w:p>
            <w:pPr>
              <w:spacing w:after="0"/>
              <w:rPr>
                <w:sz w:val="11"/>
                <w:szCs w:val="11"/>
                <w:color w:val="auto"/>
              </w:rPr>
            </w:pPr>
          </w:p>
        </w:tc>
        <w:tc>
          <w:tcPr>
            <w:tcW w:w="140" w:type="dxa"/>
            <w:vAlign w:val="bottom"/>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(121,570)</w:t>
            </w:r>
          </w:p>
        </w:tc>
        <w:tc>
          <w:tcPr>
            <w:tcW w:w="140" w:type="dxa"/>
            <w:vAlign w:val="bottom"/>
          </w:tcPr>
          <w:p>
            <w:pPr>
              <w:spacing w:after="0"/>
              <w:rPr>
                <w:sz w:val="11"/>
                <w:szCs w:val="11"/>
                <w:color w:val="auto"/>
              </w:rPr>
            </w:pPr>
          </w:p>
        </w:tc>
        <w:tc>
          <w:tcPr>
            <w:tcW w:w="140" w:type="dxa"/>
            <w:vAlign w:val="bottom"/>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1,541</w:t>
            </w:r>
          </w:p>
        </w:tc>
        <w:tc>
          <w:tcPr>
            <w:tcW w:w="160" w:type="dxa"/>
            <w:vAlign w:val="bottom"/>
            <w:gridSpan w:val="2"/>
          </w:tcPr>
          <w:p>
            <w:pPr>
              <w:spacing w:after="0"/>
              <w:rPr>
                <w:sz w:val="11"/>
                <w:szCs w:val="11"/>
                <w:color w:val="auto"/>
              </w:rPr>
            </w:pPr>
          </w:p>
        </w:tc>
        <w:tc>
          <w:tcPr>
            <w:tcW w:w="140" w:type="dxa"/>
            <w:vAlign w:val="bottom"/>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158,063</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649033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90335" cy="16510"/>
                    </a:xfrm>
                    <a:prstGeom prst="rect">
                      <a:avLst/>
                    </a:prstGeom>
                    <a:noFill/>
                  </pic:spPr>
                </pic:pic>
              </a:graphicData>
            </a:graphic>
          </wp:anchor>
        </w:drawing>
      </w:r>
    </w:p>
    <w:p>
      <w:pPr>
        <w:sectPr>
          <w:pgSz w:w="11900" w:h="16838" w:orient="portrait"/>
          <w:cols w:equalWidth="0" w:num="1">
            <w:col w:w="10220"/>
          </w:cols>
          <w:pgMar w:left="840" w:top="500" w:right="8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auto"/>
        </w:rPr>
        <w:t>Zura Bio Limited</w:t>
      </w:r>
    </w:p>
    <w:p>
      <w:pPr>
        <w:spacing w:after="0" w:line="18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3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2060" w:type="dxa"/>
            <w:vAlign w:val="bottom"/>
            <w:gridSpan w:val="6"/>
          </w:tcPr>
          <w:p>
            <w:pPr>
              <w:ind w:left="80"/>
              <w:spacing w:after="0"/>
              <w:rPr>
                <w:sz w:val="20"/>
                <w:szCs w:val="20"/>
                <w:color w:val="auto"/>
              </w:rPr>
            </w:pPr>
            <w:r>
              <w:rPr>
                <w:rFonts w:ascii="Times New Roman" w:cs="Times New Roman" w:eastAsia="Times New Roman" w:hAnsi="Times New Roman"/>
                <w:sz w:val="13"/>
                <w:szCs w:val="13"/>
                <w:b w:val="1"/>
                <w:bCs w:val="1"/>
                <w:color w:val="auto"/>
                <w:w w:val="99"/>
              </w:rPr>
              <w:t>For the Six Months Ended June 30,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9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75"/>
              <w:spacing w:after="0" w:line="137" w:lineRule="exact"/>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55"/>
              <w:spacing w:after="0" w:line="137" w:lineRule="exact"/>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9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Net loss</w:t>
            </w:r>
          </w:p>
        </w:tc>
        <w:tc>
          <w:tcPr>
            <w:tcW w:w="26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(33,435)</w:t>
            </w:r>
          </w:p>
        </w:tc>
        <w:tc>
          <w:tcPr>
            <w:tcW w:w="360" w:type="dxa"/>
            <w:vAlign w:val="bottom"/>
            <w:gridSpan w:val="2"/>
          </w:tcPr>
          <w:p>
            <w:pPr>
              <w:jc w:val="right"/>
              <w:ind w:right="86"/>
              <w:spacing w:after="0" w:line="144"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(18,076)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Adjustments to reconcile net loss before redeemable noncontrolling interest to net cash used in operating activities</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7,376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5,335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Change in fair value of private placement warrants</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1,374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Foreign exchange transaction loss (gain)</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67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shd w:val="clear" w:color="auto" w:fill="CCEEFF"/>
          </w:tcPr>
          <w:p>
            <w:pPr>
              <w:ind w:left="200"/>
              <w:spacing w:after="0" w:line="144"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(249)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tcBorders>
              <w:bottom w:val="single" w:sz="8" w:color="CCEEFF"/>
            </w:tcBorders>
          </w:tcPr>
          <w:p>
            <w:pPr>
              <w:ind w:left="200"/>
              <w:spacing w:after="0" w:line="144" w:lineRule="exact"/>
              <w:rPr>
                <w:sz w:val="20"/>
                <w:szCs w:val="20"/>
                <w:color w:val="auto"/>
              </w:rPr>
            </w:pPr>
            <w:r>
              <w:rPr>
                <w:rFonts w:ascii="Times New Roman" w:cs="Times New Roman" w:eastAsia="Times New Roman" w:hAnsi="Times New Roman"/>
                <w:sz w:val="13"/>
                <w:szCs w:val="13"/>
                <w:color w:val="auto"/>
              </w:rPr>
              <w:t>Accounts payable and accrued expenses</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(872)</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(213)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9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(27,093)</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(11,599)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Purchase of property and equipment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(64)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tcBorders>
              <w:bottom w:val="single" w:sz="8" w:color="CCEEFF"/>
            </w:tcBorders>
          </w:tcPr>
          <w:p>
            <w:pPr>
              <w:ind w:left="80"/>
              <w:spacing w:after="0" w:line="144" w:lineRule="exact"/>
              <w:rPr>
                <w:sz w:val="20"/>
                <w:szCs w:val="20"/>
                <w:color w:val="auto"/>
              </w:rPr>
            </w:pPr>
            <w:r>
              <w:rPr>
                <w:rFonts w:ascii="Times New Roman" w:cs="Times New Roman" w:eastAsia="Times New Roman" w:hAnsi="Times New Roman"/>
                <w:sz w:val="13"/>
                <w:szCs w:val="13"/>
                <w:color w:val="auto"/>
              </w:rPr>
              <w:t>Purchase of research and development license</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(5,000)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9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(64)</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(5,017)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Proceeds from issuance of Class A Ordinary Shares in connection with a sale under the ATM, net of $0.2 million of commissions</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5,093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Proceeds from exercise of stock options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Restricted stock units withheld to pay employee withholding taxes</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(34)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212529"/>
                <w:w w:val="99"/>
              </w:rPr>
              <w:t>Proceeds from issuance of Class A Ordinary Shares in connection with April 2024 Private Placement, net of $7.2 million of transaction costs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55,223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Proceeds from issuance of Pre-Funded Warrants in connection with April 2024 Private Placement</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50,030</w:t>
            </w:r>
          </w:p>
        </w:tc>
        <w:tc>
          <w:tcPr>
            <w:tcW w:w="0" w:type="dxa"/>
            <w:vAlign w:val="bottom"/>
          </w:tcPr>
          <w:p>
            <w:pPr>
              <w:spacing w:after="0"/>
              <w:rPr>
                <w:sz w:val="1"/>
                <w:szCs w:val="1"/>
                <w:color w:val="auto"/>
              </w:rPr>
            </w:pPr>
          </w:p>
        </w:tc>
      </w:tr>
      <w:tr>
        <w:trPr>
          <w:trHeight w:val="137"/>
        </w:trPr>
        <w:tc>
          <w:tcPr>
            <w:tcW w:w="792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5,149</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105,253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90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Net (decrease) increase in cash and cash equivalents</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(22,008)</w:t>
            </w: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88,637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tcBorders>
              <w:bottom w:val="single" w:sz="8" w:color="CCEEFF"/>
            </w:tcBorders>
          </w:tcPr>
          <w:p>
            <w:pPr>
              <w:spacing w:after="0" w:line="144" w:lineRule="exact"/>
              <w:rPr>
                <w:sz w:val="20"/>
                <w:szCs w:val="20"/>
                <w:color w:val="auto"/>
              </w:rPr>
            </w:pPr>
            <w:r>
              <w:rPr>
                <w:rFonts w:ascii="Times New Roman" w:cs="Times New Roman" w:eastAsia="Times New Roman" w:hAnsi="Times New Roman"/>
                <w:sz w:val="13"/>
                <w:szCs w:val="13"/>
                <w:color w:val="auto"/>
              </w:rPr>
              <w:t>Cash and cash equivalents, beginning of period</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176,498</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99,806</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900" w:type="dxa"/>
            <w:vAlign w:val="bottom"/>
            <w:tcBorders>
              <w:bottom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Cash and cash equivalents, ending of period</w:t>
            </w: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154,490</w:t>
            </w:r>
          </w:p>
        </w:tc>
        <w:tc>
          <w:tcPr>
            <w:tcW w:w="1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188,443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7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9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Supplemental Disclosure</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Cash paid for taxes</w:t>
            </w:r>
          </w:p>
        </w:tc>
        <w:tc>
          <w:tcPr>
            <w:tcW w:w="26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86"/>
              <w:spacing w:after="0" w:line="144"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Cash paid for interest</w:t>
            </w:r>
          </w:p>
        </w:tc>
        <w:tc>
          <w:tcPr>
            <w:tcW w:w="260" w:type="dxa"/>
            <w:vAlign w:val="bottom"/>
            <w:gridSpan w:val="2"/>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86"/>
              <w:spacing w:after="0" w:line="144"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9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Adjustment of redeemable noncontrolling interest from redemption value to carrying value</w:t>
            </w:r>
          </w:p>
        </w:tc>
        <w:tc>
          <w:tcPr>
            <w:tcW w:w="26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86"/>
              <w:spacing w:after="0" w:line="144"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7,017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Accretion of redeemable noncontrolling interest to redemption value</w:t>
            </w:r>
          </w:p>
        </w:tc>
        <w:tc>
          <w:tcPr>
            <w:tcW w:w="260" w:type="dxa"/>
            <w:vAlign w:val="bottom"/>
            <w:gridSpan w:val="2"/>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86"/>
              <w:spacing w:after="0" w:line="144"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2,337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Purchase of property and equipment included in accounts payable and accrued expenses</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360" w:type="dxa"/>
            <w:vAlign w:val="bottom"/>
            <w:gridSpan w:val="2"/>
          </w:tcPr>
          <w:p>
            <w:pPr>
              <w:jc w:val="right"/>
              <w:ind w:right="8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24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80"/>
          </w:cols>
          <w:pgMar w:left="980" w:top="500" w:right="9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Zura Bio Limited</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22" w:lineRule="exact"/>
        <w:rPr>
          <w:sz w:val="20"/>
          <w:szCs w:val="20"/>
          <w:color w:val="auto"/>
        </w:rPr>
      </w:pPr>
    </w:p>
    <w:p>
      <w:pPr>
        <w:ind w:left="320" w:hanging="315"/>
        <w:spacing w:after="0"/>
        <w:tabs>
          <w:tab w:leader="none" w:pos="3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and Description of Business</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Zura Bio Limited, a Cayman Islands exempted company, formerly known as JATT Acquisition Corp (“JATT”), together with its subsidiaries (collectively, the “Company”, “Zura” or “Zura Bio”), is a clinical-stage, multi-asset immunology company dedicated to developing novel dual-pathway antibodies for a range of autoimmune and inflammatory diseases with unmet needs. The Company’s strategic focus is to harness dual-pathway biology to provide broader and deeper clinical benefits to patients with these conditions. The Company is currently developing one clinical-stage product candidate in ongoing Phase 2 trials while actively evaluating development opportunities for its pipeline of clinical-stage assets, focusing on indications with unmet needs and commercial potential.</w:t>
      </w:r>
    </w:p>
    <w:p>
      <w:pPr>
        <w:spacing w:after="0" w:line="17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 Company is currently developing tibulizumab (ZB - 106), an immunoglobulin G (IgG)-single-chain variable fragment (scFv) bispecific dual-antagonist antibody engineered by the fusion of TALTZ® (ixekizumab) and tabalumab to neutralize interleukin-17A (IL - 17A) and B-cell activating factor (BAFF).</w:t>
      </w:r>
    </w:p>
    <w:p>
      <w:pPr>
        <w:spacing w:after="0" w:line="163" w:lineRule="exact"/>
        <w:rPr>
          <w:sz w:val="20"/>
          <w:szCs w:val="20"/>
          <w:color w:val="auto"/>
        </w:rPr>
      </w:pPr>
    </w:p>
    <w:p>
      <w:pPr>
        <w:jc w:val="both"/>
        <w:ind w:left="660" w:right="20" w:hanging="315"/>
        <w:spacing w:after="0" w:line="275"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May 2025, the Company initiated TibuSHIELD, a global Phase 2 clinical study evaluating tibulizumab in adults with moderate to severe hidradenitis suppurativa (HS). TibuSHIELD is a randomized, double-blind, placebo-controlled study designed to assess the safety, tolerability, and efficacy of tibulizumab in approximately 180 adults with moderate to severe HS.</w:t>
      </w:r>
    </w:p>
    <w:p>
      <w:pPr>
        <w:spacing w:after="0" w:line="163" w:lineRule="exact"/>
        <w:rPr>
          <w:rFonts w:ascii="Times New Roman" w:cs="Times New Roman" w:eastAsia="Times New Roman" w:hAnsi="Times New Roman"/>
          <w:sz w:val="17"/>
          <w:szCs w:val="17"/>
          <w:color w:val="auto"/>
        </w:rPr>
      </w:pPr>
    </w:p>
    <w:p>
      <w:pPr>
        <w:jc w:val="both"/>
        <w:ind w:left="660" w:hanging="315"/>
        <w:spacing w:after="0" w:line="275"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2024, the Company initiated TibuSURE, a global Phase 2 clinical study evaluating tibulizumab in adults with systemic sclerosis (SSc). TibuSURE is a randomized, double-blind, placebo-controlled study designed to assess the safety, tolerability, and efficacy of tibulizumab in approximately 80 participants with early diffuse cutaneous systemic sclerosis (dcSSc).</w:t>
      </w:r>
    </w:p>
    <w:p>
      <w:pPr>
        <w:spacing w:after="0" w:line="163"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Additionally, the Company is actively assessing the competitive landscape and evaluating potential therapeutic indications for crebankitug and torudokimab.</w:t>
      </w:r>
    </w:p>
    <w:p>
      <w:pPr>
        <w:spacing w:after="0" w:line="146" w:lineRule="exact"/>
        <w:rPr>
          <w:sz w:val="20"/>
          <w:szCs w:val="20"/>
          <w:color w:val="auto"/>
        </w:rPr>
      </w:pPr>
    </w:p>
    <w:p>
      <w:pPr>
        <w:jc w:val="both"/>
        <w:ind w:left="660" w:hanging="315"/>
        <w:spacing w:after="0" w:line="269"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Crebankitug (ZB-168) is a fully human, high affinity monoclonal antibody that binds and neutralizes the interleukin-7 receptor (IL-7R) alpha chain. IL-7Rα sits at the nexus of two key immune pathways, IL-7 and thymic stromal lymphopoietin (TSLP), thus IL-7Rα has the potential to block activation through either of these pathways. As a result, the Company believes crebankitug could be therapeutically relevant in a broad set of indications where the IL-7 or TSLP pathways may be involved.</w:t>
      </w:r>
    </w:p>
    <w:p>
      <w:pPr>
        <w:spacing w:after="0" w:line="167" w:lineRule="exact"/>
        <w:rPr>
          <w:rFonts w:ascii="Times New Roman" w:cs="Times New Roman" w:eastAsia="Times New Roman" w:hAnsi="Times New Roman"/>
          <w:sz w:val="17"/>
          <w:szCs w:val="17"/>
          <w:color w:val="auto"/>
        </w:rPr>
      </w:pPr>
    </w:p>
    <w:p>
      <w:pPr>
        <w:jc w:val="both"/>
        <w:ind w:left="660" w:hanging="315"/>
        <w:spacing w:after="0" w:line="266"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Torudokimab (ZB-880) is a fully human, high affinity monoclonal antibody that neutralizes interleukin-33 (IL-33), thereby inhibiting ST2-dependent inflammatory signaling and potentially modulating ST2-independent pathways, such as those mediated by the receptor for advanced glycation end products (RAGE). The IL-33/ST2 axis is supported by genetic evidence and is being actively investigated as a therapeutic target in inflammatory diseases, with development programs in asthma and ongoing evaluation in chronic obstructive pulmonary disease (“COPD”).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w:t>
      </w:r>
    </w:p>
    <w:p>
      <w:pPr>
        <w:spacing w:after="0" w:line="2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March 20, 2023 (the “Closing Date”), the Company consummated the previously announced business combination (the “Business Combination”), pursuant to the terms of a business combination agreement (the “Business Combination Agreement”), dated as of June 16, 2022 (as amended on September 20, 2022, November 14, 2022, and January 13, 2023), by and among JATT, JATT Merger Sub, JATT Merger Sub 2, Zura Bio Holdings Ltd. (“Holdco”), and Legacy Zura. Pursuant to the Business Combination Agreement, (a) before the closing of the Business Combination, Holdco was established as a new holding company of Legacy Zura and became a party to the Business Combination Agreement; and (b) on the Closing Date, in sequential order: (i) Merger Sub merged with and into Holdco, with Holdco continuing as the surviving company and a wholly owned subsidiary of JATT; (ii) immediately following the Merger, Holdco merged with and into Merger Sub 2, with Merger Sub 2 continuing as the surviving company and a wholly owned subsidiary of JATT; and (iii) JATT changed its name to “Zura Bio Limited”.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Prior to the Business Combination, JATT’s public shares, public warrants, and public units were listed on the New York Stock Exchange (“NYSE”) under the symbols “JATT,” “JATT.WS,” and “JATT.U,” respectively. On March 20, 2023, the Company’s Class A ordinary shares (“Class A Ordinary Shares”) and public warrants began trading on the Nasdaq Stock Market (“Nasdaq”) under the symbols “ZURA” and “ZURAW,” respectively. As of August 27, 2024, the Public Warrants (as defined herein) were no longer listed on the Nasdaq in connection with the completion of the Warrant Exchange (as defined herein). See Note 7.</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Emerging Growth Company Status</w:t>
      </w:r>
    </w:p>
    <w:p>
      <w:pPr>
        <w:spacing w:after="0" w:line="22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the extended transition period for complying with new or revised accounting standards, and as a result of this election, the condensed consolidated financial statements may not be comparable to companies that comply with public company Financial Accounting Standards Board (“FASB”) standards’ effective dates. The Company may take advantage of these exemptions up until the last day of the fiscal year following the fifth anniversary of an offering or such earlier time that it is no longer an emerging growth company. The Company expects to no longer be an emerging growth company effective December 31, 2026.</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w:t>
      </w:r>
    </w:p>
    <w:p>
      <w:pPr>
        <w:spacing w:after="0" w:line="2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has incurred operating losses since inception and expects to continue to incur significant operating losses for the foreseeable future and may never become profitable. The Company has an accumulated deficit of $189.3 million and $155.9 million as of June 30, 2025 and December 31, 2024, respectively, and a net loss of $16.0 million and $33.4 million for the three and six months ended June 30, 2025, respectively. The Company’s existing sources of liquidity as of June 30, 2025 include $154.5 million in cash and cash equivalents.</w:t>
      </w:r>
    </w:p>
    <w:p>
      <w:pPr>
        <w:spacing w:after="0" w:line="168"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color w:val="auto"/>
        </w:rPr>
        <w:t>Prior to the Business Combination, the Company historically funded operations primarily with issuances of convertible preferred shares and a promissory note. Upon the closing of the Business Combination, the Company received $56.7 million in net cash proceeds. Additionally, the Company raised (a) $10.6 million of cash proceeds after placement agent commissions in connection with sales under the ATM (as defined herein) since September 2024, (b) an aggregate of $105.3 million of net cash proceeds from the sale of Class A Ordinary Shares and pre-funded warrants in April 2024 (the “April 2024 Private Placement”), and (c) $75.8 million in net cash proceeds from the sale of Class A Ordinary Shares and pre-funded warrants in May and June 2023 (the “April 2023 Private Placement”). The Company’s cash requirements include, but are not limited to, clinical development, product manufacturing costs and working capital requirements. The Company expects that such operating losses and negative cash flows from operations will continue, but that it should have sufficient liquidity to fund its operations over the next twelve months.</w:t>
      </w:r>
    </w:p>
    <w:p>
      <w:pPr>
        <w:spacing w:after="0" w:line="173" w:lineRule="exact"/>
        <w:rPr>
          <w:sz w:val="20"/>
          <w:szCs w:val="20"/>
          <w:color w:val="auto"/>
        </w:rPr>
      </w:pPr>
    </w:p>
    <w:p>
      <w:pPr>
        <w:ind w:left="320" w:hanging="315"/>
        <w:spacing w:after="0"/>
        <w:tabs>
          <w:tab w:leader="none" w:pos="32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Principles of Consolidation</w:t>
      </w: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Company’s unaudited condensed consolidated financial statements (the “condensed consolidated financial statements”) have been prepared in conformity with accounting principles generally accepted in the United States of America (“U.S. GAAP”) and include the accounts of its consolidated subsidiaries. Other shareholders’ interests in the Company’s subsidiaries, Z33 Bio, Inc. (“Z33”) and ZB17 LLC (“ZB17”), are shown in the condensed consolidated financial statements as redeemable noncontrolling interest and noncontrolling interest, respectively. All intercompany balances and transactions have been eliminated in consolidation.</w:t>
      </w:r>
    </w:p>
    <w:p>
      <w:pPr>
        <w:spacing w:after="0" w:line="1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These condensed consolidated financial statements have been prepared in accordance with U.S. GAAP applicable to interim financial statements. These condensed consolidated financial statements are presented in accordance with the rules and regulations of the United States (“U.S.”) Securities and Exchange Commission (“SEC”) and do not include all disclosures normally required in annual consolidated financial statements prepared in accordance with U.S. GAAP. As such, the information included herein should be read in conjunction with the Company’s consolidated financial statements and accompanying notes as of and for the year ended December 31, 2024 (the “audited consolidated financial statements”) that were included in the Company’s Form 10-K filed with the SEC on March 25, 2025 (the “Annual Report”). In Management’s opinion, these unaudited condensed consolidated financial statements have been prepared on the same basis as the annual consolidated financial statements and reflect all adjustments, which include normal recurring adjustments, necessary for the fair statement of the Company’s financial position as of June 30, 2025 and the results of operations for the three and six months ended June 30, 2025 and 2024. The results of operations for the three and six months ended June 30, 2025 are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not necessarily indicative of the results to be expected for the full year ending December 31, 2025 or any other future interim or annual period.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Accounting Policies</w:t>
      </w:r>
    </w:p>
    <w:p>
      <w:pPr>
        <w:spacing w:after="0" w:line="22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Except for the addition of Research and Development (“R&amp;D”) incentive credits, there have been no significant changes in the Company’s significant accounting policies from those that were disclosed in Note 2, Summary of Significant Accounting Policies, included in the Company’s consolidated financial statements in the Company’s Annual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U.S. GAAP requires the Company’s management to make estimates and assumptions that affect the reported amounts of assets and liabilities and disclosure of contingent assets and liabilities at the date of the condensed consolidated financial statements, as well as the reported amounts of expenses during the reporting period. Actual results could differ from those estimates. Significant estimates and assumptions reflected in the condensed consolidated financial statements relate to and include, but are not limited to, the fair value of share-based compensation, the fair value of redeemable noncontrolling interest, the valuation allowance of deferred tax assets resulting from net operating losses and the fair value of the private placement warrants.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and Uncertainties</w:t>
      </w:r>
    </w:p>
    <w:p>
      <w:pPr>
        <w:spacing w:after="0" w:line="2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is subject to risks common to early-stage companies in the biotechnology industry, including, but not limited to, development by the Company or its competitors of technological innovations, risks of failure of clinical studies, dependence on key personnel, protection of proprietary technology, compliance with government regulations, and ability to transition from clinical manufacturing to commercial production of products.</w:t>
      </w:r>
    </w:p>
    <w:p>
      <w:pPr>
        <w:spacing w:after="0" w:line="16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Company’s product candidates will require approvals from the United States Food and Drug Administration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 adverse impact on the Company.</w:t>
      </w:r>
    </w:p>
    <w:p>
      <w:pPr>
        <w:spacing w:after="0" w:line="16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 Company has significant cash balances at financial institutions which throughout the year regularly exceed the federally insured limit of $250,000. Any loss incurred or a lack of access to such funds could have a significant adverse impact on the Company’s financial condition, results of operations, and cash flows.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Segments</w:t>
      </w: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Operating segments are identified as components of an enterprise about which separate discrete financial information is available for evaluation by the chief operating decision-maker (“CODM”) in making decisions regarding resource allocation and assessing performance. The Company’s CODM is the Chief Executive Officer. The Company and the CODM views its operations and manages its business in one operating segment, developing novel medicines for immune and inflammatory disorders. The Company has business activities in different regions that are managed on a consolidated basis.</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accounting policies of the Company’s segment are the same as those described within this footnote. The CODM uses net loss, that is reported in the condensed consolidated statements of operations to assess performance for the Company’s segment and decide how to allocate resources. The significant expenses within net loss are separately presented in the Company’s condensed consolidated statement of operations. The CODM monitors budget versus actual results using operating loss which is a component of net loss. The measure of segment assets is reported on the condensed consolidated balance sheet as total consolidated assets.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R&amp;D Incentive Credits</w:t>
      </w:r>
    </w:p>
    <w:p>
      <w:pPr>
        <w:spacing w:after="0" w:line="22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The Company is eligible to obtain certain R&amp;D incentive credits (the “R&amp;D Credits”), through participation in the United Kingdom’s (“U.K.”) R&amp;D Small and Medium Enterprise (“SME”) and the Research and Development Expenditure Credit (“RDEC”) tax relief programs.</w:t>
      </w:r>
    </w:p>
    <w:p>
      <w:pPr>
        <w:spacing w:after="0" w:line="14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 R&amp;D Credits are calculated as a percentage of qualifying R&amp;D expenses incurred as part of research projects. The R&amp;D Credits are used as tax credits for the Company with the resulting amount being payable in cash by the U.K. government (tax authority) to the Company. The R&amp;D Credits are subject to future audits by the U.K. tax authority within defined periods.</w:t>
      </w:r>
    </w:p>
    <w:p>
      <w:pPr>
        <w:spacing w:after="0" w:line="1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Although the incentive credits are administered through the local tax authority, the Company has accounted for the incentives outside of the scope of FASB Accounting Standards Codification Topic 740, Income Taxes (“ASC 740”), since the incentives are not linked to the Company’s taxable income and can be realized regardless of whether the Company has generated taxable income in the respective jurisdictions. The Company accounts for these incentive credits as a government grant which analogizes with International Accounting Standards 20 (“IAS 20”), Accounting for Government Grants and Disclosure of Government Assistance.</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accordance with IAS 20, the Company will recognize the R&amp;D Credits when it has reasonable assurance that the R&amp;D Credits will be received. As the Company has only filed two claims under the tax relief programs as of June 30, 2025, it has determined that reasonable assurance will be met upon cash receipt. For the three and six months ended June 30, 2025, the Company recorded $0.3 million in other income, net in the condensed consolidated statement of operations for R&amp;D Credits received in May 2025. In April 2025, the Company filed an additional claim for an R&amp;D Credit for $1.0 million that was not received as of June 30,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Per Share</w:t>
      </w:r>
    </w:p>
    <w:p>
      <w:pPr>
        <w:spacing w:after="0" w:line="22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Basic net loss per share is computed by dividing net loss attributable to Class A Ordinary Shareholders by the weighted-average number of Class A Ordinary Shares outstanding during the period. Basic and diluted net loss per share were the same for each period presented as the inclusion of all potentially dilutive securities outstanding would have been anti-dilutive due to the Company’s net loss.</w:t>
      </w:r>
    </w:p>
    <w:p>
      <w:pPr>
        <w:spacing w:after="0" w:line="16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The table below provides potentially dilutive securities not included in the calculation of the diluted net loss per share as of the periods presented because to do so would be anti-dilutive:</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7040" w:type="dxa"/>
            <w:vAlign w:val="bottom"/>
          </w:tcPr>
          <w:p>
            <w:pPr>
              <w:spacing w:after="0"/>
              <w:rPr>
                <w:sz w:val="14"/>
                <w:szCs w:val="14"/>
                <w:color w:val="auto"/>
              </w:rPr>
            </w:pPr>
          </w:p>
        </w:tc>
        <w:tc>
          <w:tcPr>
            <w:tcW w:w="184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4"/>
                <w:szCs w:val="14"/>
                <w:color w:val="auto"/>
              </w:rPr>
            </w:pPr>
          </w:p>
        </w:tc>
      </w:tr>
      <w:tr>
        <w:trPr>
          <w:trHeight w:val="137"/>
        </w:trPr>
        <w:tc>
          <w:tcPr>
            <w:tcW w:w="704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jc w:val="right"/>
              <w:ind w:right="437"/>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35"/>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issuable upon exercise of options to purchase Class A Ordinary Shares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14,666,538</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9,975,424</w:t>
            </w:r>
          </w:p>
        </w:tc>
      </w:tr>
      <w:tr>
        <w:trPr>
          <w:trHeight w:val="209"/>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Shares issuable upon exercise of Z33 Series Seed Preferred Shares Put Right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2,000,000</w:t>
            </w:r>
          </w:p>
        </w:tc>
      </w:tr>
      <w:tr>
        <w:trPr>
          <w:trHeight w:val="209"/>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issuable upon vesting of restricted share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639,532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1,131,970</w:t>
            </w:r>
          </w:p>
        </w:tc>
      </w:tr>
      <w:tr>
        <w:trPr>
          <w:trHeight w:val="209"/>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Restricted share awards</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249,997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374,995</w:t>
            </w:r>
          </w:p>
        </w:tc>
      </w:tr>
      <w:tr>
        <w:trPr>
          <w:trHeight w:val="209"/>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212529"/>
              </w:rPr>
              <w:t>Shares issuable upon exercise of warrants to purchase Class A Ordinary Shares</w:t>
            </w:r>
          </w:p>
        </w:tc>
        <w:tc>
          <w:tcPr>
            <w:tcW w:w="18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12,809,996</w:t>
            </w:r>
          </w:p>
        </w:tc>
      </w:tr>
      <w:tr>
        <w:trPr>
          <w:trHeight w:val="202"/>
        </w:trPr>
        <w:tc>
          <w:tcPr>
            <w:tcW w:w="7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17,556,067</w:t>
            </w:r>
          </w:p>
        </w:tc>
        <w:tc>
          <w:tcPr>
            <w:tcW w:w="2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26,292,385</w:t>
            </w:r>
          </w:p>
        </w:tc>
      </w:tr>
      <w:tr>
        <w:trPr>
          <w:trHeight w:val="20"/>
        </w:trPr>
        <w:tc>
          <w:tcPr>
            <w:tcW w:w="70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w:t>
      </w:r>
    </w:p>
    <w:p>
      <w:pPr>
        <w:spacing w:after="0" w:line="22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Financial Accounting Standards Board (“FASB”) or other standard setting bodies and adopted by the Company as of the specified effective date. Unless otherwise discussed, the impact of recently issued standards that are not yet effective will not have a material impact on the Company’s financial position, results of operations, or cash flows upon adoption.</w:t>
      </w:r>
    </w:p>
    <w:p>
      <w:pPr>
        <w:spacing w:after="0" w:line="3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In December 2023, the FASB issued Accounting Standards Update (“ASU”) 2023-09, Income Taxes (Topic 740): </w:t>
      </w:r>
      <w:r>
        <w:rPr>
          <w:rFonts w:ascii="Times New Roman" w:cs="Times New Roman" w:eastAsia="Times New Roman" w:hAnsi="Times New Roman"/>
          <w:sz w:val="17"/>
          <w:szCs w:val="17"/>
          <w:i w:val="1"/>
          <w:iCs w:val="1"/>
          <w:color w:val="auto"/>
        </w:rPr>
        <w:t>Improvements to Income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Tax Disclosures </w:t>
      </w:r>
      <w:r>
        <w:rPr>
          <w:rFonts w:ascii="Times New Roman" w:cs="Times New Roman" w:eastAsia="Times New Roman" w:hAnsi="Times New Roman"/>
          <w:sz w:val="17"/>
          <w:szCs w:val="17"/>
          <w:color w:val="auto"/>
        </w:rPr>
        <w:t>(“ASU 2023-09”), ASU 2023-09 is intended to enhance the transparency and decision usefulness of income tax disclosures.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amendments in the ASU address investor requests for enhanced income tax information primarily through changes to the rate reconciliation and income taxes paid information. ASU 2023-09 is effective for the Company beginning with the Company’s Annual Report on Form-10-K for the year ended December 31, 2025. Early adoption is permitted. The Company is currently evaluating the presentational effect that ASU 2023-09 will have on the Company’s consolidated financial statements and disclosures, but the Company expects considerable changes to the Company’s income tax disclosures.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Statement—Reporting Comprehensive Income—Expense Disaggregation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Disclosures (Subtopic 220-40): Disaggregation of Income Statement Expenses </w:t>
      </w:r>
      <w:r>
        <w:rPr>
          <w:rFonts w:ascii="Times New Roman" w:cs="Times New Roman" w:eastAsia="Times New Roman" w:hAnsi="Times New Roman"/>
          <w:sz w:val="17"/>
          <w:szCs w:val="17"/>
          <w:color w:val="auto"/>
        </w:rPr>
        <w:t>(“ASU 2024-03”). This ASU requires disclosure, in the notes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financial statements, of the nature of certain expenses included in the income statement. ASU 2024-03 will be effective for annual reporting periods beginning after December 15, 2026, and interim reporting periods beginning after December 15, 2027. Early adoption is permitted. The Company is currently evaluating the impact of ASU 2024-03 and expects to adopt it for the year ending December 31, 2027.</w:t>
      </w:r>
    </w:p>
    <w:p>
      <w:pPr>
        <w:spacing w:after="0" w:line="170" w:lineRule="exact"/>
        <w:rPr>
          <w:sz w:val="20"/>
          <w:szCs w:val="20"/>
          <w:color w:val="auto"/>
        </w:rPr>
      </w:pPr>
    </w:p>
    <w:p>
      <w:pPr>
        <w:ind w:left="320" w:hanging="315"/>
        <w:spacing w:after="0"/>
        <w:tabs>
          <w:tab w:leader="none" w:pos="32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2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measures certain financial assets and liabilities at fair value on a recurring basis. The Company determines fair value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These levels are:</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 xml:space="preserve">Level 1: </w:t>
      </w:r>
      <w:r>
        <w:rPr>
          <w:rFonts w:ascii="Times New Roman" w:cs="Times New Roman" w:eastAsia="Times New Roman" w:hAnsi="Times New Roman"/>
          <w:sz w:val="17"/>
          <w:szCs w:val="17"/>
          <w:color w:val="auto"/>
        </w:rPr>
        <w:t>Inputs are unadjusted, quoted prices in active markets for identical assets or liabilities at the measurement date;</w:t>
      </w:r>
    </w:p>
    <w:p>
      <w:pPr>
        <w:spacing w:after="0" w:line="222" w:lineRule="exact"/>
        <w:rPr>
          <w:sz w:val="20"/>
          <w:szCs w:val="20"/>
          <w:color w:val="auto"/>
        </w:rPr>
      </w:pPr>
    </w:p>
    <w:p>
      <w:pPr>
        <w:jc w:val="both"/>
        <w:ind w:left="640"/>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Level 2: </w:t>
      </w:r>
      <w:r>
        <w:rPr>
          <w:rFonts w:ascii="Times New Roman" w:cs="Times New Roman" w:eastAsia="Times New Roman" w:hAnsi="Times New Roman"/>
          <w:sz w:val="17"/>
          <w:szCs w:val="17"/>
          <w:color w:val="auto"/>
        </w:rPr>
        <w:t>Inputs are observable, unadjusted quoted prices in active markets for similar assets or liabilities, unadjusted quoted prices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identical or similar assets or liabilities in markets that are not active, or other inputs that are observable or can be corroborated by observable market data for substantially the full term of the related assets or liabilities; and</w:t>
      </w:r>
    </w:p>
    <w:p>
      <w:pPr>
        <w:spacing w:after="0" w:line="159" w:lineRule="exact"/>
        <w:rPr>
          <w:sz w:val="20"/>
          <w:szCs w:val="20"/>
          <w:color w:val="auto"/>
        </w:rPr>
      </w:pPr>
    </w:p>
    <w:p>
      <w:pPr>
        <w:jc w:val="both"/>
        <w:ind w:left="640"/>
        <w:spacing w:after="0" w:line="297" w:lineRule="auto"/>
        <w:rPr>
          <w:sz w:val="20"/>
          <w:szCs w:val="20"/>
          <w:color w:val="auto"/>
        </w:rPr>
      </w:pPr>
      <w:r>
        <w:rPr>
          <w:rFonts w:ascii="Times New Roman" w:cs="Times New Roman" w:eastAsia="Times New Roman" w:hAnsi="Times New Roman"/>
          <w:sz w:val="17"/>
          <w:szCs w:val="17"/>
          <w:b w:val="1"/>
          <w:bCs w:val="1"/>
          <w:color w:val="auto"/>
        </w:rPr>
        <w:t xml:space="preserve">Level 3: </w:t>
      </w:r>
      <w:r>
        <w:rPr>
          <w:rFonts w:ascii="Times New Roman" w:cs="Times New Roman" w:eastAsia="Times New Roman" w:hAnsi="Times New Roman"/>
          <w:sz w:val="17"/>
          <w:szCs w:val="17"/>
          <w:color w:val="auto"/>
        </w:rPr>
        <w:t>Unobservable inputs that are significant to the measurement of the fair value of the assets or liabilities that are supported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little or no market data.</w:t>
      </w:r>
    </w:p>
    <w:p>
      <w:pPr>
        <w:spacing w:after="0" w:line="14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Financial instruments consist of cash and cash equivalents, prepaid and other current assets, accounts payable and accrued expenses, and private placement warrants. The carrying values of the Company’s cash, prepaid and other current assets, and accounts payable and accrued expenses approximate their fair value due to the short-term maturity of these instruments.</w:t>
      </w:r>
    </w:p>
    <w:p>
      <w:pPr>
        <w:spacing w:after="0" w:line="16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financial assets and liabilities measured at fair value on a recurring basis as of June 30, 2025 and December 31, 2024 (in thousands), and the fair value hierarchy of the valuation techniques utilized.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37"/>
        </w:trPr>
        <w:tc>
          <w:tcPr>
            <w:tcW w:w="20" w:type="dxa"/>
            <w:vAlign w:val="bottom"/>
          </w:tcPr>
          <w:p>
            <w:pPr>
              <w:spacing w:after="0"/>
              <w:rPr>
                <w:sz w:val="11"/>
                <w:szCs w:val="11"/>
                <w:color w:val="auto"/>
              </w:rPr>
            </w:pPr>
          </w:p>
        </w:tc>
        <w:tc>
          <w:tcPr>
            <w:tcW w:w="3620" w:type="dxa"/>
            <w:vAlign w:val="bottom"/>
            <w:tcBorders>
              <w:bottom w:val="single" w:sz="8" w:color="CCEEFF"/>
            </w:tcBorders>
          </w:tcPr>
          <w:p>
            <w:pPr>
              <w:spacing w:after="0"/>
              <w:rPr>
                <w:sz w:val="11"/>
                <w:szCs w:val="11"/>
                <w:color w:val="auto"/>
              </w:rPr>
            </w:pPr>
          </w:p>
        </w:tc>
        <w:tc>
          <w:tcPr>
            <w:tcW w:w="24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02"/>
              <w:spacing w:after="0" w:line="137"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2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Cash equivalents</w:t>
            </w:r>
          </w:p>
        </w:tc>
        <w:tc>
          <w:tcPr>
            <w:tcW w:w="2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150,030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150,030</w:t>
            </w: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37"/>
        </w:trPr>
        <w:tc>
          <w:tcPr>
            <w:tcW w:w="20" w:type="dxa"/>
            <w:vAlign w:val="bottom"/>
          </w:tcPr>
          <w:p>
            <w:pPr>
              <w:spacing w:after="0"/>
              <w:rPr>
                <w:sz w:val="11"/>
                <w:szCs w:val="11"/>
                <w:color w:val="auto"/>
              </w:rPr>
            </w:pPr>
          </w:p>
        </w:tc>
        <w:tc>
          <w:tcPr>
            <w:tcW w:w="3620" w:type="dxa"/>
            <w:vAlign w:val="bottom"/>
            <w:tcBorders>
              <w:bottom w:val="single" w:sz="8" w:color="CCEEFF"/>
            </w:tcBorders>
          </w:tcPr>
          <w:p>
            <w:pPr>
              <w:spacing w:after="0"/>
              <w:rPr>
                <w:sz w:val="11"/>
                <w:szCs w:val="11"/>
                <w:color w:val="auto"/>
              </w:rPr>
            </w:pPr>
          </w:p>
        </w:tc>
        <w:tc>
          <w:tcPr>
            <w:tcW w:w="24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02"/>
              <w:spacing w:after="0" w:line="137"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2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Cash equivalents</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170,743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170,743</w:t>
            </w: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transfers into or out of Level 1, Level 2, or Level 3 during the three and six months ended June 30, 2025.</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Private Placement Warrants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August 2024, pursuant to the Warrant Exchange (as defined herein), the Company exchanged all of the outstanding Private Placement Warrants (as defined herein) for Class A Ordinary Shares. See Note 7. The Private Placement Warrants were measured at fair value on a recurring basis. Because the transfer of Private Placement Warrants to non-permitted transferees would result in the Private Placement Warrants having substantially the same terms as the Public Warrants (as defined herein), the Company determined that the fair value of each Private Placement Warrant is consistent with that of a Public Warrant. Accordingly, the Private Placement Warrants were classified as Level 2 financial instruments. Upon completion of the Warrant Exchange, the Private Placement Warrants were remeasured to settlement value which was determined based on the fair value of the Class A Ordinary Shares issued in exchange for the Private Placement Warrants. There were no Private Placement Warrants outstanding as of June 30, 2025 and December 31, 2024. The change in fair value of the Private Placement Warrants for the three and six months ended June 30, 2024 was $0.8 million and $1.4 million, respectively.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320" w:hanging="315"/>
        <w:spacing w:after="0"/>
        <w:tabs>
          <w:tab w:leader="none" w:pos="3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Accounts Payable and Accrued Expenses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Accounts payable and accrued expenses is comprised of the following as of June 30, 2025 and December 31, 2024 (in thousands):</w:t>
      </w:r>
    </w:p>
    <w:p>
      <w:pPr>
        <w:spacing w:after="0" w:line="229" w:lineRule="exact"/>
        <w:rPr>
          <w:sz w:val="20"/>
          <w:szCs w:val="20"/>
          <w:color w:val="auto"/>
        </w:rPr>
      </w:pPr>
    </w:p>
    <w:tbl>
      <w:tblPr>
        <w:tblLayout w:type="fixed"/>
        <w:tblInd w:w="1000" w:type="dxa"/>
        <w:tblCellMar>
          <w:top w:w="0" w:type="dxa"/>
          <w:left w:w="0" w:type="dxa"/>
          <w:bottom w:w="0" w:type="dxa"/>
          <w:right w:w="0" w:type="dxa"/>
        </w:tblCellMar>
      </w:tblPr>
      <w:tr>
        <w:trPr>
          <w:trHeight w:val="168"/>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r>
      <w:tr>
        <w:trPr>
          <w:trHeight w:val="202"/>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research and development costs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9,472</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7,100</w:t>
            </w:r>
          </w:p>
        </w:tc>
      </w:tr>
      <w:tr>
        <w:trPr>
          <w:trHeight w:val="209"/>
        </w:trPr>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Accrued 2023 Lilly License costs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9,500</w:t>
            </w:r>
          </w:p>
        </w:tc>
      </w:tr>
      <w:tr>
        <w:trPr>
          <w:trHeight w:val="20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bonus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1,713</w:t>
            </w:r>
          </w:p>
        </w:tc>
      </w:tr>
      <w:tr>
        <w:trPr>
          <w:trHeight w:val="209"/>
        </w:trPr>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733</w:t>
            </w:r>
          </w:p>
        </w:tc>
      </w:tr>
      <w:tr>
        <w:trPr>
          <w:trHeight w:val="20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professional fees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r>
      <w:tr>
        <w:trPr>
          <w:trHeight w:val="209"/>
        </w:trPr>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accrued expenses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1,174</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02"/>
        </w:trPr>
        <w:tc>
          <w:tcPr>
            <w:tcW w:w="5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accounts payable and accrued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18,696</w:t>
            </w:r>
          </w:p>
        </w:tc>
        <w:tc>
          <w:tcPr>
            <w:tcW w:w="1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19,514</w:t>
            </w:r>
          </w:p>
        </w:tc>
      </w:tr>
      <w:tr>
        <w:trPr>
          <w:trHeight w:val="20"/>
        </w:trPr>
        <w:tc>
          <w:tcPr>
            <w:tcW w:w="5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20" w:hanging="315"/>
        <w:spacing w:after="0"/>
        <w:tabs>
          <w:tab w:leader="none" w:pos="3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License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2023 Lilly License</w:t>
      </w:r>
    </w:p>
    <w:p>
      <w:pPr>
        <w:spacing w:after="0" w:line="20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On April 26, 2023, the Company’s consolidated subsidiary ZB17 LLC (“ZB17”) entered into a license agreement (the “2023 Lilly License” and, together with the 2022 Lilly License (as defined below), the “Lilly Licenses”) with Lilly, for an exclusive license to develop, manufacture and commercialize a certain bispecific antibody relating to IL-17 and BAFF (“tibulizumab”).</w:t>
      </w:r>
    </w:p>
    <w:p>
      <w:pPr>
        <w:spacing w:after="0" w:line="1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2023, in consideration for the investment made by Stone Peach, ZB17 granted Stone Peach the right, but not the obligation, to purchase 4.99% of the fully diluted equity of ZB17 for $1.0 million (the “Stone Peach Call Right”). The Stone Peach Call Right is not exercisable until after the last patient is dosed in any single next clinical trial with tibulizumab and expires one year from the date of first indication approval for tibulizumab by the FDA or the European Medicines Agency (“EMA”). The Stone Peach Call Right represents noncontrolling interest in the Company’s consolidated subsidiary, ZB17. As of June 30, 2025 and December 31, 2024, the noncontrolling interest balance was $1.5 million in the condensed consolidated balance sheets.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As additional consideration, beginning on May 1, 2023, Stone Peach receives an annual payment of $0.6 million initially, and increasing by 10% annually, so long as the Company maintains its license for tibulizumab, to be paid on May 1st of each year. The Company records expenses for these annual payments when they become due. An annual payment of $0.7 million became due and was paid during each of the three months ended June 30, 2025 and 2024. The Company recorded this payment within research and development expense in the condensed consolidated statement of operations.</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 one-time payment of $4.5 million for additional consideration due to Stone Peach upon acceptance from the FDA for its Investigational New Drug (“IND”) and commencement of the clinical trial for tibulizumab was recorded in research and development in the consolidated statement of operations for the year ended December 31, 2024 and was paid in June 2025. The payment is included in accounts payable and accrued expenses in the condensed consolidated balance sheets as of December 31, 2024.</w:t>
      </w:r>
    </w:p>
    <w:p>
      <w:pPr>
        <w:spacing w:after="0" w:line="1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A letter agreement, dated as of April 25, 2023, by and between BAFFX17, Ltd (“BAFFX17”) and the Company, and as amended by Amendment No. 1 on December 18, 2023 (the “BAFFX17 Letter Agreement”), provided that, as a finder’s fee for arranging the acquisition of the 2023 Lilly License, the Company would be required to make a one-time milestone payment of $5.0 million to BAFFX17 upon the occurrence of either: (i) a change of control transaction, (ii) the closing of an issuance of equity or equity-linked securities by the Company of at least $100.0 million, (iii) the consummation of a sale of assets resulting in net proceeds in excess of $100.0 million, or (iv) the Company’s fully diluted shares outstanding exceed 52,500,000 shares (on a split adjusted basis) as measured on April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xml:space="preserve"> of each year. As the Company’s fully diluted shares outstanding exceeded 52,500,000 shares prior to December 31, 2023, the $5.0 million fee was previously accounted for in research and development in the consolidated statement of operations for the year ended December 31, 2023, and is included in accounts payable and accrued expenses in the condensed consolidated balance sheets as of June 30, 2025 and December 31, 2024. On June 30, 2025, the Company received an invoice on behalf of BAFFX17 requesting a $5.0 million milestone payment (the “Milestone Payment”) pursuant to the BAFFX17 Letter Agreement. The Company has not made such payment pending the outcome of the review by a subcommittee of the Company’s audit committee of the board of directors.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addition to the consideration paid and/or earned during the years ended December 31, 2024 and 2023, the Company is also obligated to make payments (a) to Lilly for four (4) development milestone payments up to an aggregate of $155.0 million, and sales milestone payments up to an aggregate of $440.0 million based on respective thresholds of net sales of products developed from tibulizumab; (b) to Lilly over a multi-year period (twelve years, or upon the later expiration of regulatory exclusivity of tibulizumab in a country) for an annual earned royalty at a marginal royalty rate in the mid-single digits to low-double digits, with increasing rates depending on net</w:t>
      </w:r>
    </w:p>
    <w:p>
      <w:pPr>
        <w:sectPr>
          <w:pgSz w:w="11900" w:h="16838" w:orient="portrait"/>
          <w:cols w:equalWidth="0" w:num="1">
            <w:col w:w="9920"/>
          </w:cols>
          <w:pgMar w:left="980" w:top="500" w:right="99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sales in the respective calendar year, based on a percentage of sales within varying thresholds for a certain period of years; (c) to BAFFX17 for a fee equal to 3% of any milestone or royalty payments due to Lilly pursuant to the terms of either the 2022 Lilly License or the 2023 Lilly License; (d) to Stone Peach for a one-time milestone payment of $25 million upon either (i) certain equity-related transactions, or (ii) the receipt of regulatory approval from the applicable regulatory authority for any new indication in the applicable jurisdiction; and (e) to Stone Peach for a royalty of 2% of the aggregate net sales of any products developed from the Compound (collectively, the “2023 Lilly Contingent Payments”). As of June 30, 2025, none of the 2023 Lilly Contingent Payments are due and accordingly will not be recorded in the Company’s financial statements until they are due.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2022 Lilly License</w:t>
      </w:r>
    </w:p>
    <w:p>
      <w:pPr>
        <w:spacing w:after="0" w:line="22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On December 8, 2022, the Company’s consolidated subsidiary, Z33, entered into a license agreement (the “2022 Lilly License”) with Lilly pursuant to which Lilly granted Z33 an exclusive (even as to Lilly), royalty-bearing global license to develop, manufacture, and commercialize certain intellectual property owned by Lilly relating to its IL-33 compound.</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 letter agreement dated as of November 21, 2023 (the “Stone Peach Letter Agreement”), by and between Stone Peach and the Company, provided that, as a finder’s fee for the 2022 Lilly License, the Company’s consolidated subsidiary Z33 issued 4,900,222 shares of Z33 Series Seed Preferred Shares to Stone Peach. Zura and Stone Peach have the following rights, as amended, (a) Zura had the right, but not the obligation to purchase up to 50% of the Series Seed Preferred Shares issued to Stone Peach at a price per share of $2.448869 for a period of two years from the date of the agreement (the “Call Option”); (b) Stone Peach has the right, but not the obligation to sell up to 50% of the Series Seed Preferred Shares issued to Stone Peach to Zura for a price per share of $2.040724 (the “Put Option”), and (c) Stone Peach has the right, but not the obligation to sell up to 50% of the Series Seed Preferred Shares issued to Stone Peach to Zura in exchange for 2,000,000 Class A Ordinary Shares (the “Put Right”). Stone Peach may exercise its Put Option and Put Right at any time between April 24, 2024, and April 24, 2028. See Note 10. The Z33 Series Seed Preferred Shares are remeasured to the greater of the redemption value or the initial fair value, less noncontrolling shareholder’s interest in net loss of Z33, at each reporting period. The Z33 Series Seed Preferred Shares represent redeemable noncontrolling interest in the Company’s consolidated subsidiary, Z33. On July 14, 2025, the Company received a request from Stone Peach to exercise the Put Option pursuant to which Stone Peach would sell 50% of its Series Seed Preferred Shares in Z33 for $5.0 million. Additionally, on July 23, 2025, the Company received a further request from Stone Peach to exercise the Put Right pursuant to which Stone Peach would sell 50% of its Series Seed Preferred Shares in Z33 in exchange for 2,000,000 of the Company’s Class A Ordinary Shares. The Company has not effected either the Put Option or the Put Right pending the outcome of the review of a subcommittee of the Company’s audit committee of the board of directors.</w:t>
      </w:r>
    </w:p>
    <w:p>
      <w:pPr>
        <w:spacing w:after="0" w:line="3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to the consideration paid and transferred in 2022 and 2023, the Company is also obligated to make payments to Lilly for (a) $3.0 million upon the completion of a financing by Z33 with gross proceeds exceeding $100.0 million; (b) 10 commercial, development and regulatory milestone payments up to an aggregate of $155.0 million and sales milestone payments up to an aggregate of $440.0 million based on respective thresholds of net sales of products developed from the licensed compound, if any; and (c) an annual earned royalty at a marginal royalty rate between in the mid-single to low-double digits (less than 20%), with increasing rates based on net sales in the respective calendar year, based on a percentage of sales within varying thresholds for a certain period of the year, if any year (collectively, the “2022 Lilly Contingent Payments”). The Company will account for these contingent milestone payments when they become due. As of June 30, 2025, none of the 2022 Lilly Contingent Payments are due and accordingly will not be recorded in the Company’s financial statements until they are due.</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Pfizer Agreement</w:t>
      </w:r>
    </w:p>
    <w:p>
      <w:pPr>
        <w:spacing w:after="0" w:line="2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March 22, 2022, the Company entered into a license agreement and a Series A-1 Subscription and Shareholder’s Agreement (collectively, the “Pfizer Agreement”) with Pfizer. Under the Pfizer Agreement, the Company acquired a license for a compound previously developed by Pfizer.</w:t>
      </w:r>
    </w:p>
    <w:p>
      <w:pPr>
        <w:spacing w:after="0" w:line="3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to the consideration paid and transferred during 2022 and 2023 and the first $1.0 million development milestone paid during 2024, the Company is obligated to make payments to Pfizer for (a) eleven (11) remaining future development and regulatory milestone payments aggregating up to $69.0 million and sales milestone payments up to an aggregate of $525.0 million based on respective thresholds of net sales of products (developed from the licensed compound) (the “Products”), if any; and (b) an annual earned royalty at a marginal royalty rate in the mid-single digits to low double digits (less than 20%), based on thresholds of net sales of the Company’s Products, if any (collectively, the “Pfizer Contingent Payments”). Royalties are payable on a country-by-country basis for a certain period of years or upon the later expiration of regulatory exclusivity of the Company’s Products in a country. As of June 30, 2025, no additional Pfizer Contingent Payments are due and accordingly no additional Pfizer Contingent Payments will be recorded in the Company’s financial statements until they are due.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Lonza License</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July 2022, the Company entered into a license agreement (the “Lonza License”) with Lonza Sales AG (“Lonza”) for a worldwide non-exclusive license for Lonza’s gene expression system in exchange for varying considerations depending on a number of factors such as whether the Company enters further into manufacturing agreements with Lonza or with a third party, and whether the Company enters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The Company may terminate the Lonza License at any time upon 60 days’ notice, with or without cause. Lonza may terminate the Lonza License for cause upon a breach by the Company or for other commercially standard reasons.</w:t>
      </w:r>
    </w:p>
    <w:p>
      <w:pPr>
        <w:spacing w:after="0" w:line="3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Pursuant to the terms of the Lonza License, the Company has a license fee of $0.4 million due to Lonza annually in the fourth quarter as a result of manufacturing drug substance with a third party other than Lonza since 2023. For the year ended December 31, 2024 the Company recorded $0.4 million for the Lonza License, which is included in accounts payable and accrued expenses in the condensed consolidated balance sheet as of June 30, 2025 and December 31,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WuXi Biologics License</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July 2023, the Company entered into a biologics master services agreement (the “WuXi Biologics MSA”) with WuXi Biologics. Pursuant to the WuXi Biologics MSA, the parties enter into work orders setting forth the services and fees associated with drug substance and drug product activities and manufacturing for torudokimab, which fees are recognized as research and development expenses as incurred. Pursuant to the WuXi Biologics MSA, the Company entered into a cell line license agreement (the “Cell Line License Agreement”), which is further described below.</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Cell Line License Agreement was for certain of WuXi Biologics’ know – how, cell line, and biological materials (the “WuXi Biologics Licensed Technology”) to manufacture, have manufactured, use, sell and import certain products produced through the use of the cell line licensed by WuXi Biologics under the Cell Line License Agreement (the “WuXi Biologics Licensed Products”). If the Company manufactures all of its commercial supplies of bulk drug product for WuXi Biologics Licensed Products with a manufacturer other than WuXi Biologics or its affiliates, the Company is required to make royalty payments to WuXi Biologics in an amount equal to a fraction of a single digit percentage of global net sales of WuXi Biologics Licensed Products manufactured by a third-party manufacturer (the “Royalty”). If the Company manufactures part of its commercial supplies of the WuXi Biologics Licensed Products with WuXi Biologics or its affiliates, then the Royalty will be reduced accordingly on a pro rata basis. The Cell Line License Agreement will continue indefinitely unless terminated (i) by the Company upon three months’ prior written notice and its payment of all undisputed amounts due to WuXi Biologics through the effective date of termination, (ii) by WuXi Biologics for a material breach by the Company that remains uncured for 30 days after written notice, or (iii) by WuXi Biologics if the Company fails to make a payment and such failure continues for 30 days after receiving notice of such failure. As of June 30, 2025, there are no payments currently due under the Cell Line License Agreement.</w:t>
      </w:r>
    </w:p>
    <w:p>
      <w:pPr>
        <w:spacing w:after="0" w:line="169" w:lineRule="exact"/>
        <w:rPr>
          <w:sz w:val="20"/>
          <w:szCs w:val="20"/>
          <w:color w:val="auto"/>
        </w:rPr>
      </w:pPr>
    </w:p>
    <w:p>
      <w:pPr>
        <w:ind w:left="320" w:hanging="315"/>
        <w:spacing w:after="0"/>
        <w:tabs>
          <w:tab w:leader="none" w:pos="32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Shareholders’ Equity</w:t>
      </w:r>
    </w:p>
    <w:p>
      <w:pPr>
        <w:spacing w:after="0" w:line="22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On March 16, 2023, in connection with the closing of the Business Combination and effective upon the Closing Date, the Company authorized 300,000,000 Class A Ordinary Shares, par value of $0.0001 and 1,000,000 preferred shares, par value of $0.0001.</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Exchange of Class A Ordinary Shares for Pre-Funded Warrants</w:t>
      </w: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April 2025, the Company entered into share surrender and warrant agreements with certain affiliated shareholders (the “2025 Shareholders”), pursuant to which (i) the 2025 Shareholders surrendered an aggregate of 6,500,000 Class A Ordinary Shares owned by the 2025 Shareholders, for no consideration, which were immediately cancelled and retired, upon surrender; and (ii) the Company issued pre-funded warrants to purchase an aggregate of 6,500,000 Class A Ordinary Shares (the “2025 Share Exchange Warrants) (such transaction, the “2025 Share Exchange”). See Note 7.</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Shelf Registration and ATM Program</w:t>
      </w:r>
    </w:p>
    <w:p>
      <w:pPr>
        <w:spacing w:after="0" w:line="22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filed a shelf registration statement on Form S-3 (the “Shelf Registration Statement”), which was declared effective on September 17, 2024. Pursuant to the Shelf Registration Statement, the Company may offer and sell ordinary shares, preference shares, debt securities, warrants and or units having an aggregate public offering price of up to $300.0 million. In connection with the filing of the Shelf Registration Statement, the Company also entered into a sales agreement (the “Sales Agreement”) with Leerink Partners LLC (“Leerink Partners”), relating to the sale of the Company’s Class A Ordinary Shares having an aggregate gross sales price of up to $125.0 million, from time to time through Leerink Partners, acting as sales agent (the “ATM”). During 2024, the Company incurred $0.6 million of offering expenses in connection with establishing the ATM.</w:t>
      </w:r>
    </w:p>
    <w:p>
      <w:pPr>
        <w:spacing w:after="0" w:line="17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the first quarter of 2025, the Company sold 3,000,000 Class A Ordinary Shares at a price of $1.75 per share under the ATM, for net proceeds of $5.1 million, after placement agent commissions. During the second quarter of 2025, there were no sales of Class A Ordinary Shares pursuant to the ATM. As of June 30, 2025, $114.0 million of Class A Ordinary Shares remained available for sale under the Sales Agreement.</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Ordinary Shares Reserved for Issuance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shares reserved for issuance as of June 30, 2025 is summarized below:</w:t>
      </w:r>
    </w:p>
    <w:p>
      <w:pPr>
        <w:spacing w:after="0" w:line="22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4445</wp:posOffset>
            </wp:positionV>
            <wp:extent cx="6291580" cy="140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1580" cy="14097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p>
      <w:pPr>
        <w:spacing w:after="0" w:line="22" w:lineRule="exact"/>
        <w:rPr>
          <w:sz w:val="20"/>
          <w:szCs w:val="20"/>
          <w:color w:val="auto"/>
        </w:rPr>
      </w:pPr>
    </w:p>
    <w:p>
      <w:pPr>
        <w:ind w:left="20" w:right="2040"/>
        <w:spacing w:after="0" w:line="255" w:lineRule="auto"/>
        <w:rPr>
          <w:sz w:val="20"/>
          <w:szCs w:val="20"/>
          <w:color w:val="auto"/>
        </w:rPr>
      </w:pPr>
      <w:r>
        <w:rPr>
          <w:rFonts w:ascii="Times New Roman" w:cs="Times New Roman" w:eastAsia="Times New Roman" w:hAnsi="Times New Roman"/>
          <w:sz w:val="17"/>
          <w:szCs w:val="17"/>
          <w:color w:val="auto"/>
        </w:rPr>
        <w:t>Shares issuable upon exercise of pre-funded warrants to purchase Class A Ordinary Shares Shares issuable upon exercise of options to purchase Class A Ordinary Shares</w:t>
      </w:r>
    </w:p>
    <w:p>
      <w:pPr>
        <w:ind w:left="20" w:right="3020"/>
        <w:spacing w:after="0" w:line="259" w:lineRule="auto"/>
        <w:rPr>
          <w:sz w:val="20"/>
          <w:szCs w:val="20"/>
          <w:color w:val="auto"/>
        </w:rPr>
      </w:pPr>
      <w:r>
        <w:rPr>
          <w:rFonts w:ascii="Times New Roman" w:cs="Times New Roman" w:eastAsia="Times New Roman" w:hAnsi="Times New Roman"/>
          <w:sz w:val="17"/>
          <w:szCs w:val="17"/>
          <w:color w:val="auto"/>
        </w:rPr>
        <w:t>Shares available for grant under 2023 Equity Incentive Plan and ESPP Shares issuable upon exercise of Z33 Series Seed Preferred Shares Put Right Shares issuable upon release of restricted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-401320</wp:posOffset>
            </wp:positionV>
            <wp:extent cx="6291580" cy="132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1580" cy="13271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-135890</wp:posOffset>
            </wp:positionV>
            <wp:extent cx="6291580" cy="132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1580" cy="1327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Total shares reserved for issuance</w:t>
      </w:r>
    </w:p>
    <w:p>
      <w:pPr>
        <w:spacing w:after="0" w:line="259" w:lineRule="exact"/>
        <w:rPr>
          <w:sz w:val="20"/>
          <w:szCs w:val="20"/>
          <w:color w:val="auto"/>
        </w:rPr>
      </w:pPr>
    </w:p>
    <w:p>
      <w:pPr>
        <w:ind w:left="320" w:hanging="315"/>
        <w:spacing w:after="0"/>
        <w:tabs>
          <w:tab w:leader="none" w:pos="32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Warrants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Pre-Funded Warrants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30,384,348</w:t>
      </w:r>
    </w:p>
    <w:p>
      <w:pPr>
        <w:spacing w:after="0" w:line="1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16,883,380</w:t>
      </w:r>
    </w:p>
    <w:p>
      <w:pPr>
        <w:spacing w:after="0" w:line="1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308,123</w:t>
      </w:r>
    </w:p>
    <w:p>
      <w:pPr>
        <w:spacing w:after="0" w:line="1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2,000,000</w:t>
      </w:r>
    </w:p>
    <w:p>
      <w:pPr>
        <w:spacing w:after="0" w:line="1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654,532</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50,230,383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17145</wp:posOffset>
            </wp:positionV>
            <wp:extent cx="9366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662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33655</wp:posOffset>
            </wp:positionV>
            <wp:extent cx="9366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662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-123190</wp:posOffset>
            </wp:positionV>
            <wp:extent cx="9366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6625" cy="8255"/>
                    </a:xfrm>
                    <a:prstGeom prst="rect">
                      <a:avLst/>
                    </a:prstGeom>
                    <a:noFill/>
                  </pic:spPr>
                </pic:pic>
              </a:graphicData>
            </a:graphic>
          </wp:anchor>
        </w:drawing>
      </w:r>
    </w:p>
    <w:p>
      <w:pPr>
        <w:spacing w:after="0" w:line="1078" w:lineRule="exact"/>
        <w:rPr>
          <w:sz w:val="20"/>
          <w:szCs w:val="20"/>
          <w:color w:val="auto"/>
        </w:rPr>
      </w:pPr>
    </w:p>
    <w:p>
      <w:pPr>
        <w:sectPr>
          <w:pgSz w:w="11900" w:h="16838" w:orient="portrait"/>
          <w:cols w:equalWidth="0" w:num="2">
            <w:col w:w="8360" w:space="720"/>
            <w:col w:w="840"/>
          </w:cols>
          <w:pgMar w:left="980" w:top="500" w:right="999" w:bottom="1440" w:gutter="0" w:footer="0" w:header="0"/>
          <w:type w:val="continuous"/>
        </w:sectPr>
      </w:pPr>
    </w:p>
    <w:p>
      <w:pPr>
        <w:spacing w:after="0" w:line="2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In April 2025, in conjunction with the 2025 Share Exchange (see Note 6), the Company issued the 2025 Share Exchange Warrants with an exercise price of $0.001 per share and no expiration date. The 2025 Share Exchange Warrants are exercisable immediately and have substantially identical terms to the form of 2024 Pre-Funded Warrant (see below).</w:t>
      </w:r>
    </w:p>
    <w:p>
      <w:pPr>
        <w:spacing w:after="0" w:line="1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On August 15, 2024, the Company entered into a share surrender and warrant agreement with certain affiliated shareholders (the “2024 Shareholders”), pursuant to which (i) the 2024 Shareholders surrendered an aggregate of 4,000,000 Class A Ordinary Shares owned by the 2024 Shareholders, for no consideration, which were immediately cancelled and retired, upon surrender; and (ii) the Company issued pre-funded warrants to purchase an aggregate of 4,000,000 Ordinary Shares, with an exercise price of $0.001 per share (the “2024 Share Exchange Warrants”).</w:t>
      </w:r>
    </w:p>
    <w:p>
      <w:pPr>
        <w:spacing w:after="0" w:line="1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In connection with the April 2024 Private Placement, the Company sold to accredited investors the pre-funded warrants to purchase up to 16,102,348 Class A Ordinary Shares at a price of $3.107 per pre-funded warrant for an aggregate purchase price of $50.0 million (the “2024 Pre-Funded Warrants”).</w:t>
      </w:r>
    </w:p>
    <w:p>
      <w:pPr>
        <w:spacing w:after="0" w:line="1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In connection with the April 2023 Private Placement, the Company sold to accredited investors pre-funded warrants to purchase up to 3,782,000 Class A Ordinary Shares at a price of $4.249 per pre-funded warrant for an aggregate purchase price of approximately $16.1 million (the “2023 Pre-Funded Warrants”).</w:t>
      </w:r>
    </w:p>
    <w:p>
      <w:pPr>
        <w:spacing w:after="0" w:line="1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As of June 30, 2025 and December 31, 2024, there was an aggregate 30,384,348 and 23,884,348 pre-funded warrants outstanding, respectively, consisting of the 2023 Pre-Funded Warrants, 2024 Pre-Funded Warrants, 2024 Share Exchange Warrants and the 2025 Share Exchange Warrants (collectively, the “Pre-Funded Warrants”), each with an exercise price of $0.001. See Note 12.</w:t>
      </w:r>
    </w:p>
    <w:p>
      <w:pPr>
        <w:spacing w:after="0" w:line="1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Each Pre-Funded Warrant is exercisable for one Class A Ordinary Share at any time or times until the Pre-Funded Warrants are exercised in full. A holder of the Pre-Funded Warrants (together with its affiliates and other attribution parties) may not exercise any portion of a Pre-Funded Warrant to the extent that immediately prior to or after giving effect to such exercise the holder would beneficially own</w:t>
      </w:r>
    </w:p>
    <w:p>
      <w:pPr>
        <w:sectPr>
          <w:pgSz w:w="11900" w:h="16838" w:orient="portrait"/>
          <w:cols w:equalWidth="0" w:num="1">
            <w:col w:w="9920"/>
          </w:cols>
          <w:pgMar w:left="980" w:top="500" w:right="999" w:bottom="1440" w:gutter="0" w:footer="0" w:header="0"/>
          <w:type w:val="continuous"/>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more than 4.99% or 9.99%, depending on the holder of the Company’s outstanding Class A Ordinary Shares immediately after exercise, which percentage may be increased or decreased to any other percentage specified not in excess of 19.99% at the holder’s election upon 61 days’ notice to the Company subject to the terms of the Pre-Funded Warrants.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Exchange</w:t>
      </w: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On August 12, 2024, the Company completed an exchange offer (the “Exchange Offer”) relating to its outstanding warrants that it assumed in connection with the Business Combination, including (i) public warrants to purchase 5,910,000 Class A Ordinary Shares (the “Public Warrants”) that were held by JATT, and (ii) private placement warrants to purchase 6,899,996 Class A Ordinary Shares (the “Private Placement Warrants”) that were held by JATT shareholders, and issued 2,064,082 Class A Ordinary Shares in exchange for the Public Warrants and 1,718,108 Class A Ordinary Shares in exchange for the Private Placement Warrants (collectively, the “Warrant Exchange”).</w:t>
      </w:r>
    </w:p>
    <w:p>
      <w:pPr>
        <w:spacing w:after="0" w:line="168" w:lineRule="exact"/>
        <w:rPr>
          <w:sz w:val="20"/>
          <w:szCs w:val="20"/>
          <w:color w:val="auto"/>
        </w:rPr>
      </w:pPr>
    </w:p>
    <w:p>
      <w:pPr>
        <w:ind w:left="320" w:hanging="315"/>
        <w:spacing w:after="0"/>
        <w:tabs>
          <w:tab w:leader="none" w:pos="32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March 16, 2023, JATT’s board of directors approved the Zura Bio Limited 2023 Equity Incentive Plan (the “Equity Incentive Plan”) which became effective on the day immediately preceding the Closing Date of the Business Combination. The Equity Incentive Plan allows for the grant of share options, both incentive and nonqualified share options; stock appreciation rights (“SARs”), alone or in conjunction with other awards; restricted shares awards (“RSAs”) and restricted share units (“RSUs”); incentive bonuses, which may be paid in cash, shares, or a combination thereof; and other share-based awards to employees, officers, non-employee directors and other service providers. The Company has granted share options, RSUs and RSAs that generally vest over four years and expire after 10 years.</w:t>
      </w:r>
    </w:p>
    <w:p>
      <w:pPr>
        <w:spacing w:after="0" w:line="17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Class A Ordinary Shares issuable under the Equity Incentive Plan are subject to an annual increase on January 1st of each calendar year beginning on January 1, 2024, and ending on and including January 1, 2029, equal to the lesser of (i) 5.0% of the aggregate number of Class A Ordinary Shares outstanding on the final day of the immediately preceding calendar year, (ii) 8,059,796 Class A Ordinary Shares or (iii) such smaller number of shares as is determined by the board.</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March 16, 2023, JATT’s board of directors approved the Zura Bio Limited 2023 Employee Stock Purchase Plan (the “ESPP”) which became effective on the day immediately preceding the Closing Date of the Business Combination. The maximum number of Class A Ordinary Shares that may be issued under the ESPP is 4,029,898, plus an aggregate number of Class A Ordinary shares that are automatically added under the Equity Incentive Plan on January 1st of each calendar year, beginning on January 1, 2024, and ending on and including January 1, 2029, as discussed above. The ESPP enables eligible employees of the Company and designated affiliates to purchase Class A Ordinary Shares at a discount of 15%. As of June 30, 2025, the Company has not activated its ESPP.</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January 1, 2025, the Class A Ordinary Shares reserved for future issuances under the Equity Incentive Plan and/or ESPP were increased by the annual automatic increase of 5% of outstanding Class A Ordinary Shares as of December 31, 2024, or 3,264,877 Class A Ordinary Shares. As of June 30, 2025, there were 18,944,302 Class A Ordinary Shares were authorized for issuance under the Equity Incentive Plan and ESPP, collectively, including 2,055,314 Class A Ordinary Shares authorized for issuance outside of the Equity Incentive Plan and the ESPP.</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Incentive Plan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 Options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fair value of Equity Incentive Plan share options are estimated on the date of grant using the Black-Scholes option pricing model. The Company lacks significant company-specific historical and implied volatility information. Therefore, it estimates its expected share volatility based on the historical volatility of a publicly traded set of peer companies. Due to the lack of historical exercise history, the expected term of the Company’s share options has been determined using the simplified method, averaging the vesting period and the contractual life of the share options granted.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The following weighted-average assumptions were used to estimate the fair value of the Equity Incentive Plan share options issued during the six months ended June 30, 2025 and 2024:</w:t>
      </w:r>
    </w:p>
    <w:p>
      <w:pPr>
        <w:spacing w:after="0" w:line="153"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jc w:val="center"/>
        <w:ind w:left="7240"/>
        <w:spacing w:after="0" w:line="224" w:lineRule="auto"/>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20" w:type="dxa"/>
        <w:tblCellMar>
          <w:top w:w="0" w:type="dxa"/>
          <w:left w:w="0" w:type="dxa"/>
          <w:bottom w:w="0" w:type="dxa"/>
          <w:right w:w="0" w:type="dxa"/>
        </w:tblCellMar>
      </w:tblPr>
      <w:tr>
        <w:trPr>
          <w:trHeight w:val="137"/>
        </w:trPr>
        <w:tc>
          <w:tcPr>
            <w:tcW w:w="744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76"/>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96"/>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1"/>
                <w:szCs w:val="11"/>
                <w:color w:val="auto"/>
              </w:rPr>
            </w:pPr>
          </w:p>
        </w:tc>
      </w:tr>
      <w:tr>
        <w:trPr>
          <w:trHeight w:val="202"/>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price</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80" w:type="dxa"/>
            <w:vAlign w:val="bottom"/>
            <w:shd w:val="clear" w:color="auto" w:fill="CCEEFF"/>
          </w:tcPr>
          <w:p>
            <w:pPr>
              <w:spacing w:after="0"/>
              <w:rPr>
                <w:sz w:val="17"/>
                <w:szCs w:val="17"/>
                <w:color w:val="auto"/>
              </w:rPr>
            </w:pPr>
          </w:p>
        </w:tc>
      </w:tr>
      <w:tr>
        <w:trPr>
          <w:trHeight w:val="209"/>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100.0 %</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101.1 %</w:t>
            </w: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4.1 %</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4.2 %</w:t>
            </w:r>
          </w:p>
        </w:tc>
      </w:tr>
      <w:tr>
        <w:trPr>
          <w:trHeight w:val="209"/>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80" w:type="dxa"/>
            <w:vAlign w:val="bottom"/>
          </w:tcPr>
          <w:p>
            <w:pPr>
              <w:spacing w:after="0"/>
              <w:rPr>
                <w:sz w:val="18"/>
                <w:szCs w:val="18"/>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0 %</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0 %</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Company’s share option activity for the six months ended June 30, 2025:</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20" w:type="dxa"/>
            <w:vAlign w:val="bottom"/>
          </w:tcPr>
          <w:p>
            <w:pPr>
              <w:spacing w:after="0"/>
              <w:rPr>
                <w:sz w:val="13"/>
                <w:szCs w:val="13"/>
                <w:color w:val="auto"/>
              </w:rPr>
            </w:pPr>
          </w:p>
        </w:tc>
        <w:tc>
          <w:tcPr>
            <w:tcW w:w="78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6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0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20" w:type="dxa"/>
            <w:vAlign w:val="bottom"/>
          </w:tcPr>
          <w:p>
            <w:pPr>
              <w:spacing w:after="0"/>
              <w:rPr>
                <w:sz w:val="12"/>
                <w:szCs w:val="12"/>
                <w:color w:val="auto"/>
              </w:rPr>
            </w:pP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90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20" w:type="dxa"/>
            <w:vAlign w:val="bottom"/>
          </w:tcPr>
          <w:p>
            <w:pPr>
              <w:spacing w:after="0"/>
              <w:rPr>
                <w:sz w:val="12"/>
                <w:szCs w:val="12"/>
                <w:color w:val="auto"/>
              </w:rPr>
            </w:pPr>
          </w:p>
        </w:tc>
        <w:tc>
          <w:tcPr>
            <w:tcW w:w="780" w:type="dxa"/>
            <w:vAlign w:val="bottom"/>
          </w:tcPr>
          <w:p>
            <w:pPr>
              <w:jc w:val="center"/>
              <w:ind w:right="42"/>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0" w:type="dxa"/>
            <w:vAlign w:val="bottom"/>
          </w:tcPr>
          <w:p>
            <w:pPr>
              <w:spacing w:after="0"/>
              <w:rPr>
                <w:sz w:val="1"/>
                <w:szCs w:val="1"/>
                <w:color w:val="auto"/>
              </w:rPr>
            </w:pPr>
          </w:p>
        </w:tc>
      </w:tr>
      <w:tr>
        <w:trPr>
          <w:trHeight w:val="144"/>
        </w:trPr>
        <w:tc>
          <w:tcPr>
            <w:tcW w:w="60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90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120" w:type="dxa"/>
            <w:vAlign w:val="bottom"/>
          </w:tcPr>
          <w:p>
            <w:pPr>
              <w:spacing w:after="0"/>
              <w:rPr>
                <w:sz w:val="12"/>
                <w:szCs w:val="12"/>
                <w:color w:val="auto"/>
              </w:rPr>
            </w:pPr>
          </w:p>
        </w:tc>
        <w:tc>
          <w:tcPr>
            <w:tcW w:w="780" w:type="dxa"/>
            <w:vAlign w:val="bottom"/>
          </w:tcPr>
          <w:p>
            <w:pPr>
              <w:jc w:val="center"/>
              <w:ind w:right="42"/>
              <w:spacing w:after="0" w:line="144"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68"/>
        </w:trPr>
        <w:tc>
          <w:tcPr>
            <w:tcW w:w="6020" w:type="dxa"/>
            <w:vAlign w:val="bottom"/>
          </w:tcPr>
          <w:p>
            <w:pPr>
              <w:spacing w:after="0"/>
              <w:rPr>
                <w:sz w:val="14"/>
                <w:szCs w:val="14"/>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Life (Years)</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2"/>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as of December 31,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12,217,747</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8,388</w:t>
            </w:r>
          </w:p>
        </w:tc>
        <w:tc>
          <w:tcPr>
            <w:tcW w:w="0" w:type="dxa"/>
            <w:vAlign w:val="bottom"/>
          </w:tcPr>
          <w:p>
            <w:pPr>
              <w:spacing w:after="0"/>
              <w:rPr>
                <w:sz w:val="1"/>
                <w:szCs w:val="1"/>
                <w:color w:val="auto"/>
              </w:rPr>
            </w:pPr>
          </w:p>
        </w:tc>
      </w:tr>
      <w:tr>
        <w:trPr>
          <w:trHeight w:val="209"/>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4,824,440</w:t>
            </w:r>
          </w:p>
        </w:tc>
        <w:tc>
          <w:tcPr>
            <w:tcW w:w="6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(75,468)</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(83,339)</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as of June 30, 2025</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16,883,380</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2,951</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Options vested and exercisable as of June 30, 2025</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20" w:type="dxa"/>
            <w:vAlign w:val="bottom"/>
            <w:vMerge w:val="continue"/>
          </w:tcPr>
          <w:p>
            <w:pPr>
              <w:spacing w:after="0"/>
              <w:rPr>
                <w:sz w:val="16"/>
                <w:szCs w:val="16"/>
                <w:color w:val="auto"/>
              </w:rPr>
            </w:pPr>
          </w:p>
        </w:tc>
        <w:tc>
          <w:tcPr>
            <w:tcW w:w="92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7"/>
                <w:szCs w:val="17"/>
                <w:color w:val="auto"/>
              </w:rPr>
              <w:t>6,251,027</w:t>
            </w:r>
          </w:p>
        </w:tc>
        <w:tc>
          <w:tcPr>
            <w:tcW w:w="6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line="188"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7"/>
                <w:szCs w:val="17"/>
                <w:color w:val="auto"/>
              </w:rPr>
              <w:t>2.20</w:t>
            </w:r>
          </w:p>
        </w:tc>
        <w:tc>
          <w:tcPr>
            <w:tcW w:w="140" w:type="dxa"/>
            <w:vAlign w:val="bottom"/>
          </w:tcPr>
          <w:p>
            <w:pPr>
              <w:spacing w:after="0"/>
              <w:rPr>
                <w:sz w:val="16"/>
                <w:szCs w:val="16"/>
                <w:color w:val="auto"/>
              </w:rPr>
            </w:pPr>
          </w:p>
        </w:tc>
        <w:tc>
          <w:tcPr>
            <w:tcW w:w="76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7"/>
                <w:szCs w:val="17"/>
                <w:color w:val="auto"/>
              </w:rPr>
              <w:t>8.3</w:t>
            </w:r>
          </w:p>
        </w:tc>
        <w:tc>
          <w:tcPr>
            <w:tcW w:w="14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7"/>
                <w:szCs w:val="17"/>
                <w:color w:val="auto"/>
              </w:rPr>
              <w:t>2,374</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Included in options outstanding as of June 30, 2025 and December 31, 2024 in the table above are 2,055,314 and 2,165,369 options, respectively, to purchase Class A Ordinary Shares issued to certain directors, executives, and employees outside of the Equity Incentive Plan.</w:t>
      </w:r>
    </w:p>
    <w:p>
      <w:pPr>
        <w:spacing w:after="0" w:line="14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In May 2025, the Company granted 408,000 share options to purchase Class A Ordinary shares with non-market performance conditions (“PSOs”), included in the table above, that will vest upon the earlier of achieving a one-year service condition or upon the Company’s next Annual General Meeting (“AGM”).</w:t>
      </w:r>
    </w:p>
    <w:p>
      <w:pPr>
        <w:spacing w:after="0" w:line="1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December 2024, the Company granted 1,053,000 PSOs (the “2024 PSOs”), included in the table above, that were to vest upon the earlier of achieving a one-year service condition or upon the Company’s AGM. In February 2025, the date of the AGM was set to May 21, 2025 (the “AGM Date”). Accordingly, management determined that the performance condition was met and recorded the remaining unrecognized compensation expense of $1.5 million ratably through the AGM Date. The 2024 PSOs vested on the AGM Date.</w:t>
      </w:r>
    </w:p>
    <w:p>
      <w:pPr>
        <w:spacing w:after="0" w:line="16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The weighted average grant date fair value of options granted during the six months ended June 30, 2025 and 2024 was $0.96 and $2.83,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Market-Based Share Options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As of June 30, 2025, there are 306,373 options outstanding to purchase Class A Ordinary Shares, with market-based performance conditions, (“Market-Based Share Options”) that were granted to a certain director of the board during 2023. These awards will vest only to the extent that the 20-day volume weighted average trading price (“VWAP”) of the Class A Ordinary Shares is over $30 per Class A Ordinary Share at any time prior to the fifth anniversary of the grant date. These awards have an exercise price of $8.16 and become exercisable when vested and the market condition is satisfied. These awards expire 10 years from the date of grant. The fair value of these Market-Based Share Options was estimated using a Monte Carlo valuation method on the grant date. No Market-Based Share Options were granted during the six months ended June 30, 2025 and the year ended December 31, 2024.</w:t>
      </w:r>
    </w:p>
    <w:p>
      <w:pPr>
        <w:spacing w:after="0" w:line="17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The expense recognized related to Market-Based Share Options was $0.1 million and $0.2 million, respectively, for the three months ended June 30, 2025 and 2024, and $0.3 million for each of the six months ended June 30, 2025 and 2024.</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Restricted Share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Company’s RSU activity for the six months ended June 30, 2025:</w:t>
      </w: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0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4"/>
        </w:trPr>
        <w:tc>
          <w:tcPr>
            <w:tcW w:w="76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2"/>
              <w:spacing w:after="0" w:line="14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68"/>
        </w:trPr>
        <w:tc>
          <w:tcPr>
            <w:tcW w:w="768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9"/>
              </w:rPr>
              <w:t>Grant Date FV</w:t>
            </w:r>
          </w:p>
        </w:tc>
        <w:tc>
          <w:tcPr>
            <w:tcW w:w="0" w:type="dxa"/>
            <w:vAlign w:val="bottom"/>
          </w:tcPr>
          <w:p>
            <w:pPr>
              <w:spacing w:after="0"/>
              <w:rPr>
                <w:sz w:val="1"/>
                <w:szCs w:val="1"/>
                <w:color w:val="auto"/>
              </w:rPr>
            </w:pPr>
          </w:p>
        </w:tc>
      </w:tr>
      <w:tr>
        <w:trPr>
          <w:trHeight w:val="202"/>
        </w:trPr>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RSUs outstanding as of December 31,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874,923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0" w:type="dxa"/>
            <w:vAlign w:val="bottom"/>
          </w:tcPr>
          <w:p>
            <w:pPr>
              <w:spacing w:after="0"/>
              <w:rPr>
                <w:sz w:val="1"/>
                <w:szCs w:val="1"/>
                <w:color w:val="auto"/>
              </w:rPr>
            </w:pP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7"/>
                <w:szCs w:val="17"/>
                <w:color w:val="auto"/>
              </w:rPr>
              <w:t>Released</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(220,391)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0" w:type="dxa"/>
            <w:vAlign w:val="bottom"/>
          </w:tcPr>
          <w:p>
            <w:pPr>
              <w:spacing w:after="0"/>
              <w:rPr>
                <w:sz w:val="1"/>
                <w:szCs w:val="1"/>
                <w:color w:val="auto"/>
              </w:rPr>
            </w:pPr>
          </w:p>
        </w:tc>
      </w:tr>
      <w:tr>
        <w:trPr>
          <w:trHeight w:val="202"/>
        </w:trPr>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RSUs outstanding as of June 30, 2025</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654,532</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The expense recognized related to RSUs was $0.4 million and $0.5 million for the three months ended June 30, 2025 and 2024, respectively, and $0.8 million and $1.1 million for the six months ended June 30, 2025 and 2024, respectively.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Restricted Share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Company’s RSA activity for the six months ended June 30, 2025:</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4"/>
        </w:trPr>
        <w:tc>
          <w:tcPr>
            <w:tcW w:w="7680" w:type="dxa"/>
            <w:vAlign w:val="bottom"/>
          </w:tcPr>
          <w:p>
            <w:pPr>
              <w:spacing w:after="0"/>
              <w:rPr>
                <w:sz w:val="12"/>
                <w:szCs w:val="12"/>
                <w:color w:val="auto"/>
              </w:rPr>
            </w:pPr>
          </w:p>
        </w:tc>
        <w:tc>
          <w:tcPr>
            <w:tcW w:w="10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63"/>
              <w:spacing w:after="0" w:line="14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4"/>
        </w:trPr>
        <w:tc>
          <w:tcPr>
            <w:tcW w:w="76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63"/>
              <w:spacing w:after="0" w:line="144"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68"/>
        </w:trPr>
        <w:tc>
          <w:tcPr>
            <w:tcW w:w="768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RSAs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202"/>
        </w:trPr>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RSAs outstanding as of December 31,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374,995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w:t>
            </w:r>
          </w:p>
        </w:tc>
        <w:tc>
          <w:tcPr>
            <w:tcW w:w="0" w:type="dxa"/>
            <w:vAlign w:val="bottom"/>
          </w:tcPr>
          <w:p>
            <w:pPr>
              <w:spacing w:after="0"/>
              <w:rPr>
                <w:sz w:val="1"/>
                <w:szCs w:val="1"/>
                <w:color w:val="auto"/>
              </w:rPr>
            </w:pP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7"/>
                <w:szCs w:val="17"/>
                <w:color w:val="auto"/>
              </w:rPr>
              <w:t>Vested</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(124,998)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w:t>
            </w:r>
          </w:p>
        </w:tc>
        <w:tc>
          <w:tcPr>
            <w:tcW w:w="0" w:type="dxa"/>
            <w:vAlign w:val="bottom"/>
          </w:tcPr>
          <w:p>
            <w:pPr>
              <w:spacing w:after="0"/>
              <w:rPr>
                <w:sz w:val="1"/>
                <w:szCs w:val="1"/>
                <w:color w:val="auto"/>
              </w:rPr>
            </w:pPr>
          </w:p>
        </w:tc>
      </w:tr>
      <w:tr>
        <w:trPr>
          <w:trHeight w:val="202"/>
        </w:trPr>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RSAs outstanding as of June 30, 2025</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249,997</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The expense recognized related to RSAs was $0.2 million and $0.3 million for the three months ended June 30, 2025 and 2024, respectively, and $0.5 million for each of the six months ended June 30, 2025 and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Award Modification</w:t>
      </w:r>
    </w:p>
    <w:p>
      <w:pPr>
        <w:spacing w:after="0" w:line="1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three months ended June 30, 2025, the Company amended a member of the board of director’s option agreements, causing his unvested options to purchase 32,099 Class A Ordinary Shares to become fully vested and exercisable as of the AGM Date. Additionally, the board of directors extended the post-termination exercise period of his vested options to purchase an aggregate of 165,149 Class A Ordinary Shares to the applicable expiration date of each of the respective option awards, upon completion of his service as a member of the board of directors. During the three months ended June 30, 2025, the Company recognized $0.1 million of share-based compensation expense related to this modification within general and administrative expense in the condensed consolidated statement of operations.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June 27, 2025, the Company and Verender Badial, the Company’s former Chief Financial Officer, entered into an agreement in connection with Mr. Badial’s resignation from the Company (the “Settlement Agreement”). The Settlement Agreement provides for accelerated vesting of the unvested portion of two outstanding options, previously granted to Mr. Badial, relating to an aggregate of 198,540 Class A Ordinary Shares, which became fully vested and exercisable on July 31, 2025. The Settlement Agreement also provides for an extension of the post-termination exercise period of all of Mr. Badial’s vested share options to the applicable expiration date of the applicable stock option, as of July 31, 2025, subject to certain conditions therein. All other remaining unvested options to purchase Class A Ordinary Shares were forfeited and cancelled on July 31, 2025. The Company recognized $0.1 million of share-based compensation expense related to this modification during the three months ended June 30, 2025, and expects to recognize $0.1 million of share-based compensation expense related to this modification in the third quarter of 2025, within general and administrative expense in the condensed consolidated statement of operations.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 Expense</w:t>
      </w:r>
    </w:p>
    <w:p>
      <w:pPr>
        <w:spacing w:after="0" w:line="14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Share-based compensation expense for all equity arrangements for the three and six months ended June 30, 2025 and 2024 was as follows (in thousands):</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40" w:type="dxa"/>
            <w:vAlign w:val="bottom"/>
            <w:gridSpan w:val="4"/>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4"/>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68"/>
        </w:trPr>
        <w:tc>
          <w:tcPr>
            <w:tcW w:w="5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r>
      <w:tr>
        <w:trPr>
          <w:trHeight w:val="137"/>
        </w:trPr>
        <w:tc>
          <w:tcPr>
            <w:tcW w:w="53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82"/>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77"/>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02"/>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97"/>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w:t>
            </w:r>
          </w:p>
        </w:tc>
      </w:tr>
      <w:tr>
        <w:trPr>
          <w:trHeight w:val="209"/>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3,356</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2,290</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6,482</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4,266</w:t>
            </w:r>
          </w:p>
        </w:tc>
      </w:tr>
      <w:tr>
        <w:trPr>
          <w:trHeight w:val="202"/>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share-based compensation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3,732</w:t>
            </w: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2,926</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7,376</w:t>
            </w: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5,335</w:t>
            </w:r>
          </w:p>
        </w:tc>
      </w:tr>
      <w:tr>
        <w:trPr>
          <w:trHeight w:val="20"/>
        </w:trPr>
        <w:tc>
          <w:tcPr>
            <w:tcW w:w="5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As of June 30, 2025, there was approximately $19.5 million of total unrecognized share-based compensation expense related to options granted to employees, executives, and directors that is expected to be recognized over a weighted average period of 3.1 years. As of June 30, 2025, there was approximately $3.3 million of total unrecognized share-based compensation expense related to RSUs granted to certain employees, executives, and directors under the Company’s Equity Incentive Plan that is expected to be recognized over a weighted average period of 1.9 years. As of June 30, 2025, there was approximately $1.7 million of total unrecognized share-based compensation expense related to RSAs granted to a certain director under the Company’s Equity Incentive Plan that is expected to be recognized over a weighted average period of 1.7 years.</w:t>
      </w:r>
    </w:p>
    <w:p>
      <w:pPr>
        <w:spacing w:after="0" w:line="110" w:lineRule="exact"/>
        <w:rPr>
          <w:sz w:val="20"/>
          <w:szCs w:val="20"/>
          <w:color w:val="auto"/>
        </w:rPr>
      </w:pPr>
    </w:p>
    <w:p>
      <w:pPr>
        <w:ind w:left="320" w:hanging="315"/>
        <w:spacing w:after="0"/>
        <w:tabs>
          <w:tab w:leader="none" w:pos="32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16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Redeemable Noncontrolling Interest</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As a finder’s fee for the 2022 Lilly License, the Company’s consolidated subsidiary Z33 issued 4,900,222 shares of Z33 Series Seed Preferred Shares to Stone Peach. Zura and Stone Peach have the following rights, as amended, (a) Zura had the right, but not the obligation to purchase up to 50% of the Series Seed Preferred Shares issued to Stone Peach at a price per share of $2.448869 for a period of two years from the date of the agreement (the “Call Option”); (b) Stone Peach has the right, but not the obligation to sell up to 50% of the Series Seed Preferred Shares issued to Stone Peach to Zura for a price per share of $2.040724 (the “Put Option”), and (c) Stone Peach has the right, but not the obligation to sell up to 50% of the Series Seed Preferred Shares issued to Stone Peach to Zura in exchange for 2,000,000 Class A Ordinary Shares (the “Put Right”). Stone Peach may exercise its Put Option and Put Right at any time between April 24, 2024, and April 24, 2028.</w:t>
      </w:r>
    </w:p>
    <w:p>
      <w:pPr>
        <w:spacing w:after="0" w:line="1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As it is not possible to specifically identify the shares that may be redeemed by exercising the Put Option, and the applicable unit of account is each share, the Company assessed that each share must be considered redeemable until the exercise or the expiration of the Put Option. Accordingly, the Z33 Series Seed Preferred Shares issued to Stone Peach represents redeemable noncontrolling interest.</w:t>
      </w:r>
    </w:p>
    <w:p>
      <w:pPr>
        <w:spacing w:after="0" w:line="11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As of each of June 30, 2025 and December 31, 2024, the redeemable noncontrolling interest balance was recorded at its initial carrying amount, decreased for the noncontrolling interest’s share of Z33’s net loss, of $11.7 million.</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six months ended June 30, 2024, the Company recorded the $7.0 million difference from remeasuring the redeemable noncontrolling interest from its redemption price to its initial carrying amount, decreased for the noncontrolling interest’s share of Z33’s net loss, as an adjustment to net loss to arrive at net loss attributable to Class A ordinary shareholders for the six months ended June 30, 2024 in the condensed consolidated statement of operations. The redeemable noncontrolling interest was remeasured to its redemption value as of June 30, 2024 resulting in accretion of redeemable noncontrolling interest to redemption value of $2.3 million for each of the three and six months ended June 30, 2024.</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Defined Contribution Plans</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maintains a 401(k) defined contribution retirement plan (the “401(k) Plan”) for all of its U.S. employees. For the 401(k) Plan, the Company makes a matching contribution up to a maximum of 6% of an employee’s annual salary. For U.K. employees, the Company contributes up to 6% of an employee’s annual salary to defined contribution retirement pension plans (the “U.K. Defined Contribution Plan” and, together with the 401(k) Plan, the “Defined Contribution Plans”). Contributions made by the Company vest 100% upon contribution. The expense recorded for the Defined Contribution Plans was $0.1 million and $41,000 for the three months ended June 30, 2025 and 2024, respectively, and $0.2 million and $0.1 million for the six months ended June 30, 2025 and 2024,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Subsequent Events</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On July 4, 2025, President Trump signed H.R. 1, the “One Big Beautiful Bill Act”, into law. In accordance with U.S. GAAP, the Company will account for the tax effects of changes in tax law in the period of enactment, the third quarter of 2025. The Company is currently in the process of analyzing the tax impacts of the law change, but it does not expect a material impact in the condensed consolidated financial statements.</w:t>
      </w:r>
    </w:p>
    <w:p>
      <w:pPr>
        <w:spacing w:after="0" w:line="3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On July 14, 2025, the Company received a request from Stone Peach to exercise the Put Option pursuant to the Stone Peach Letter Agreement, pursuant to which Stone Peach would sell 50% of its shareholding Series Seed Preferred Shares in Z33 to the Company for $5.0 million. Additionally, on July 23, 2025, the Company received a further request from Stone Peach to exercise the Put Right pursuant to the Stone Peach Letter Agreement, pursuant to which Stone Peach would sell 50% of its Series Seed Preferred Shares in Z33 for 2,000,000 of the Company’s Class A Ordinary Shares.</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July 2025, the Company granted inducement awards consisting of options to purchase 890,950 Class A Ordinary Shares that vest over four years to newly hired employees. These awards were approved by the compensation committee and the board of directors and granted outside the Company’s Equity Incentive Plan, as inducements material to the new employees’ employments, in accordance with Nasdaq Listing Rule 5635(c)(4). The awards are subject to the terms and conditions and other provisions set forth in the Company’s Plan and the award agreements thereunder.</w:t>
      </w:r>
    </w:p>
    <w:p>
      <w:pPr>
        <w:spacing w:after="0" w:line="1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In July 2025, the Company issued 2,888,952 Class A Ordinary Shares in connection with the exercise of 1,682,000 2023 Pre-Funded Warrants and 1,206,952 2024 Pre-Funded Warrants issued in the Company’s April 2023 Private Placement and April 2024 Private Placement, respectively. The exercise price for such pre-funded warrants was immaterial.</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22" w:lineRule="exact"/>
        <w:rPr>
          <w:sz w:val="20"/>
          <w:szCs w:val="20"/>
          <w:color w:val="auto"/>
        </w:rPr>
      </w:pPr>
    </w:p>
    <w:p>
      <w:pPr>
        <w:jc w:val="both"/>
        <w:ind w:firstLine="313"/>
        <w:spacing w:after="0" w:line="266" w:lineRule="auto"/>
        <w:rPr>
          <w:sz w:val="20"/>
          <w:szCs w:val="20"/>
          <w:color w:val="auto"/>
        </w:rPr>
      </w:pPr>
      <w:r>
        <w:rPr>
          <w:rFonts w:ascii="Times New Roman" w:cs="Times New Roman" w:eastAsia="Times New Roman" w:hAnsi="Times New Roman"/>
          <w:sz w:val="17"/>
          <w:szCs w:val="17"/>
          <w:i w:val="1"/>
          <w:iCs w:val="1"/>
          <w:color w:val="auto"/>
        </w:rPr>
        <w:t>The following discussion and analysis provides information that management believes is relevant to an assessment and understanding of our consolidated results of operations and financial condition. You should read the following discussion and analysis of our financial condition and results of operations in conjunction with our audited consolidated financial statements as of December 31, 2024, included in the 2024 Annual Report filed with the SEC on March 25, 2025, and in conjunction with the unaudited condensed consolidated financial statements and notes thereto included elsewhere in this Quarterly Report.</w:t>
      </w:r>
    </w:p>
    <w:p>
      <w:pPr>
        <w:spacing w:after="0" w:line="170"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i w:val="1"/>
          <w:iCs w:val="1"/>
          <w:color w:val="auto"/>
        </w:rPr>
        <w:t>In addition to historical information, this discussion and analysis contains forward-looking statements. These forward-looking statements are subject to risks and uncertainties, including those discussed in the section titled “Risk Factors” in our Form 10-K filed with the SEC on March 25, 2025, as supplemented by the risks and uncertainties described in “Risk Factors” Item I.A. Risk Factors in Part II of this Quarterly Report, that could cause actual results to differ materially from historical results or anticipated results. You should carefully read the information under “Cautionary Note Regarding Forward-Looking Statements” in this Quarterly Report. Unless the context otherwise requires, references in this “Management’s Discussion and Analysis of Financial Condition and Results of Operations” to “Zura,” “we,” “us,” and “our” refer to Zura Bio Limited, a Cayman Islands exempted company formerly known as JATT Acquisition Corp, and its consolidated subsidiaries. References to JATT Acquisition Corp or “JATT” refer to the Company prior to the consummation of the Business Combination.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4" w:lineRule="exact"/>
        <w:rPr>
          <w:sz w:val="20"/>
          <w:szCs w:val="20"/>
          <w:color w:val="auto"/>
        </w:rPr>
      </w:pPr>
    </w:p>
    <w:p>
      <w:pPr>
        <w:jc w:val="both"/>
        <w:ind w:firstLine="313"/>
        <w:spacing w:after="0" w:line="269" w:lineRule="auto"/>
        <w:rPr>
          <w:sz w:val="20"/>
          <w:szCs w:val="20"/>
          <w:color w:val="auto"/>
        </w:rPr>
      </w:pPr>
      <w:r>
        <w:rPr>
          <w:rFonts w:ascii="Times New Roman" w:cs="Times New Roman" w:eastAsia="Times New Roman" w:hAnsi="Times New Roman"/>
          <w:sz w:val="17"/>
          <w:szCs w:val="17"/>
          <w:color w:val="auto"/>
        </w:rPr>
        <w:t>We are a clinical-stage, multi-asset immunology company dedicated to developing novel dual-pathway antibodies for autoimmune and inflammatory diseases with unmet needs. Leveraging the extensive experience of our team, we identify relevant diseases and develop our differentiated assets in those diseases. Our strategic focus is to harness dual-pathway biology to provide broader and deeper clinical benefits to patients with autoimmune and inflammatory diseases.</w:t>
      </w:r>
    </w:p>
    <w:p>
      <w:pPr>
        <w:spacing w:after="0" w:line="168" w:lineRule="exact"/>
        <w:rPr>
          <w:sz w:val="20"/>
          <w:szCs w:val="20"/>
          <w:color w:val="auto"/>
        </w:rPr>
      </w:pPr>
    </w:p>
    <w:p>
      <w:pPr>
        <w:jc w:val="both"/>
        <w:ind w:firstLine="313"/>
        <w:spacing w:after="0" w:line="287" w:lineRule="auto"/>
        <w:rPr>
          <w:sz w:val="20"/>
          <w:szCs w:val="20"/>
          <w:color w:val="auto"/>
        </w:rPr>
      </w:pPr>
      <w:r>
        <w:rPr>
          <w:rFonts w:ascii="Times New Roman" w:cs="Times New Roman" w:eastAsia="Times New Roman" w:hAnsi="Times New Roman"/>
          <w:sz w:val="17"/>
          <w:szCs w:val="17"/>
          <w:color w:val="auto"/>
        </w:rPr>
        <w:t>We are currently advancing one lead product candidate in ongoing Phase 2 clinical trials and are actively evaluating additional development opportunities across our pipeline of clinical-stage product candidates, prioritizing indications with unmet need and commercial potential.</w:t>
      </w:r>
    </w:p>
    <w:p>
      <w:pPr>
        <w:spacing w:after="0" w:line="368" w:lineRule="exact"/>
        <w:rPr>
          <w:sz w:val="20"/>
          <w:szCs w:val="20"/>
          <w:color w:val="auto"/>
        </w:rPr>
      </w:pPr>
    </w:p>
    <w:p>
      <w:pPr>
        <w:jc w:val="both"/>
        <w:ind w:firstLine="313"/>
        <w:spacing w:after="0" w:line="264" w:lineRule="auto"/>
        <w:rPr>
          <w:sz w:val="20"/>
          <w:szCs w:val="20"/>
          <w:color w:val="auto"/>
        </w:rPr>
      </w:pPr>
      <w:r>
        <w:rPr>
          <w:rFonts w:ascii="Times New Roman" w:cs="Times New Roman" w:eastAsia="Times New Roman" w:hAnsi="Times New Roman"/>
          <w:sz w:val="17"/>
          <w:szCs w:val="17"/>
          <w:color w:val="auto"/>
        </w:rPr>
        <w:t>Our lead product candidate, tibulizumab (ZB-106), is an immunoglobulin G (IgG)-single-chain variable fragment (scFv) bispecific dual-antagonist antibody engineered by the fusion of TALTZ® (ixekizumab) and tabalumab to neutralize interleukin-17A (IL-17A) and B-cell activating factor (BAFF). These cytokines play pivotal roles in various inflammatory and autoimmune disorders. By targeting IL-17A and BAFF, tibulizumab demonstrates potential in mitigating chronic inflammation while preserving the integrity of the immune system. Three Phase 1/1b clinical studies evaluating tibulizumab have been completed, including studies involving participants with rheumatoid arthritis and Sjögren’s syndrome.</w:t>
      </w:r>
    </w:p>
    <w:p>
      <w:pPr>
        <w:spacing w:after="0" w:line="172"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color w:val="auto"/>
        </w:rPr>
        <w:t>In May 2025, the Company initiated TibuSHIELD, a global Phase 2 clinical study evaluating tibulizumab in adults with moderate to severe hidradenitis suppurativa (HS). TibuSHIELD is a randomized, double-blind, placebo-controlled study designed to assess the safety, tolerability, and efficacy of tibulizumab in approximately 180 adults with moderate to severe HS across the United States, Canada and Europe. The study will evaluate tibulizumab over a 28-week period, which includes a 16-week efficacy assessment period followed by an optional open-label extension (“OLE”) and a 12-week safety follow-up. The primary endpoint of the study is the percent change from baseline in total abscess and nodule (AN) count at week 16. Secondary endpoints include the proportion of participants achieving HiSCR50 or HiSCR75, defined as at least a 50% or 75% reduction in AN count without an increase in abscesses or draining fistulas at week 16. Key safety assessments include the assessment of tolerability, and monitoring for adverse events. Topline results for the primary efficacy endpoint at week 16 are expected to be available in the third quarter of 2026.</w:t>
      </w:r>
    </w:p>
    <w:p>
      <w:pPr>
        <w:spacing w:after="0" w:line="175"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In December 2024, we initiated TibuSURE, a global Phase 2 clinical study evaluating tibulizumab in adults with systemic sclerosis (SSc). TibuSURE is a randomized, double-blind, placebo-controlled study designed to assess the safety, tolerability, and efficacy of tibulizumab in approximately 80 participants with early diffuse cutaneous systemic sclerosis (dcSSc). The study includes a 24-week efficacy period followed by a 28-week OLE. The primary endpoint is the modified Rodnan Skin Score (mRSS). Key efficacy endpoints include lung disease, assessed by quantitative high-resolution computed tomography (qHRCT) and forced vital capacity (FVC); physical function, measured by the Health Assessment Questionnaire-Disability Index (HAQ-DI); and the revised Combined Response Index in Systemic Sclerosis (rCRISS). Topline data are expected to be available in the fourth quarter of 2026.</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firstLine="313"/>
        <w:spacing w:after="0" w:line="266" w:lineRule="auto"/>
        <w:rPr>
          <w:sz w:val="20"/>
          <w:szCs w:val="20"/>
          <w:color w:val="auto"/>
        </w:rPr>
      </w:pPr>
      <w:r>
        <w:rPr>
          <w:rFonts w:ascii="Times New Roman" w:cs="Times New Roman" w:eastAsia="Times New Roman" w:hAnsi="Times New Roman"/>
          <w:sz w:val="17"/>
          <w:szCs w:val="17"/>
          <w:color w:val="auto"/>
        </w:rPr>
        <w:t>Crebankitug (ZB-168) is a fully human, high affinity monoclonal antibody that binds and neutralizes the interleukin-7 receptor (IL-7R) alpha chain. IL-7Rα sits at the nexus of two key immune pathways, IL-7 and thymic stromal lymphopoietin (TSLP), thus IL-7Rα has the potential to block activation through either of these pathways. As a result, we believe crebankitug could be therapeutically relevant in a broad set of indications where the IL-7 or TSLP pathways may be involved. Three Phase 1/1b clinical studies have been conducted to date. We are actively assessing the competitive landscape and evaluating potential therapeutic indications for crebankitug.</w:t>
      </w:r>
    </w:p>
    <w:p>
      <w:pPr>
        <w:spacing w:after="0" w:line="170"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color w:val="auto"/>
        </w:rPr>
        <w:t>Torudokimab (ZB-880) is a fully human, high affinity monoclonal antibody that neutralizes interleukin-33 (IL-33), thereby inhibiting ST2-dependent inflammatory signaling and potentially modulating ST2-independent pathways, such as those mediated by the RAGE. The IL-33/ST2 axis is supported by genetic evidence and is under clinical investigation as a therapeutic target in inflammatory diseases, with development programs in asthma and ongoing evaluation in COPD. Three Phase 1/2 clinical studies evaluating torudokimab have been conducted to date. We continue to monitor publicly available clinical data from other IL-33/ST2-targeted programs. To date, two companies have reported results from Phase 2b and Phase 3 trials in COPD, with some studies meeting their predefined efficacy endpoints and others not. An additional IL-33/ST2 program is expected to report results in 2026. These data, along with ongoing internal assessments and an evaluation of the competitive landscape, may inform future development plans for torudokimab.</w:t>
      </w:r>
    </w:p>
    <w:p>
      <w:pPr>
        <w:spacing w:after="0" w:line="179"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We were incorporated as a Cayman Islands exempted company on March 10, 2021. Our wholly owned subsidiary, Zura Bio Limited was formed in the United Kingdom (“U.K.”) (“Zura Bio UK”), on January 18, 2022. Prior to March 20, 2023, our operations were conducted through Zura Bio UK.</w:t>
      </w:r>
    </w:p>
    <w:p>
      <w:pPr>
        <w:spacing w:after="0" w:line="163" w:lineRule="exact"/>
        <w:rPr>
          <w:sz w:val="20"/>
          <w:szCs w:val="20"/>
          <w:color w:val="auto"/>
        </w:rPr>
      </w:pPr>
    </w:p>
    <w:p>
      <w:pPr>
        <w:jc w:val="both"/>
        <w:ind w:firstLine="313"/>
        <w:spacing w:after="0" w:line="259" w:lineRule="auto"/>
        <w:rPr>
          <w:sz w:val="20"/>
          <w:szCs w:val="20"/>
          <w:color w:val="auto"/>
        </w:rPr>
      </w:pPr>
      <w:r>
        <w:rPr>
          <w:rFonts w:ascii="Times New Roman" w:cs="Times New Roman" w:eastAsia="Times New Roman" w:hAnsi="Times New Roman"/>
          <w:sz w:val="17"/>
          <w:szCs w:val="17"/>
          <w:color w:val="auto"/>
        </w:rPr>
        <w:t>We have a limited operating history. Since our inception, our operations have focused on organizing and staffing our company, business planning, raising capital and entering into collaboration agreements for conducting manufacturing, and research and development activities. Our lead product candidates are in the clinical testing stage; however, prior to the initiation of TibuSHIELD and TibuSURE in May 2025 and December 2024, respectively, we had not conducted any clinical tests ourselves. We do not have any product candidates approved for sale and have not generated any revenue from product sales. We have funded our operations through (i) the sale of equity, raising an aggregate of $10.0 million of gross proceeds from the sale of our convertible preferred shares of Zura Bio UK through March 31, 2023; (ii) the issuance of a promissory note, receiving net proceeds of $7.6 million in December 2022; (iii) proceeds from the Business Combination of $56.7 million in March 2023; (iv) the sale of Class A Ordinary Shares and pre-funded warrants during the year ended December 31, 2023 (the “April 2023 Private Placement”), raising an aggregate of $75.8 million of net cash proceeds; (v) the sale of Class A Ordinary Shares and pre-funded warrants in April 2024 (the “April 2024 Private Placement”) raising an aggregate of $105.3 million of net cash proceeds; (vi) the sale of 1,500,000 Class A Ordinary Shares at a price of $3.80 per share under the ATM (as defined below) for net proceeds of $5.5 million, after placement agent commissions, in September 2024; and (vii) the sale of 3,000,000 Class A Ordinary Shares at a price of $1.75 per share under the ATM for net proceeds of $5.1 million, after placement agent commissions, in the first quarter of 2025.</w:t>
      </w:r>
    </w:p>
    <w:p>
      <w:pPr>
        <w:spacing w:after="0" w:line="182"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Since our inception, we have incurred significant operating losses. Our net loss for the three and six months ended June 30, 2025 were $16.0 million and $33.4 million, respectively. As of June 30, 2025, we had an accumulated deficit of $189.3 million. We anticipate that our expenses will increase significantly in connection with our ongoing activities, as we:</w:t>
      </w:r>
    </w:p>
    <w:p>
      <w:pPr>
        <w:spacing w:after="0" w:line="163" w:lineRule="exact"/>
        <w:rPr>
          <w:sz w:val="20"/>
          <w:szCs w:val="20"/>
          <w:color w:val="auto"/>
        </w:rPr>
      </w:pPr>
    </w:p>
    <w:p>
      <w:pPr>
        <w:ind w:left="660" w:hanging="315"/>
        <w:spacing w:after="0"/>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advance the preclinical and clinical development of our product candidates;</w:t>
      </w:r>
    </w:p>
    <w:p>
      <w:pPr>
        <w:spacing w:after="0" w:line="222" w:lineRule="exact"/>
        <w:rPr>
          <w:rFonts w:ascii="Times New Roman" w:cs="Times New Roman" w:eastAsia="Times New Roman" w:hAnsi="Times New Roman"/>
          <w:sz w:val="17"/>
          <w:szCs w:val="17"/>
          <w:color w:val="auto"/>
        </w:rPr>
      </w:pPr>
    </w:p>
    <w:p>
      <w:pPr>
        <w:ind w:left="660" w:right="20" w:hanging="315"/>
        <w:spacing w:after="0" w:line="295" w:lineRule="auto"/>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our planned preclinical studies and clinical trials for our product candidates, as well as initiate and complete additional trials of future potential product candidates;</w:t>
      </w:r>
    </w:p>
    <w:p>
      <w:pPr>
        <w:spacing w:after="0" w:line="146"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scale up our clinical and regulatory capabilities;</w:t>
      </w:r>
    </w:p>
    <w:p>
      <w:pPr>
        <w:spacing w:after="0" w:line="222"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manufacture current good manufacturing practices, or cGMP, material for clinical trials or potential commercial sales;</w:t>
      </w:r>
    </w:p>
    <w:p>
      <w:pPr>
        <w:spacing w:after="0" w:line="222"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additional clinical, quality, regulatory, manufacturing, scientific and administrative personnel;</w:t>
      </w:r>
    </w:p>
    <w:p>
      <w:pPr>
        <w:spacing w:after="0" w:line="222" w:lineRule="exact"/>
        <w:rPr>
          <w:rFonts w:ascii="Times New Roman" w:cs="Times New Roman" w:eastAsia="Times New Roman" w:hAnsi="Times New Roman"/>
          <w:sz w:val="17"/>
          <w:szCs w:val="17"/>
          <w:color w:val="auto"/>
        </w:rPr>
      </w:pPr>
    </w:p>
    <w:p>
      <w:pPr>
        <w:ind w:left="660" w:right="20" w:hanging="315"/>
        <w:spacing w:after="0" w:line="295" w:lineRule="auto"/>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commercialization infrastructure and scale up manufacturing and distribution capabilities to commercialize any product candidates for which we may obtain regulatory approval;</w:t>
      </w:r>
    </w:p>
    <w:p>
      <w:pPr>
        <w:spacing w:after="0" w:line="146"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adapt our regulatory compliance efforts to incorporate requirements applicable to marketed products;</w:t>
      </w:r>
    </w:p>
    <w:p>
      <w:pPr>
        <w:spacing w:after="0" w:line="222"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regulatory approval for any product candidates that successfully complete clinical trials;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60" w:hanging="315"/>
        <w:spacing w:after="0"/>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expand and protect our intellectual property portfolio;</w:t>
      </w:r>
    </w:p>
    <w:p>
      <w:pPr>
        <w:spacing w:after="0" w:line="222" w:lineRule="exact"/>
        <w:rPr>
          <w:rFonts w:ascii="Times New Roman" w:cs="Times New Roman" w:eastAsia="Times New Roman" w:hAnsi="Times New Roman"/>
          <w:sz w:val="17"/>
          <w:szCs w:val="17"/>
          <w:color w:val="auto"/>
        </w:rPr>
      </w:pPr>
    </w:p>
    <w:p>
      <w:pPr>
        <w:ind w:left="660" w:hanging="315"/>
        <w:spacing w:after="0" w:line="295" w:lineRule="auto"/>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 operational, financial, and management information systems and personnel, including personnel to support our product development and planned future commercialization efforts; and</w:t>
      </w:r>
    </w:p>
    <w:p>
      <w:pPr>
        <w:spacing w:after="0" w:line="146"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additional legal, accounting, and other expenses in operating as a public 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Effective July 7, 2025, Eric Hyllengren succeeded Verender Badial as Chief Financial Officer of the 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Combination</w:t>
      </w:r>
    </w:p>
    <w:p>
      <w:pPr>
        <w:spacing w:after="0" w:line="224"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color w:val="auto"/>
        </w:rPr>
        <w:t>On March 20, 2023 (the “Closing Date”), we consummated the previously-announced transactions contemplated by the Business Combination Agreement, dated June 16, 2022, as amended on September 20, 2022, November 14, 2022, and January 13, 2023 by and among Zura Bio Limited, a limited company incorporated under the laws of England and Wales (“Zura Bio UK”), JATT Acquisition Corp, a Cayman Islands exempted company (“JATT”), JATT Merger Sub, a Cayman Islands exempted company and wholly owned subsidiary of JATT (“Merger Sub”), JATT Merger Sub 2, a Cayman Islands exempted company and wholly owned subsidiary of JATT (“Merger Sub 2”) and Zura Bio Holdings Ltd, a Cayman Islands exempted company (“Holdco”), following the approval at an extraordinary general meeting of JATT’s shareholders held on March 16, 2023.On March 21, 2023, our Class A Ordinary Shares and public warrants began trading on the Nasdaq under the symbols “ZURA” and “ZURAW,” respectively. As of August 27, 2024, our public warrants were no longer listed on the Nasdaq in connection with the completion of our exchange of our public warrants for shares.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Shelf Registration and ATM Program</w:t>
      </w:r>
    </w:p>
    <w:p>
      <w:pPr>
        <w:spacing w:after="0" w:line="224"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color w:val="auto"/>
        </w:rPr>
        <w:t>Pursuant to the shelf registration statement on Form S-3 declared effective on September 17, 2024 (the “Shelf Registration Statement”), we may offer and sell ordinary shares, preference shares, debt securities, warrants and or units having an aggregate public offering price of up to $300.0 million. In connection with the filing of the Shelf Registration Statement, we also entered into a sales agreement (the “Sales Agreement”) with Leerink Partners LLC (“Leerink Partners”), relating to the sale of our Class A Ordinary Shares having an aggregate gross sales price of up to $125.0 million, from time to time through Leerink Partners, acting as sales agent (the “ATM”). In the first quarter of 2025, we sold 3,000,000 Class A Ordinary Shares at a price of $1.75 per share under the ATM, for net proceeds of $5.1 million, after placement agent commissions. During the second quarter of 2025, there were no sales of Class A Ordinary Shares pursuant to the ATM. As of the date of this filing, we have $114.0 million of Class A Ordinary Shares remaining available for sale under the Sales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Pre-Funded Warrant Activity</w:t>
      </w:r>
    </w:p>
    <w:p>
      <w:pPr>
        <w:spacing w:after="0" w:line="224"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In July 2025, the Company issued 2,888,952 Class A Ordinary Shares in connection with the exercise of 1,682,000 and 1,206,952 pre-funded warrants issued in the Company’s April 2023 Private Placement and April 2024 Private Placement, respectively. The exercise price for such pre-funded warrants was immaterial.</w:t>
      </w:r>
    </w:p>
    <w:p>
      <w:pPr>
        <w:spacing w:after="0" w:line="163" w:lineRule="exact"/>
        <w:rPr>
          <w:sz w:val="20"/>
          <w:szCs w:val="20"/>
          <w:color w:val="auto"/>
        </w:rPr>
      </w:pPr>
    </w:p>
    <w:p>
      <w:pPr>
        <w:jc w:val="both"/>
        <w:ind w:firstLine="313"/>
        <w:spacing w:after="0" w:line="264" w:lineRule="auto"/>
        <w:rPr>
          <w:sz w:val="20"/>
          <w:szCs w:val="20"/>
          <w:color w:val="auto"/>
        </w:rPr>
      </w:pPr>
      <w:r>
        <w:rPr>
          <w:rFonts w:ascii="Times New Roman" w:cs="Times New Roman" w:eastAsia="Times New Roman" w:hAnsi="Times New Roman"/>
          <w:sz w:val="17"/>
          <w:szCs w:val="17"/>
          <w:color w:val="auto"/>
        </w:rPr>
        <w:t>In April 2025, we entered into share surrender and warrant agreements with certain affiliated shareholders (the “2025 Shareholders”), pursuant to which (i) the 2025 Shareholders surrendered an aggregate of 6,500,000 Class A Ordinary Shares owned by the 2025 Shareholders, for no consideration, which were immediately cancelled and retired, upon surrender; and (ii) we issued pre-funded warrants to purchase an aggregate of 6,500,000 Class A Ordinary Shares, with an exercise price of $0.001 per share and no expiration date (the “2025 Share Exchange Warrants). The 2025 Share Exchange Warrants are exercisable immediately and have substantially identical terms to the pre-funded warrants issued in 2024 in connection with our April 2024 subscription agreements.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2023 Lilly License</w:t>
      </w:r>
    </w:p>
    <w:p>
      <w:pPr>
        <w:spacing w:after="0" w:line="224"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On April 26, 2023, our consolidated subsidiary ZB17 LLC (“ZB17”) entered into a license agreement (the “2023 Lilly License” and, together with the 2022 Lilly License (as defined below), the “Lilly Licenses”) with Lilly, for an exclusive license to develop, manufacture and commercialize a certain bispecific antibody relating to IL-17 and BAFF (“tibulizumab”).</w:t>
      </w:r>
    </w:p>
    <w:p>
      <w:pPr>
        <w:spacing w:after="0" w:line="163" w:lineRule="exact"/>
        <w:rPr>
          <w:sz w:val="20"/>
          <w:szCs w:val="20"/>
          <w:color w:val="auto"/>
        </w:rPr>
      </w:pPr>
    </w:p>
    <w:p>
      <w:pPr>
        <w:jc w:val="both"/>
        <w:ind w:firstLine="313"/>
        <w:spacing w:after="0" w:line="264" w:lineRule="auto"/>
        <w:rPr>
          <w:sz w:val="20"/>
          <w:szCs w:val="20"/>
          <w:color w:val="auto"/>
        </w:rPr>
      </w:pPr>
      <w:r>
        <w:rPr>
          <w:rFonts w:ascii="Times New Roman" w:cs="Times New Roman" w:eastAsia="Times New Roman" w:hAnsi="Times New Roman"/>
          <w:sz w:val="17"/>
          <w:szCs w:val="17"/>
          <w:color w:val="auto"/>
        </w:rPr>
        <w:t>In consideration for the investment made by Stone Peach, in 2023 ZB17 granted Stone Peach the right, but not the obligation, to purchase 4.99% of the fully diluted equity of ZB17 for $1.0 million (the “Stone Peach Call Right”). The Stone Peach Call Right is not exercisable until after the last patient is dosed in any single next clinical trial with tibulizumab and expires one year from the date of first indication approval for tibulizumab by the United States Food and Drug Administration (“FDA”) or the European Medicines Agency (“EMA”). The Stone Peach Call Right represents noncontrolling interest in our consolidated subsidiary, ZB17. As of June 30, 2025 and December 31, 2024 the noncontrolling interest balance was $1.5 million in the condensed consolidated balance sheets.</w:t>
      </w:r>
    </w:p>
    <w:p>
      <w:pPr>
        <w:spacing w:after="0" w:line="172" w:lineRule="exact"/>
        <w:rPr>
          <w:sz w:val="20"/>
          <w:szCs w:val="20"/>
          <w:color w:val="auto"/>
        </w:rPr>
      </w:pPr>
    </w:p>
    <w:p>
      <w:pPr>
        <w:jc w:val="both"/>
        <w:ind w:firstLine="313"/>
        <w:spacing w:after="0" w:line="235" w:lineRule="auto"/>
        <w:rPr>
          <w:sz w:val="20"/>
          <w:szCs w:val="20"/>
          <w:color w:val="auto"/>
        </w:rPr>
      </w:pPr>
      <w:r>
        <w:rPr>
          <w:rFonts w:ascii="Times New Roman" w:cs="Times New Roman" w:eastAsia="Times New Roman" w:hAnsi="Times New Roman"/>
          <w:sz w:val="17"/>
          <w:szCs w:val="17"/>
          <w:color w:val="auto"/>
        </w:rPr>
        <w:t>As additional consideration, beginning on May 1, 2023, Stone Peach receives an annual payment of $0.6 million initially, and increasing by 10% annually, so long as we maintain our license for tibulizumab, to be paid on May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7"/>
          <w:szCs w:val="17"/>
          <w:color w:val="auto"/>
        </w:rPr>
        <w:t xml:space="preserve"> of each year. We record expenses for these annual payments when they become due. An annual payment of $0.7 million became due and was paid during each of the three months ended June 30, 2025 and 2024. The Company recorded this payment within research and development expenses in the condensed consolidated statement of operations.</w:t>
      </w:r>
    </w:p>
    <w:p>
      <w:pPr>
        <w:spacing w:after="0" w:line="195" w:lineRule="exact"/>
        <w:rPr>
          <w:sz w:val="20"/>
          <w:szCs w:val="20"/>
          <w:color w:val="auto"/>
        </w:rPr>
      </w:pPr>
    </w:p>
    <w:p>
      <w:pPr>
        <w:jc w:val="both"/>
        <w:ind w:firstLine="313"/>
        <w:spacing w:after="0" w:line="269" w:lineRule="auto"/>
        <w:rPr>
          <w:sz w:val="20"/>
          <w:szCs w:val="20"/>
          <w:color w:val="auto"/>
        </w:rPr>
      </w:pPr>
      <w:r>
        <w:rPr>
          <w:rFonts w:ascii="Times New Roman" w:cs="Times New Roman" w:eastAsia="Times New Roman" w:hAnsi="Times New Roman"/>
          <w:sz w:val="17"/>
          <w:szCs w:val="17"/>
          <w:color w:val="auto"/>
        </w:rPr>
        <w:t>A one-time payment of $4.5 million for additional consideration due to Stone Peach upon acceptance from the FDA for our Investigational New Drug (“IND”) and commencement of our clinical trial for tibulizumab was recorded in research and development in the consolidated statement of operations for the year ended December 31, 2024 and was paid in June 2025. This payment is included in accounts payable and accrued expenses in the condensed consolidated balance sheets as of December 31, 2024.</w:t>
      </w:r>
    </w:p>
    <w:p>
      <w:pPr>
        <w:spacing w:after="0" w:line="168"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A letter agreement, dated as of April 25, 2023, by and between BAFFX17, Ltd (“BAFFX17”) and the Company, and as amended by Amendment No. 1 on December 18, 2023 (the “BAFFX17 Letter Agreement”), provided that, as a finder’s fee for arranging the acquisition of the 2023 Lilly License, we would be required to make a one-time milestone payment of $5.0 million to BAFFX17 upon the occurrence of either: (i) a change of control transaction, (ii) the closing of an issuance of equity or equity-linked securities by us of at least $100.0 million</w:t>
      </w:r>
    </w:p>
    <w:p>
      <w:pPr>
        <w:jc w:val="both"/>
        <w:ind w:firstLine="5"/>
        <w:spacing w:after="0" w:line="243" w:lineRule="auto"/>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 sale of assets resulting in net proceeds in excess of $100.0 million, or (iv) our fully diluted shares outstanding exceed 52,500,000 shares (on a split adjusted basis), as measured on April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xml:space="preserve"> of each year. As our fully diluted shares outstanding exceeded 52,500,000 shares prior to December 31, 2023, the $5.0 million fee was previously accounted for in research and development in the consolidated statement of operations for the year ended December 31, 2023, and is included in accounts payable and accrued expenses in the condensed consolidated balance sheets as of June 30, 2025 and December 31, 2024. On June 30, 2025, the Company received an invoice on behalf of BAFFX17 requesting a $5.0 million milestone payment (the “Milestone Payment”) pursuant to the BAFFX17 Letter Agreement. The Company has not made such payment pending the outcome of the review by the Audit Subcommittee discussed in “Part II – Item 5. Other Information.” See also Note 12 to our unaudited condensed consolidated financial statements located in “Part I – Financial Information, Item 1. Financial Statements” and “Part II – Item 1A. Risk Factors – </w:t>
      </w:r>
      <w:r>
        <w:rPr>
          <w:rFonts w:ascii="Times New Roman" w:cs="Times New Roman" w:eastAsia="Times New Roman" w:hAnsi="Times New Roman"/>
          <w:sz w:val="17"/>
          <w:szCs w:val="17"/>
          <w:i w:val="1"/>
          <w:iCs w:val="1"/>
          <w:color w:val="auto"/>
        </w:rPr>
        <w:t>Our business, reputation, financial condition and results of operations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could be adversely affected by our ongoing internal review of certain agreements and other matters</w:t>
      </w:r>
      <w:r>
        <w:rPr>
          <w:rFonts w:ascii="Times New Roman" w:cs="Times New Roman" w:eastAsia="Times New Roman" w:hAnsi="Times New Roman"/>
          <w:sz w:val="17"/>
          <w:szCs w:val="17"/>
          <w:color w:val="auto"/>
        </w:rPr>
        <w:t>.”</w:t>
      </w:r>
    </w:p>
    <w:p>
      <w:pPr>
        <w:spacing w:after="0" w:line="195" w:lineRule="exact"/>
        <w:rPr>
          <w:sz w:val="20"/>
          <w:szCs w:val="20"/>
          <w:color w:val="auto"/>
        </w:rPr>
      </w:pPr>
    </w:p>
    <w:p>
      <w:pPr>
        <w:jc w:val="both"/>
        <w:ind w:firstLine="313"/>
        <w:spacing w:after="0" w:line="260" w:lineRule="auto"/>
        <w:rPr>
          <w:sz w:val="20"/>
          <w:szCs w:val="20"/>
          <w:color w:val="auto"/>
        </w:rPr>
      </w:pPr>
      <w:r>
        <w:rPr>
          <w:rFonts w:ascii="Times New Roman" w:cs="Times New Roman" w:eastAsia="Times New Roman" w:hAnsi="Times New Roman"/>
          <w:sz w:val="17"/>
          <w:szCs w:val="17"/>
          <w:color w:val="auto"/>
        </w:rPr>
        <w:t>In addition to the consideration paid and/or earned in 2024 and 2023, we are also obligated to make payments (a) to Lilly for four (4) development milestone payments up to an aggregate of $155.0 million, and sales milestone payments up to an aggregate of $440.0 million based on respective thresholds of net sales of products developed from tibulizumab; (b) to Lilly over a multi-year period (twelve years, or upon the later expiration of regulatory exclusivity of tibulizumab in a country) for an annual earned royalty at a marginal royalty rate in the mid-single digits to low-double digits, with increasing rates depending on net sales in the respective calendar year, based on a percentage of sales within varying thresholds for a certain period of years; (c) to BAFFX17 for a fee equal to 3% of any milestone or royalty payments due to Lilly pursuant to the terms of either the 2022 Lilly License or the 2023 Lilly License; (d) to Stone Peach for a one-time milestone payment of $25 million upon either (i) certain equity-related transactions, or (ii) the receipt of regulatory approval from the applicable regulatory authority for any new indication in the applicable jurisdiction; and (e) to Stone Peach for a royalty of 2% of the aggregate net sales of any products developed from the Compound (collectively, the “2023 Lilly Contingent Payments”). As of June 30, 2025, none of the 2023 Lilly Contingent Payments are due and accordingly will not be recorded in our financial statements until they are due.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2022 Lilly License</w:t>
      </w:r>
    </w:p>
    <w:p>
      <w:pPr>
        <w:spacing w:after="0" w:line="224"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On December 8, 2022, our consolidated subsidiary, Z33 Bio Inc. (“Z33”), entered into a license agreement (the “2022 Lilly License”) with Lilly pursuant to which Lilly granted Z33 an exclusive (even as to Lilly), royalty-bearing global license to develop, manufacture, and commercialize certain intellectual property owned by Lilly relating to its IL-33 compound.</w:t>
      </w:r>
    </w:p>
    <w:p>
      <w:pPr>
        <w:spacing w:after="0" w:line="163" w:lineRule="exact"/>
        <w:rPr>
          <w:sz w:val="20"/>
          <w:szCs w:val="20"/>
          <w:color w:val="auto"/>
        </w:rPr>
      </w:pPr>
    </w:p>
    <w:p>
      <w:pPr>
        <w:jc w:val="both"/>
        <w:ind w:firstLine="313"/>
        <w:spacing w:after="0" w:line="257" w:lineRule="auto"/>
        <w:rPr>
          <w:sz w:val="20"/>
          <w:szCs w:val="20"/>
          <w:color w:val="auto"/>
        </w:rPr>
      </w:pPr>
      <w:r>
        <w:rPr>
          <w:rFonts w:ascii="Times New Roman" w:cs="Times New Roman" w:eastAsia="Times New Roman" w:hAnsi="Times New Roman"/>
          <w:sz w:val="17"/>
          <w:szCs w:val="17"/>
          <w:color w:val="auto"/>
        </w:rPr>
        <w:t>A letter agreement dated November 21, 2023 (the “Stone Peach Letter Agreement”) by and between Stone Peach and the Company, provided that, as a finder’s fee for the 2022 Lilly License, Z33 issued to Stone Peach Properties, LLC (“Stone Peach”) 4,900,222 shares of Z33 Series Seed Preferred Shares to Stone Peach. We and Stone Peach have the following rights, as amended, (a) we had the right, but not the obligation to purchase up to 50% of the Series Seed Preferred Shares issued to Stone Peach at a price per share of $2.448869 for a period of two years from the date of the agreement (the “Call Option”); (b) Stone Peach has the right, but not the obligation to sell up to 50% of the Series Seed Preferred Shares issued to Stone Peach to us for a price per share of $2.040724 (the “Put Option”), and (c) Stone Peach has the right, but not the obligation to sell up to 50% of the Series Seed Preferred Shares issued to Stone Peach to us in exchange for 2,000,000 Class A Ordinary Shares (the “Put Right”). Stone Peach may exercise its Put Option and Put Right at any time between April 24, 2024, and April 24, 2028. The Z33 Series Seed Preferred Shares are remeasured to the greater of the redemption value or the initial fair value, less noncontrolling shareholder’s interest in net loss of Z33, at each reporting period. The Z33 Series Seed Preferred Shares represent redeemable noncontrolling interest in our consolidated subsidiary, Z33. On July 14, 2025, the Company received a request from Stone Peach to exercise the Put Option pursuant to the Stone Peach Letter Agreement pursuant to which Stone Peach would sell 50% of its Series Seed Preferred Shares in Z33 for $5.0 million. Additionally, on July 23, 2025, the Company received a further request from Stone Peach to exercise the Put Right pursuant to the Stone Peach Letter Agreement pursuant to which Stone Peach would sell 50% of its Series Seed Preferred Shares in Z33 in exchange for 2,000,000 of the Company’s Class A Ordinary Shares. The Company has not effected either the Put Option or the Put Right pending the outcome of the review of the Audit Subcommittee discussed in “Part II – Item 5. Other Information.” See also Note 12 and “Part</w:t>
      </w:r>
    </w:p>
    <w:p>
      <w:pPr>
        <w:spacing w:after="0" w:line="11" w:lineRule="exact"/>
        <w:rPr>
          <w:sz w:val="20"/>
          <w:szCs w:val="20"/>
          <w:color w:val="auto"/>
        </w:rPr>
      </w:pPr>
    </w:p>
    <w:p>
      <w:pPr>
        <w:ind w:firstLine="5"/>
        <w:spacing w:after="0" w:line="272" w:lineRule="auto"/>
        <w:tabs>
          <w:tab w:leader="none" w:pos="15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–Item 1A. Risk Factors – </w:t>
      </w:r>
      <w:r>
        <w:rPr>
          <w:rFonts w:ascii="Times New Roman" w:cs="Times New Roman" w:eastAsia="Times New Roman" w:hAnsi="Times New Roman"/>
          <w:sz w:val="17"/>
          <w:szCs w:val="17"/>
          <w:i w:val="1"/>
          <w:iCs w:val="1"/>
          <w:color w:val="auto"/>
        </w:rPr>
        <w:t>Our business, reputation, financial condition and results of operations could be adversely affected by our ongoing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internal review of certain agreements and other matters</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color w:val="auto"/>
        </w:rPr>
        <w:t>In addition to the consideration paid and transferred in 2022, we are also obligated to make payments to Lilly for (a) $3.0 million upon the completion of a financing by Z33 with gross proceeds exceeding $100.0 million; (b) 10 commercial, development and regulatory milestone payments up to an aggregate of $155.0 million and sales milestone payments up to an aggregate of $440.0 million based on respective thresholds of net sales of products developed from the licensed compound, if any; and (c) an annual earned royalty at a marginal royalty rate between in the mid-single to low-double digits (less than 20%), with increasing rates based on Net Sales in the respective calendar year, based on a percentage of sales within varying thresholds for a certain period of the year, if any year (collectively, “the “2022 Lilly Contingent Payments”). We will account for these contingent milestone payments as they become due. As of June 30, 2025, none of the 2022 Lilly Contingent Payments are due and accordingly will not be recorded in our financial statements until they are due.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Pfizer Agreement</w:t>
      </w:r>
    </w:p>
    <w:p>
      <w:pPr>
        <w:spacing w:after="0" w:line="224" w:lineRule="exact"/>
        <w:rPr>
          <w:sz w:val="20"/>
          <w:szCs w:val="20"/>
          <w:color w:val="auto"/>
        </w:rPr>
      </w:pPr>
    </w:p>
    <w:p>
      <w:pPr>
        <w:jc w:val="both"/>
        <w:ind w:firstLine="313"/>
        <w:spacing w:after="0" w:line="295" w:lineRule="auto"/>
        <w:rPr>
          <w:sz w:val="20"/>
          <w:szCs w:val="20"/>
          <w:color w:val="auto"/>
        </w:rPr>
      </w:pPr>
      <w:r>
        <w:rPr>
          <w:rFonts w:ascii="Times New Roman" w:cs="Times New Roman" w:eastAsia="Times New Roman" w:hAnsi="Times New Roman"/>
          <w:sz w:val="17"/>
          <w:szCs w:val="17"/>
          <w:color w:val="auto"/>
        </w:rPr>
        <w:t>On March 22, 2022, we entered into a license agreement and a Series A-1 Subscription and Shareholder’s Agreement (collectively, the “Pfizer Agreement”) with Pfizer. Under the Pfizer Agreement, we acquired a license for a compound previously developed by Pfizer.</w:t>
      </w:r>
    </w:p>
    <w:p>
      <w:pPr>
        <w:spacing w:after="0" w:line="146"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In addition to the consideration paid and transferred during 2022 and 2023 and the first $1.0 million development milestone paid during 2024, we are obligated to make payments to Pfizer for (a) eleven (11) remaining future development and regulatory milestone payments aggregating up to $69.0 million and sales milestone payments up to an aggregate of $525.0 million based on respective thresholds of net sales of products (developed from the licensed compound) (the “Products”), if any; and (b) an annual earned royalty at a marginal royalty rate in the mid-single digits to low double digits (less than 20%), based on thresholds of net sales of Products, if any (collectively, the “Pfizer Contingent Payments”). Royalties are payable on a country-by-country basis for a certain period of years or upon the later expiration of regulatory exclusivity of our Products in a country.</w:t>
      </w:r>
    </w:p>
    <w:p>
      <w:pPr>
        <w:spacing w:after="0" w:line="177" w:lineRule="exact"/>
        <w:rPr>
          <w:sz w:val="20"/>
          <w:szCs w:val="20"/>
          <w:color w:val="auto"/>
        </w:rPr>
      </w:pPr>
    </w:p>
    <w:p>
      <w:pPr>
        <w:jc w:val="both"/>
        <w:ind w:firstLine="313"/>
        <w:spacing w:after="0" w:line="295" w:lineRule="auto"/>
        <w:rPr>
          <w:sz w:val="20"/>
          <w:szCs w:val="20"/>
          <w:color w:val="auto"/>
        </w:rPr>
      </w:pPr>
      <w:r>
        <w:rPr>
          <w:rFonts w:ascii="Times New Roman" w:cs="Times New Roman" w:eastAsia="Times New Roman" w:hAnsi="Times New Roman"/>
          <w:sz w:val="17"/>
          <w:szCs w:val="17"/>
          <w:color w:val="auto"/>
        </w:rPr>
        <w:t>As of June 30, 2025, no additional Pfizer Contingent Payments are due and accordingly no additional Pfizer Contingent Payments will be recorded in our financial statements until they are due.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Impact of Global Economic Trends</w:t>
      </w:r>
    </w:p>
    <w:p>
      <w:pPr>
        <w:spacing w:after="0" w:line="224" w:lineRule="exact"/>
        <w:rPr>
          <w:sz w:val="20"/>
          <w:szCs w:val="20"/>
          <w:color w:val="auto"/>
        </w:rPr>
      </w:pPr>
    </w:p>
    <w:p>
      <w:pPr>
        <w:jc w:val="both"/>
        <w:ind w:firstLine="313"/>
        <w:spacing w:after="0" w:line="295" w:lineRule="auto"/>
        <w:rPr>
          <w:sz w:val="20"/>
          <w:szCs w:val="20"/>
          <w:color w:val="auto"/>
        </w:rPr>
      </w:pPr>
      <w:r>
        <w:rPr>
          <w:rFonts w:ascii="Times New Roman" w:cs="Times New Roman" w:eastAsia="Times New Roman" w:hAnsi="Times New Roman"/>
          <w:sz w:val="17"/>
          <w:szCs w:val="17"/>
          <w:color w:val="auto"/>
        </w:rPr>
        <w:t>Macroeconomic conditions, including uncertainties associated with the changes to and by the United States federal government administration, the Israel-Hamas war, the ongoing conflict between Ukraine and Russia, international trade policies including tariffs,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economic slowdowns, public health crises, labor shortages, recessions or market corrections, supply chain disruptions, inflation and monetary policy shifts, liquidity concerns at, and failures of, banks and other financial institutions or other disruptions in the banking system or financing markets, rising interest rates and financial and credit market fluctuations, volatility in the capital markets or other evolving macroeconomic developments, continue to have direct and indirect impacts on our business and could in the future materially impact our results of operations and financial condition. Recent tariffs and trade restrictions have increased costs and complexity for many businesses, which we expect to have an adverse impact on our business. We continue to actively monitor the impact of these macroeconomic factors on our results of operations, financial condition and cash flows. The extent of the impact of these factors on our operational performance and financial condition, including our ability to execute our business strategies and initiatives in the expected timeframe, will depend on future developments, which are uncertain and cannot be predicted; however, any continued or renewed disruption resulting from these factors could negatively impact our business.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Operating Results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224" w:lineRule="exact"/>
        <w:rPr>
          <w:sz w:val="20"/>
          <w:szCs w:val="20"/>
          <w:color w:val="auto"/>
        </w:rPr>
      </w:pPr>
    </w:p>
    <w:p>
      <w:pPr>
        <w:jc w:val="both"/>
        <w:ind w:firstLine="313"/>
        <w:spacing w:after="0" w:line="266" w:lineRule="auto"/>
        <w:rPr>
          <w:sz w:val="20"/>
          <w:szCs w:val="20"/>
          <w:color w:val="auto"/>
        </w:rPr>
      </w:pPr>
      <w:r>
        <w:rPr>
          <w:rFonts w:ascii="Times New Roman" w:cs="Times New Roman" w:eastAsia="Times New Roman" w:hAnsi="Times New Roman"/>
          <w:sz w:val="17"/>
          <w:szCs w:val="17"/>
          <w:color w:val="auto"/>
        </w:rPr>
        <w:t>Research and development (“R&amp;D”) expenses consist of all direct and indirect operating expenses supporting the processes and manufacturing in development, including consulting fees for clinical and manufacturing advisory services, CRO costs, costs related to manufacturing material for clinical studies, payroll and benefits, which includes share-based compensation for research and development employees, licensing fees, and data and study acquisition costs. Expenses are recognized as the related goods are delivered or the services are performed.</w:t>
      </w:r>
    </w:p>
    <w:p>
      <w:pPr>
        <w:spacing w:after="0" w:line="170"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R&amp;D expenses include the cost of in-process research and development (“IPR&amp;D”) assets purchased in an asset acquisition transaction. IPR&amp;D assets are expensed provided that the acquired asset did not also include processes or activities that would constitute a “business” as defined under United States Generally Accepted Accounting Principles (“U.S. GAAP”), the drug has not achieved regulatory approval for marketing and, absent obtaining such approval, has no established alternative future use. Acquired IPR&amp;D payments, including upfront payments, transaction fees and subsequent pre-commercial milestone payments, are immediately expensed in the period in which they are incurred. Research and development costs incurred after the acquisition are expensed as incurred. R&amp;D expenses also include the remeasurement of the research and development license consideration liability.</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Research and development expenses could include:</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External Expenses:</w:t>
      </w:r>
    </w:p>
    <w:p>
      <w:pPr>
        <w:spacing w:after="0" w:line="224" w:lineRule="exact"/>
        <w:rPr>
          <w:sz w:val="20"/>
          <w:szCs w:val="20"/>
          <w:color w:val="auto"/>
        </w:rPr>
      </w:pPr>
    </w:p>
    <w:p>
      <w:pPr>
        <w:ind w:left="660" w:right="20" w:hanging="315"/>
        <w:spacing w:after="0" w:line="295" w:lineRule="auto"/>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external research and development expenses incurred under agreements with CROs, investigative sites and consultants to conduct our clinical trials;</w:t>
      </w:r>
    </w:p>
    <w:p>
      <w:pPr>
        <w:spacing w:after="0" w:line="146" w:lineRule="exact"/>
        <w:rPr>
          <w:rFonts w:ascii="Times New Roman" w:cs="Times New Roman" w:eastAsia="Times New Roman" w:hAnsi="Times New Roman"/>
          <w:sz w:val="17"/>
          <w:szCs w:val="17"/>
          <w:color w:val="auto"/>
        </w:rPr>
      </w:pPr>
    </w:p>
    <w:p>
      <w:pPr>
        <w:ind w:left="660" w:hanging="315"/>
        <w:spacing w:after="0" w:line="295" w:lineRule="auto"/>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manufacturing material for preclinical studies and clinical trials, including fees paid to contract manufacturing organizations (“CMOs”);</w:t>
      </w:r>
    </w:p>
    <w:p>
      <w:pPr>
        <w:spacing w:after="0" w:line="146"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milestone payments under our licensing agreements;</w:t>
      </w:r>
    </w:p>
    <w:p>
      <w:pPr>
        <w:spacing w:after="0" w:line="222"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laboratory supplies and research materials; and</w:t>
      </w:r>
    </w:p>
    <w:p>
      <w:pPr>
        <w:spacing w:after="0" w:line="222"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compliance with regulatory requirements.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Internal Expenses:</w:t>
      </w:r>
    </w:p>
    <w:p>
      <w:pPr>
        <w:spacing w:after="0" w:line="224" w:lineRule="exact"/>
        <w:rPr>
          <w:sz w:val="20"/>
          <w:szCs w:val="20"/>
          <w:color w:val="auto"/>
        </w:rPr>
      </w:pPr>
    </w:p>
    <w:p>
      <w:pPr>
        <w:ind w:left="660" w:hanging="315"/>
        <w:spacing w:after="0" w:line="295" w:lineRule="auto"/>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employee-related expenses, including salaries, bonuses, benefits, share-based compensation and other related costs for those employees involved in research and development efforts.</w:t>
      </w:r>
    </w:p>
    <w:p>
      <w:pPr>
        <w:spacing w:after="0" w:line="146"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A significant portion of our research and development costs have been external expenses. We utilize third party contractors for our research and development activities. We track these external expenses on an individual program basis within our portfolio, when they are specific to an individual program, once a clinical product candidate or program has been identified.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firstLine="313"/>
        <w:spacing w:after="0" w:line="269" w:lineRule="auto"/>
        <w:rPr>
          <w:sz w:val="20"/>
          <w:szCs w:val="20"/>
          <w:color w:val="auto"/>
        </w:rPr>
      </w:pPr>
      <w:r>
        <w:rPr>
          <w:rFonts w:ascii="Times New Roman" w:cs="Times New Roman" w:eastAsia="Times New Roman" w:hAnsi="Times New Roman"/>
          <w:sz w:val="17"/>
          <w:szCs w:val="17"/>
          <w:color w:val="auto"/>
        </w:rPr>
        <w:t>We use CMOs for our manufacturing activities and we do not have our own laboratory or manufacturing facilities. Therefore, we have no material facilities expenses attributed to research and development. We track our manufacturing activities on a portfolio basis when we have multiple programs in a portfolio, but do not track these activities on a program basis within the portfolio, as these costs are deployed across multiple programs within a portfolio.</w:t>
      </w:r>
    </w:p>
    <w:p>
      <w:pPr>
        <w:spacing w:after="0" w:line="168" w:lineRule="exact"/>
        <w:rPr>
          <w:sz w:val="20"/>
          <w:szCs w:val="20"/>
          <w:color w:val="auto"/>
        </w:rPr>
      </w:pPr>
    </w:p>
    <w:p>
      <w:pPr>
        <w:jc w:val="both"/>
        <w:ind w:firstLine="313"/>
        <w:spacing w:after="0" w:line="295" w:lineRule="auto"/>
        <w:rPr>
          <w:sz w:val="20"/>
          <w:szCs w:val="20"/>
          <w:color w:val="auto"/>
        </w:rPr>
      </w:pPr>
      <w:r>
        <w:rPr>
          <w:rFonts w:ascii="Times New Roman" w:cs="Times New Roman" w:eastAsia="Times New Roman" w:hAnsi="Times New Roman"/>
          <w:sz w:val="17"/>
          <w:szCs w:val="17"/>
          <w:color w:val="auto"/>
        </w:rPr>
        <w:t>Our internal research and development costs are primarily personnel-related costs. We do not track internal costs on a portfolio or program specific basis because these costs are deployed across multiple programs and, as such, are not separately classified.</w:t>
      </w:r>
    </w:p>
    <w:p>
      <w:pPr>
        <w:spacing w:after="0" w:line="146" w:lineRule="exact"/>
        <w:rPr>
          <w:sz w:val="20"/>
          <w:szCs w:val="20"/>
          <w:color w:val="auto"/>
        </w:rPr>
      </w:pPr>
    </w:p>
    <w:p>
      <w:pPr>
        <w:jc w:val="both"/>
        <w:ind w:firstLine="313"/>
        <w:spacing w:after="0" w:line="260" w:lineRule="auto"/>
        <w:rPr>
          <w:sz w:val="20"/>
          <w:szCs w:val="20"/>
          <w:color w:val="auto"/>
        </w:rPr>
      </w:pPr>
      <w:r>
        <w:rPr>
          <w:rFonts w:ascii="Times New Roman" w:cs="Times New Roman" w:eastAsia="Times New Roman" w:hAnsi="Times New Roman"/>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plan to substantially increase our research and development expenses for the foreseeable future as we develop our product candidates and manufacturing processes and conduct discovery and research activities for our clinical programs. We cannot determine with certainty the timing of initiation, the duration or the completion costs of current or future clinical studies of our product candidates due to the inherently unpredictable nature of clinical development. Clinical development timelines, the probability of success and development costs can differ materially from expectations. We anticipate that we will make determinations as to how we pursue our product candidates and how much funding to direct to each program on an ongoing basis in response to the results of future clinical trials, regulatory developments and our ongoing assessments as to commercial potential. We will need to raise substantial additional capital in the future. Our clinical development costs are expected to increase as we commence, continue and expand our clinical trials. Our future expenses may vary significantly each period based on factors such as:</w:t>
      </w:r>
    </w:p>
    <w:p>
      <w:pPr>
        <w:spacing w:after="0" w:line="177" w:lineRule="exact"/>
        <w:rPr>
          <w:sz w:val="20"/>
          <w:szCs w:val="20"/>
          <w:color w:val="auto"/>
        </w:rPr>
      </w:pPr>
    </w:p>
    <w:p>
      <w:pPr>
        <w:ind w:left="660" w:hanging="315"/>
        <w:spacing w:after="0"/>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to conduct preclinical studies required to advance our product candidates into clinical trials;</w:t>
      </w:r>
    </w:p>
    <w:p>
      <w:pPr>
        <w:spacing w:after="0" w:line="222"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 patient clinical trial costs, including based on the number of doses that patients receive;</w:t>
      </w:r>
    </w:p>
    <w:p>
      <w:pPr>
        <w:spacing w:after="0" w:line="222"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patients who enroll in each clinical trial;</w:t>
      </w:r>
    </w:p>
    <w:p>
      <w:pPr>
        <w:spacing w:after="0" w:line="222"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clinical trials required for approval;</w:t>
      </w:r>
    </w:p>
    <w:p>
      <w:pPr>
        <w:spacing w:after="0" w:line="222"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sites included in the clinical trials;</w:t>
      </w:r>
    </w:p>
    <w:p>
      <w:pPr>
        <w:spacing w:after="0" w:line="222"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countries in which the clinical trials are conducted;</w:t>
      </w:r>
    </w:p>
    <w:p>
      <w:pPr>
        <w:spacing w:after="0" w:line="222"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length of time required to enroll eligible patients;</w:t>
      </w:r>
    </w:p>
    <w:p>
      <w:pPr>
        <w:spacing w:after="0" w:line="222"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drop-out or discontinuation rates of patients;</w:t>
      </w:r>
    </w:p>
    <w:p>
      <w:pPr>
        <w:spacing w:after="0" w:line="222"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additional safety monitoring requested by regulatory agencies;</w:t>
      </w:r>
    </w:p>
    <w:p>
      <w:pPr>
        <w:spacing w:after="0" w:line="222"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duration of patient participation in clinical trials and follow-up;</w:t>
      </w:r>
    </w:p>
    <w:p>
      <w:pPr>
        <w:spacing w:after="0" w:line="222"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phase of development of the product candidate;</w:t>
      </w:r>
    </w:p>
    <w:p>
      <w:pPr>
        <w:spacing w:after="0" w:line="222" w:lineRule="exact"/>
        <w:rPr>
          <w:rFonts w:ascii="Times New Roman" w:cs="Times New Roman" w:eastAsia="Times New Roman" w:hAnsi="Times New Roman"/>
          <w:sz w:val="17"/>
          <w:szCs w:val="17"/>
          <w:color w:val="auto"/>
        </w:rPr>
      </w:pPr>
    </w:p>
    <w:p>
      <w:pPr>
        <w:ind w:left="660" w:hanging="315"/>
        <w:spacing w:after="0" w:line="267" w:lineRule="auto"/>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party contractors failing to comply with regulatory requirements or meet their contractual obligations in a timely manner, or at all;</w:t>
      </w:r>
    </w:p>
    <w:p>
      <w:pPr>
        <w:spacing w:after="0" w:line="200" w:lineRule="exact"/>
        <w:rPr>
          <w:rFonts w:ascii="Times New Roman" w:cs="Times New Roman" w:eastAsia="Times New Roman" w:hAnsi="Times New Roman"/>
          <w:sz w:val="17"/>
          <w:szCs w:val="17"/>
          <w:color w:val="auto"/>
        </w:rPr>
      </w:pPr>
    </w:p>
    <w:p>
      <w:pPr>
        <w:spacing w:after="0" w:line="20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insurance, including product liability insurance, in connection with clinical trials;</w:t>
      </w:r>
    </w:p>
    <w:p>
      <w:pPr>
        <w:spacing w:after="0" w:line="222" w:lineRule="exact"/>
        <w:rPr>
          <w:rFonts w:ascii="Times New Roman" w:cs="Times New Roman" w:eastAsia="Times New Roman" w:hAnsi="Times New Roman"/>
          <w:sz w:val="17"/>
          <w:szCs w:val="17"/>
          <w:color w:val="auto"/>
        </w:rPr>
      </w:pPr>
    </w:p>
    <w:p>
      <w:pPr>
        <w:jc w:val="both"/>
        <w:ind w:left="660" w:hanging="315"/>
        <w:spacing w:after="0" w:line="275" w:lineRule="auto"/>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163"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and safety profile of our product candidates.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224"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General and administrative (“G&amp;A”) expenses primarily consist of professional fees for legal, accounting, and consulting costs relating to corporate matters, as well as salaries and related costs for personnel in executive and administrative functions and board of director fees, including share-based compensation.</w:t>
      </w:r>
    </w:p>
    <w:p>
      <w:pPr>
        <w:spacing w:after="0" w:line="163"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We anticipate that our general and administrative expenses will increase in the future as we continue to support research and development activities and incur increased costs of operating as a public company. These costs include increased headcount to support expanded operations and infrastructure.</w:t>
      </w:r>
    </w:p>
    <w:p>
      <w:pPr>
        <w:spacing w:after="0" w:line="163" w:lineRule="exact"/>
        <w:rPr>
          <w:sz w:val="20"/>
          <w:szCs w:val="20"/>
          <w:color w:val="auto"/>
        </w:rPr>
      </w:pPr>
    </w:p>
    <w:p>
      <w:pPr>
        <w:jc w:val="both"/>
        <w:ind w:firstLine="313"/>
        <w:spacing w:after="0" w:line="295" w:lineRule="auto"/>
        <w:rPr>
          <w:sz w:val="20"/>
          <w:szCs w:val="20"/>
          <w:color w:val="auto"/>
        </w:rPr>
      </w:pPr>
      <w:r>
        <w:rPr>
          <w:rFonts w:ascii="Times New Roman" w:cs="Times New Roman" w:eastAsia="Times New Roman" w:hAnsi="Times New Roman"/>
          <w:sz w:val="17"/>
          <w:szCs w:val="17"/>
          <w:color w:val="auto"/>
        </w:rPr>
        <w:t>Additionally, we anticipate increased costs associated with maintaining compliance with Nasdaq rules and SEC requirements such as accounting, audit, legal and consulting services, as well as director and officer liability insurance, investor and public relations activities.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months ended June 30, 2025 and 2024</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periods presented (in thousands):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3"/>
                <w:szCs w:val="13"/>
                <w:color w:val="auto"/>
              </w:rPr>
            </w:pPr>
          </w:p>
        </w:tc>
        <w:tc>
          <w:tcPr>
            <w:tcW w:w="9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104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4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4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336"/>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jc w:val="right"/>
              <w:ind w:right="334"/>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right"/>
              <w:ind w:right="520"/>
              <w:spacing w:after="0" w:line="137"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4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44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8,704</w:t>
            </w:r>
          </w:p>
        </w:tc>
        <w:tc>
          <w:tcPr>
            <w:tcW w:w="180" w:type="dxa"/>
            <w:vAlign w:val="bottom"/>
          </w:tcPr>
          <w:p>
            <w:pPr>
              <w:spacing w:after="0"/>
              <w:rPr>
                <w:sz w:val="18"/>
                <w:szCs w:val="18"/>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5,539</w:t>
            </w:r>
          </w:p>
        </w:tc>
        <w:tc>
          <w:tcPr>
            <w:tcW w:w="200" w:type="dxa"/>
            <w:vAlign w:val="bottom"/>
          </w:tcPr>
          <w:p>
            <w:pPr>
              <w:spacing w:after="0"/>
              <w:rPr>
                <w:sz w:val="18"/>
                <w:szCs w:val="18"/>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3,165</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57 %</w:t>
            </w:r>
          </w:p>
        </w:tc>
        <w:tc>
          <w:tcPr>
            <w:tcW w:w="0" w:type="dxa"/>
            <w:vAlign w:val="bottom"/>
          </w:tcPr>
          <w:p>
            <w:pPr>
              <w:spacing w:after="0"/>
              <w:rPr>
                <w:sz w:val="1"/>
                <w:szCs w:val="1"/>
                <w:color w:val="auto"/>
              </w:rPr>
            </w:pPr>
          </w:p>
        </w:tc>
      </w:tr>
      <w:tr>
        <w:trPr>
          <w:trHeight w:val="209"/>
        </w:trPr>
        <w:tc>
          <w:tcPr>
            <w:tcW w:w="4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9,358</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50 %</w:t>
            </w:r>
          </w:p>
        </w:tc>
        <w:tc>
          <w:tcPr>
            <w:tcW w:w="0" w:type="dxa"/>
            <w:vAlign w:val="bottom"/>
          </w:tcPr>
          <w:p>
            <w:pPr>
              <w:spacing w:after="0"/>
              <w:rPr>
                <w:sz w:val="1"/>
                <w:szCs w:val="1"/>
                <w:color w:val="auto"/>
              </w:rPr>
            </w:pPr>
          </w:p>
        </w:tc>
      </w:tr>
      <w:tr>
        <w:trPr>
          <w:trHeight w:val="202"/>
        </w:trPr>
        <w:tc>
          <w:tcPr>
            <w:tcW w:w="45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18,062</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11,759</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6,303</w:t>
            </w:r>
          </w:p>
        </w:tc>
        <w:tc>
          <w:tcPr>
            <w:tcW w:w="1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54 %</w:t>
            </w:r>
          </w:p>
        </w:tc>
        <w:tc>
          <w:tcPr>
            <w:tcW w:w="0" w:type="dxa"/>
            <w:vAlign w:val="bottom"/>
          </w:tcPr>
          <w:p>
            <w:pPr>
              <w:spacing w:after="0"/>
              <w:rPr>
                <w:sz w:val="1"/>
                <w:szCs w:val="1"/>
                <w:color w:val="auto"/>
              </w:rPr>
            </w:pPr>
          </w:p>
        </w:tc>
      </w:tr>
      <w:tr>
        <w:trPr>
          <w:trHeight w:val="202"/>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(18,062)</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(11,759)</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(6,303)</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54 %</w:t>
            </w:r>
          </w:p>
        </w:tc>
        <w:tc>
          <w:tcPr>
            <w:tcW w:w="0" w:type="dxa"/>
            <w:vAlign w:val="bottom"/>
          </w:tcPr>
          <w:p>
            <w:pPr>
              <w:spacing w:after="0"/>
              <w:rPr>
                <w:sz w:val="1"/>
                <w:szCs w:val="1"/>
                <w:color w:val="auto"/>
              </w:rPr>
            </w:pPr>
          </w:p>
        </w:tc>
      </w:tr>
      <w:tr>
        <w:trPr>
          <w:trHeight w:val="202"/>
        </w:trPr>
        <w:tc>
          <w:tcPr>
            <w:tcW w:w="4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(income)/expense, net: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Interest income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(1,717)</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(2,196)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09"/>
        </w:trPr>
        <w:tc>
          <w:tcPr>
            <w:tcW w:w="45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Change in fair value of private placement warrants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(768)</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9"/>
        </w:trPr>
        <w:tc>
          <w:tcPr>
            <w:tcW w:w="4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income, net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(352)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(350)</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2"/>
        </w:trPr>
        <w:tc>
          <w:tcPr>
            <w:tcW w:w="45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Total other income, net</w:t>
            </w:r>
          </w:p>
        </w:tc>
        <w:tc>
          <w:tcPr>
            <w:tcW w:w="2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(2,069)</w:t>
            </w:r>
          </w:p>
        </w:tc>
        <w:tc>
          <w:tcPr>
            <w:tcW w:w="1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(1,430)</w:t>
            </w:r>
          </w:p>
        </w:tc>
        <w:tc>
          <w:tcPr>
            <w:tcW w:w="2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(639)</w:t>
            </w:r>
          </w:p>
        </w:tc>
        <w:tc>
          <w:tcPr>
            <w:tcW w:w="1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45 %</w:t>
            </w:r>
          </w:p>
        </w:tc>
        <w:tc>
          <w:tcPr>
            <w:tcW w:w="0" w:type="dxa"/>
            <w:vAlign w:val="bottom"/>
          </w:tcPr>
          <w:p>
            <w:pPr>
              <w:spacing w:after="0"/>
              <w:rPr>
                <w:sz w:val="1"/>
                <w:szCs w:val="1"/>
                <w:color w:val="auto"/>
              </w:rPr>
            </w:pPr>
          </w:p>
        </w:tc>
      </w:tr>
      <w:tr>
        <w:trPr>
          <w:trHeight w:val="202"/>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(15,993)</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(5,664)</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55 %</w:t>
            </w:r>
          </w:p>
        </w:tc>
        <w:tc>
          <w:tcPr>
            <w:tcW w:w="0" w:type="dxa"/>
            <w:vAlign w:val="bottom"/>
          </w:tcPr>
          <w:p>
            <w:pPr>
              <w:spacing w:after="0"/>
              <w:rPr>
                <w:sz w:val="1"/>
                <w:szCs w:val="1"/>
                <w:color w:val="auto"/>
              </w:rPr>
            </w:pPr>
          </w:p>
        </w:tc>
      </w:tr>
      <w:tr>
        <w:trPr>
          <w:trHeight w:val="209"/>
        </w:trPr>
        <w:tc>
          <w:tcPr>
            <w:tcW w:w="4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tax benefit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0 %</w:t>
            </w:r>
          </w:p>
        </w:tc>
        <w:tc>
          <w:tcPr>
            <w:tcW w:w="0" w:type="dxa"/>
            <w:vAlign w:val="bottom"/>
          </w:tcPr>
          <w:p>
            <w:pPr>
              <w:spacing w:after="0"/>
              <w:rPr>
                <w:sz w:val="1"/>
                <w:szCs w:val="1"/>
                <w:color w:val="auto"/>
              </w:rPr>
            </w:pPr>
          </w:p>
        </w:tc>
      </w:tr>
      <w:tr>
        <w:trPr>
          <w:trHeight w:val="202"/>
        </w:trPr>
        <w:tc>
          <w:tcPr>
            <w:tcW w:w="456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loss</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(15,993)</w:t>
            </w: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(10,329)</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(5,664)</w:t>
            </w:r>
          </w:p>
        </w:tc>
        <w:tc>
          <w:tcPr>
            <w:tcW w:w="1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55 %</w:t>
            </w:r>
          </w:p>
        </w:tc>
        <w:tc>
          <w:tcPr>
            <w:tcW w:w="0" w:type="dxa"/>
            <w:vAlign w:val="bottom"/>
          </w:tcPr>
          <w:p>
            <w:pPr>
              <w:spacing w:after="0"/>
              <w:rPr>
                <w:sz w:val="1"/>
                <w:szCs w:val="1"/>
                <w:color w:val="auto"/>
              </w:rPr>
            </w:pPr>
          </w:p>
        </w:tc>
      </w:tr>
      <w:tr>
        <w:trPr>
          <w:trHeight w:val="190"/>
        </w:trPr>
        <w:tc>
          <w:tcPr>
            <w:tcW w:w="4560" w:type="dxa"/>
            <w:vAlign w:val="bottom"/>
            <w:gridSpan w:val="2"/>
          </w:tcPr>
          <w:p>
            <w:pPr>
              <w:spacing w:after="0" w:line="190" w:lineRule="exact"/>
              <w:rPr>
                <w:sz w:val="20"/>
                <w:szCs w:val="20"/>
                <w:color w:val="auto"/>
              </w:rPr>
            </w:pPr>
            <w:r>
              <w:rPr>
                <w:rFonts w:ascii="Times New Roman" w:cs="Times New Roman" w:eastAsia="Times New Roman" w:hAnsi="Times New Roman"/>
                <w:sz w:val="17"/>
                <w:szCs w:val="17"/>
                <w:color w:val="auto"/>
              </w:rPr>
              <w:t>Accretion of redeemable noncontrolling interest to redemption</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5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value</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(2,337)</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2,337</w:t>
            </w:r>
          </w:p>
        </w:tc>
        <w:tc>
          <w:tcPr>
            <w:tcW w:w="1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2"/>
        </w:trPr>
        <w:tc>
          <w:tcPr>
            <w:tcW w:w="4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attributable to Class A Ordinary Shareholders of Zura</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(15,993)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26 %</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480" w:type="dxa"/>
            <w:vAlign w:val="bottom"/>
            <w:tcBorders>
              <w:bottom w:val="single" w:sz="8" w:color="auto"/>
            </w:tcBorders>
          </w:tcPr>
          <w:p>
            <w:pPr>
              <w:spacing w:after="0"/>
              <w:rPr>
                <w:sz w:val="6"/>
                <w:szCs w:val="6"/>
                <w:color w:val="auto"/>
              </w:rPr>
            </w:pPr>
          </w:p>
        </w:tc>
        <w:tc>
          <w:tcPr>
            <w:tcW w:w="20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Percentage change not meaningful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 (in thousands):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our research and development expenses for the periods presented (in thousands):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14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102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4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338"/>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jc w:val="right"/>
              <w:ind w:right="335"/>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1"/>
                <w:szCs w:val="11"/>
                <w:color w:val="auto"/>
              </w:rPr>
            </w:pPr>
          </w:p>
        </w:tc>
        <w:tc>
          <w:tcPr>
            <w:tcW w:w="1320" w:type="dxa"/>
            <w:vAlign w:val="bottom"/>
            <w:gridSpan w:val="2"/>
          </w:tcPr>
          <w:p>
            <w:pPr>
              <w:jc w:val="right"/>
              <w:ind w:right="540"/>
              <w:spacing w:after="0" w:line="137" w:lineRule="exact"/>
              <w:rPr>
                <w:sz w:val="20"/>
                <w:szCs w:val="20"/>
                <w:color w:val="auto"/>
              </w:rPr>
            </w:pPr>
            <w:r>
              <w:rPr>
                <w:rFonts w:ascii="Times New Roman" w:cs="Times New Roman" w:eastAsia="Times New Roman" w:hAnsi="Times New Roman"/>
                <w:sz w:val="14"/>
                <w:szCs w:val="14"/>
                <w:color w:val="auto"/>
              </w:rPr>
              <w:t>Change</w:t>
            </w:r>
          </w:p>
        </w:tc>
        <w:tc>
          <w:tcPr>
            <w:tcW w:w="122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4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External expenses:</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 expenses by program:</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Tibulizumab Portfolio</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Tibulizumab SSc Program</w:t>
            </w:r>
          </w:p>
        </w:tc>
        <w:tc>
          <w:tcPr>
            <w:tcW w:w="34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1,430</w:t>
            </w:r>
          </w:p>
        </w:tc>
        <w:tc>
          <w:tcPr>
            <w:tcW w:w="480" w:type="dxa"/>
            <w:vAlign w:val="bottom"/>
            <w:gridSpan w:val="2"/>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1,309</w:t>
            </w:r>
          </w:p>
        </w:tc>
        <w:tc>
          <w:tcPr>
            <w:tcW w:w="1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Tibulizumab HS Program</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09"/>
        </w:trPr>
        <w:tc>
          <w:tcPr>
            <w:tcW w:w="46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Tibulizumab Combined (SSc and HS) Programs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3,405</w:t>
            </w: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(1,238)</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02"/>
        </w:trPr>
        <w:tc>
          <w:tcPr>
            <w:tcW w:w="462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Tibulizumab Portfolio</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5,597</w:t>
            </w: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3,526</w:t>
            </w:r>
          </w:p>
        </w:tc>
        <w:tc>
          <w:tcPr>
            <w:tcW w:w="1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2,071</w:t>
            </w:r>
          </w:p>
        </w:tc>
        <w:tc>
          <w:tcPr>
            <w:tcW w:w="1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59 %</w:t>
            </w:r>
          </w:p>
        </w:tc>
        <w:tc>
          <w:tcPr>
            <w:tcW w:w="0" w:type="dxa"/>
            <w:vAlign w:val="bottom"/>
          </w:tcPr>
          <w:p>
            <w:pPr>
              <w:spacing w:after="0"/>
              <w:rPr>
                <w:sz w:val="1"/>
                <w:szCs w:val="1"/>
                <w:color w:val="auto"/>
              </w:rPr>
            </w:pPr>
          </w:p>
        </w:tc>
      </w:tr>
      <w:tr>
        <w:trPr>
          <w:trHeight w:val="202"/>
        </w:trPr>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Additional product candidates (crebankitug and torudokimab)</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8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55 %</w:t>
            </w: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Unallocated expenses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90 %</w:t>
            </w:r>
          </w:p>
        </w:tc>
        <w:tc>
          <w:tcPr>
            <w:tcW w:w="0" w:type="dxa"/>
            <w:vAlign w:val="bottom"/>
          </w:tcPr>
          <w:p>
            <w:pPr>
              <w:spacing w:after="0"/>
              <w:rPr>
                <w:sz w:val="1"/>
                <w:szCs w:val="1"/>
                <w:color w:val="auto"/>
              </w:rPr>
            </w:pPr>
          </w:p>
        </w:tc>
      </w:tr>
      <w:tr>
        <w:trPr>
          <w:trHeight w:val="209"/>
        </w:trPr>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Internal expenses: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Personnel expenses (including share-based compensation)</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2,171</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1,467</w:t>
            </w:r>
          </w:p>
        </w:tc>
        <w:tc>
          <w:tcPr>
            <w:tcW w:w="1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48 %</w:t>
            </w:r>
          </w:p>
        </w:tc>
        <w:tc>
          <w:tcPr>
            <w:tcW w:w="0" w:type="dxa"/>
            <w:vAlign w:val="bottom"/>
          </w:tcPr>
          <w:p>
            <w:pPr>
              <w:spacing w:after="0"/>
              <w:rPr>
                <w:sz w:val="1"/>
                <w:szCs w:val="1"/>
                <w:color w:val="auto"/>
              </w:rPr>
            </w:pPr>
          </w:p>
        </w:tc>
      </w:tr>
      <w:tr>
        <w:trPr>
          <w:trHeight w:val="202"/>
        </w:trPr>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Total research and development expense</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8,704</w:t>
            </w:r>
          </w:p>
        </w:tc>
        <w:tc>
          <w:tcPr>
            <w:tcW w:w="180" w:type="dxa"/>
            <w:vAlign w:val="bottom"/>
          </w:tcPr>
          <w:p>
            <w:pPr>
              <w:spacing w:after="0"/>
              <w:rPr>
                <w:sz w:val="17"/>
                <w:szCs w:val="17"/>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5,539</w:t>
            </w:r>
          </w:p>
        </w:tc>
        <w:tc>
          <w:tcPr>
            <w:tcW w:w="18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3,165</w:t>
            </w:r>
          </w:p>
        </w:tc>
        <w:tc>
          <w:tcPr>
            <w:tcW w:w="18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57 %</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2480" w:type="dxa"/>
            <w:vAlign w:val="bottom"/>
            <w:tcBorders>
              <w:bottom w:val="single" w:sz="8" w:color="auto"/>
            </w:tcBorders>
          </w:tcPr>
          <w:p>
            <w:pPr>
              <w:spacing w:after="0"/>
              <w:rPr>
                <w:sz w:val="5"/>
                <w:szCs w:val="5"/>
                <w:color w:val="auto"/>
              </w:rPr>
            </w:pPr>
          </w:p>
        </w:tc>
        <w:tc>
          <w:tcPr>
            <w:tcW w:w="2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Percentage change not meaningful</w:t>
      </w:r>
    </w:p>
    <w:p>
      <w:pPr>
        <w:spacing w:after="0" w:line="222" w:lineRule="exact"/>
        <w:rPr>
          <w:sz w:val="20"/>
          <w:szCs w:val="20"/>
          <w:color w:val="auto"/>
        </w:rPr>
      </w:pPr>
    </w:p>
    <w:p>
      <w:pPr>
        <w:jc w:val="both"/>
        <w:ind w:firstLine="313"/>
        <w:spacing w:after="0" w:line="295" w:lineRule="auto"/>
        <w:rPr>
          <w:sz w:val="20"/>
          <w:szCs w:val="20"/>
          <w:color w:val="auto"/>
        </w:rPr>
      </w:pPr>
      <w:r>
        <w:rPr>
          <w:rFonts w:ascii="Times New Roman" w:cs="Times New Roman" w:eastAsia="Times New Roman" w:hAnsi="Times New Roman"/>
          <w:sz w:val="17"/>
          <w:szCs w:val="17"/>
          <w:color w:val="auto"/>
        </w:rPr>
        <w:t>Research and development expenses increased by $3.2 million for the three months ended June 30, 2025 compared to the three months ended June 30, 2024. This increase was primarily due to:</w:t>
      </w:r>
    </w:p>
    <w:p>
      <w:pPr>
        <w:spacing w:after="0" w:line="146" w:lineRule="exact"/>
        <w:rPr>
          <w:sz w:val="20"/>
          <w:szCs w:val="20"/>
          <w:color w:val="auto"/>
        </w:rPr>
      </w:pPr>
    </w:p>
    <w:p>
      <w:pPr>
        <w:ind w:left="660" w:right="20" w:hanging="315"/>
        <w:spacing w:after="0" w:line="295" w:lineRule="auto"/>
        <w:tabs>
          <w:tab w:leader="none" w:pos="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$1.3 million and $2.0 million increase in costs as we advance our Phase 2 clinical trials evaluating tibulizumab in adults with SSc and HS, respectively, driven by costs incurred for CRO fees to support the conduct of our clinical trials;</w:t>
      </w:r>
    </w:p>
    <w:p>
      <w:pPr>
        <w:spacing w:after="0" w:line="146" w:lineRule="exact"/>
        <w:rPr>
          <w:rFonts w:ascii="Times New Roman" w:cs="Times New Roman" w:eastAsia="Times New Roman" w:hAnsi="Times New Roman"/>
          <w:sz w:val="17"/>
          <w:szCs w:val="17"/>
          <w:color w:val="auto"/>
        </w:rPr>
      </w:pPr>
    </w:p>
    <w:p>
      <w:pPr>
        <w:ind w:left="660" w:right="20" w:hanging="315"/>
        <w:spacing w:after="0" w:line="295" w:lineRule="auto"/>
        <w:tabs>
          <w:tab w:leader="none" w:pos="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$1.2 million decrease in costs for tibulizumab that was not specific to an indication, primarily driven by a decrease of $1.3 million in manufacturing costs for tibulizumab;</w:t>
      </w:r>
    </w:p>
    <w:p>
      <w:pPr>
        <w:spacing w:after="0" w:line="146" w:lineRule="exact"/>
        <w:rPr>
          <w:rFonts w:ascii="Times New Roman" w:cs="Times New Roman" w:eastAsia="Times New Roman" w:hAnsi="Times New Roman"/>
          <w:sz w:val="17"/>
          <w:szCs w:val="17"/>
          <w:color w:val="auto"/>
        </w:rPr>
      </w:pPr>
    </w:p>
    <w:p>
      <w:pPr>
        <w:jc w:val="both"/>
        <w:ind w:left="660" w:right="20" w:hanging="315"/>
        <w:spacing w:after="0" w:line="275" w:lineRule="auto"/>
        <w:tabs>
          <w:tab w:leader="none" w:pos="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$0.2 million increase in costs related to our additional product candidates, crebankitug and torudokimab, as we continued to explore potential applications therapeutic indications where crebankitug may offer clinical and commercial value, and to monitor external data from IL-33/ST2-targeted programs to help inform our development strategy for torudokimab;;</w:t>
      </w:r>
    </w:p>
    <w:p>
      <w:pPr>
        <w:spacing w:after="0" w:line="163" w:lineRule="exact"/>
        <w:rPr>
          <w:rFonts w:ascii="Times New Roman" w:cs="Times New Roman" w:eastAsia="Times New Roman" w:hAnsi="Times New Roman"/>
          <w:sz w:val="17"/>
          <w:szCs w:val="17"/>
          <w:color w:val="auto"/>
        </w:rPr>
      </w:pPr>
    </w:p>
    <w:p>
      <w:pPr>
        <w:ind w:left="660" w:right="20" w:hanging="315"/>
        <w:spacing w:after="0" w:line="295" w:lineRule="auto"/>
        <w:tabs>
          <w:tab w:leader="none" w:pos="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$0.7 million increase in compensation, including share-based compensation, driven by increased personnel in research and development functions; and</w:t>
      </w:r>
    </w:p>
    <w:p>
      <w:pPr>
        <w:spacing w:after="0" w:line="146" w:lineRule="exact"/>
        <w:rPr>
          <w:rFonts w:ascii="Times New Roman" w:cs="Times New Roman" w:eastAsia="Times New Roman" w:hAnsi="Times New Roman"/>
          <w:sz w:val="17"/>
          <w:szCs w:val="17"/>
          <w:color w:val="auto"/>
        </w:rPr>
      </w:pPr>
    </w:p>
    <w:p>
      <w:pPr>
        <w:ind w:left="660" w:right="20" w:hanging="315"/>
        <w:spacing w:after="0" w:line="295" w:lineRule="auto"/>
        <w:tabs>
          <w:tab w:leader="none" w:pos="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$0.2 million increase in unallocated non-portfolio specific research and development expenses due to our growth to support our advancement of our Phase 2 clinical trials and other product candidates.</w:t>
      </w:r>
    </w:p>
    <w:p>
      <w:pPr>
        <w:spacing w:after="0" w:line="146" w:lineRule="exact"/>
        <w:rPr>
          <w:sz w:val="20"/>
          <w:szCs w:val="20"/>
          <w:color w:val="auto"/>
        </w:rPr>
      </w:pPr>
    </w:p>
    <w:p>
      <w:pPr>
        <w:jc w:val="both"/>
        <w:ind w:firstLine="313"/>
        <w:spacing w:after="0" w:line="295" w:lineRule="auto"/>
        <w:rPr>
          <w:sz w:val="20"/>
          <w:szCs w:val="20"/>
          <w:color w:val="auto"/>
        </w:rPr>
      </w:pPr>
      <w:r>
        <w:rPr>
          <w:rFonts w:ascii="Times New Roman" w:cs="Times New Roman" w:eastAsia="Times New Roman" w:hAnsi="Times New Roman"/>
          <w:sz w:val="17"/>
          <w:szCs w:val="17"/>
          <w:color w:val="auto"/>
        </w:rPr>
        <w:t>We anticipate that research and development expenses will continue to increase in the future as we conduct research and development activities.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 (in thousands):</w:t>
      </w:r>
    </w:p>
    <w:p>
      <w:pPr>
        <w:spacing w:after="0" w:line="224" w:lineRule="exact"/>
        <w:rPr>
          <w:sz w:val="20"/>
          <w:szCs w:val="20"/>
          <w:color w:val="auto"/>
        </w:rPr>
      </w:pPr>
    </w:p>
    <w:p>
      <w:pPr>
        <w:jc w:val="both"/>
        <w:ind w:firstLine="313"/>
        <w:spacing w:after="0" w:line="269" w:lineRule="auto"/>
        <w:rPr>
          <w:sz w:val="20"/>
          <w:szCs w:val="20"/>
          <w:color w:val="auto"/>
        </w:rPr>
      </w:pPr>
      <w:r>
        <w:rPr>
          <w:rFonts w:ascii="Times New Roman" w:cs="Times New Roman" w:eastAsia="Times New Roman" w:hAnsi="Times New Roman"/>
          <w:sz w:val="17"/>
          <w:szCs w:val="17"/>
          <w:color w:val="auto"/>
        </w:rPr>
        <w:t>General and administrative expenses increased by $3.1 million for the three months ended June 30, 2025 as compared to the three months ended June 30, 2024. The increase was primarily due to an increase of $2.0 million in compensation expenses, including share-based compensation, for personnel in executive and administrative functions and our board of directors and an increase of $1.2 million in professional fees to support our growing organization as we advance our Phase 2 clinical trials evaluating tibulizumab in SSc and HS.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24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Expense (Income), net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224"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Interest income decreased by $0.5 million for the three months ended June 30, 2025 as compared to the three months ended June 30, 2024. This is primarily due to lower interest rates on our cash and cash equivalents balance during three months ended June 30, 2025 as compared to the three months ended June 30,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fair value of private placement warrants</w:t>
      </w:r>
    </w:p>
    <w:p>
      <w:pPr>
        <w:spacing w:after="0" w:line="224"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For the three months ended June 30, 2025, we did not have any private placement warrants as all private placement warrants were exchanged for Class A Ordinary Shares in August 2024. Revaluation loss on the liability-classified private placement warrants assumed in the Business Combination was $0.8 million during the three months ended June 30,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net</w:t>
      </w:r>
    </w:p>
    <w:p>
      <w:pPr>
        <w:spacing w:after="0" w:line="224"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Other income, net increased by $0.4 for the three months ended June 30, 2025 and compared to the three months ended June 30, 2024 primarily due to the $0.3 million of R&amp;D Incentive Credits received from the U.K. government (tax authority) in May 2025 for qualifying R&amp;D expenses incurred as part of research projects.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Accretion of Redeemable Noncontrolling Interest to Redemption Value</w:t>
      </w:r>
    </w:p>
    <w:p>
      <w:pPr>
        <w:spacing w:after="0" w:line="226" w:lineRule="exact"/>
        <w:rPr>
          <w:sz w:val="20"/>
          <w:szCs w:val="20"/>
          <w:color w:val="auto"/>
        </w:rPr>
      </w:pPr>
    </w:p>
    <w:p>
      <w:pPr>
        <w:jc w:val="both"/>
        <w:ind w:firstLine="313"/>
        <w:spacing w:after="0" w:line="264" w:lineRule="auto"/>
        <w:rPr>
          <w:sz w:val="20"/>
          <w:szCs w:val="20"/>
          <w:color w:val="auto"/>
        </w:rPr>
      </w:pPr>
      <w:r>
        <w:rPr>
          <w:rFonts w:ascii="Times New Roman" w:cs="Times New Roman" w:eastAsia="Times New Roman" w:hAnsi="Times New Roman"/>
          <w:sz w:val="17"/>
          <w:szCs w:val="17"/>
          <w:color w:val="auto"/>
        </w:rPr>
        <w:t>For the three months ended June 30, 2025, there is no accretion of redeemable noncontrolling interest to redemption value as the initial fair value of the noncontrolling interest, decreased for the noncontrolling shareholder’s interest in net loss of Z33, was greater than the redemption value as of both June 30, 2025 and March 31, 2025, thus there was no remeasurement of the Z33 Series Seed Preferred Shares. Accretion of redeemable noncontrolling interest to redemption value was $2.3 million for the three months ended June 30, 2024 resulting from the remeasurement of the Z33 Series Seed Preferred Shares to redemption value, as the Z33 Series Seed Preferred Shares are recorded at the greater of the redemption value or the initial fair value, less noncontrolling shareholder’s interest in net loss of Z33.</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Six Months Ended June 30, 2025 and 2024</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periods presented (in thousands):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1180" w:type="dxa"/>
            <w:vAlign w:val="bottom"/>
            <w:gridSpan w:val="2"/>
            <w:vMerge w:val="restart"/>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4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4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ind w:right="336"/>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jc w:val="right"/>
              <w:ind w:right="334"/>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1"/>
                <w:szCs w:val="11"/>
                <w:color w:val="auto"/>
              </w:rPr>
            </w:pPr>
          </w:p>
        </w:tc>
        <w:tc>
          <w:tcPr>
            <w:tcW w:w="122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4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46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19,178</w:t>
            </w:r>
          </w:p>
        </w:tc>
        <w:tc>
          <w:tcPr>
            <w:tcW w:w="100" w:type="dxa"/>
            <w:vAlign w:val="bottom"/>
          </w:tcPr>
          <w:p>
            <w:pPr>
              <w:spacing w:after="0"/>
              <w:rPr>
                <w:sz w:val="18"/>
                <w:szCs w:val="18"/>
                <w:color w:val="auto"/>
              </w:rPr>
            </w:pPr>
          </w:p>
        </w:tc>
        <w:tc>
          <w:tcPr>
            <w:tcW w:w="380" w:type="dxa"/>
            <w:vAlign w:val="bottom"/>
            <w:gridSpan w:val="2"/>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9,132</w:t>
            </w:r>
          </w:p>
        </w:tc>
        <w:tc>
          <w:tcPr>
            <w:tcW w:w="180" w:type="dxa"/>
            <w:vAlign w:val="bottom"/>
          </w:tcPr>
          <w:p>
            <w:pPr>
              <w:spacing w:after="0"/>
              <w:rPr>
                <w:sz w:val="18"/>
                <w:szCs w:val="18"/>
                <w:color w:val="auto"/>
              </w:rPr>
            </w:pPr>
          </w:p>
        </w:tc>
        <w:tc>
          <w:tcPr>
            <w:tcW w:w="22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10,046</w:t>
            </w:r>
          </w:p>
        </w:tc>
        <w:tc>
          <w:tcPr>
            <w:tcW w:w="2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110 %</w:t>
            </w:r>
          </w:p>
        </w:tc>
        <w:tc>
          <w:tcPr>
            <w:tcW w:w="0" w:type="dxa"/>
            <w:vAlign w:val="bottom"/>
          </w:tcPr>
          <w:p>
            <w:pPr>
              <w:spacing w:after="0"/>
              <w:rPr>
                <w:sz w:val="1"/>
                <w:szCs w:val="1"/>
                <w:color w:val="auto"/>
              </w:rPr>
            </w:pPr>
          </w:p>
        </w:tc>
      </w:tr>
      <w:tr>
        <w:trPr>
          <w:trHeight w:val="209"/>
        </w:trPr>
        <w:tc>
          <w:tcPr>
            <w:tcW w:w="4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18,138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7,132</w:t>
            </w:r>
          </w:p>
        </w:tc>
        <w:tc>
          <w:tcPr>
            <w:tcW w:w="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65 %</w:t>
            </w:r>
          </w:p>
        </w:tc>
        <w:tc>
          <w:tcPr>
            <w:tcW w:w="0" w:type="dxa"/>
            <w:vAlign w:val="bottom"/>
          </w:tcPr>
          <w:p>
            <w:pPr>
              <w:spacing w:after="0"/>
              <w:rPr>
                <w:sz w:val="1"/>
                <w:szCs w:val="1"/>
                <w:color w:val="auto"/>
              </w:rPr>
            </w:pPr>
          </w:p>
        </w:tc>
      </w:tr>
      <w:tr>
        <w:trPr>
          <w:trHeight w:val="202"/>
        </w:trPr>
        <w:tc>
          <w:tcPr>
            <w:tcW w:w="45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37,316</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20,138</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17,178</w:t>
            </w:r>
          </w:p>
        </w:tc>
        <w:tc>
          <w:tcPr>
            <w:tcW w:w="2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85 %</w:t>
            </w:r>
          </w:p>
        </w:tc>
        <w:tc>
          <w:tcPr>
            <w:tcW w:w="0" w:type="dxa"/>
            <w:vAlign w:val="bottom"/>
          </w:tcPr>
          <w:p>
            <w:pPr>
              <w:spacing w:after="0"/>
              <w:rPr>
                <w:sz w:val="1"/>
                <w:szCs w:val="1"/>
                <w:color w:val="auto"/>
              </w:rPr>
            </w:pPr>
          </w:p>
        </w:tc>
      </w:tr>
      <w:tr>
        <w:trPr>
          <w:trHeight w:val="202"/>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(37,316)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(20,138)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(17,178)</w:t>
            </w:r>
          </w:p>
        </w:tc>
        <w:tc>
          <w:tcPr>
            <w:tcW w:w="2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85 %</w:t>
            </w:r>
          </w:p>
        </w:tc>
        <w:tc>
          <w:tcPr>
            <w:tcW w:w="0" w:type="dxa"/>
            <w:vAlign w:val="bottom"/>
          </w:tcPr>
          <w:p>
            <w:pPr>
              <w:spacing w:after="0"/>
              <w:rPr>
                <w:sz w:val="1"/>
                <w:szCs w:val="1"/>
                <w:color w:val="auto"/>
              </w:rPr>
            </w:pPr>
          </w:p>
        </w:tc>
      </w:tr>
      <w:tr>
        <w:trPr>
          <w:trHeight w:val="202"/>
        </w:trPr>
        <w:tc>
          <w:tcPr>
            <w:tcW w:w="4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(income)/expense, net: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Interest income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(3,534)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(3,411)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(123)</w:t>
            </w:r>
          </w:p>
        </w:tc>
        <w:tc>
          <w:tcPr>
            <w:tcW w:w="1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4 %</w:t>
            </w:r>
          </w:p>
        </w:tc>
        <w:tc>
          <w:tcPr>
            <w:tcW w:w="0" w:type="dxa"/>
            <w:vAlign w:val="bottom"/>
          </w:tcPr>
          <w:p>
            <w:pPr>
              <w:spacing w:after="0"/>
              <w:rPr>
                <w:sz w:val="1"/>
                <w:szCs w:val="1"/>
                <w:color w:val="auto"/>
              </w:rPr>
            </w:pPr>
          </w:p>
        </w:tc>
      </w:tr>
      <w:tr>
        <w:trPr>
          <w:trHeight w:val="209"/>
        </w:trPr>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Change in fair value of private placement warrants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(1,374)</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9"/>
        </w:trPr>
        <w:tc>
          <w:tcPr>
            <w:tcW w:w="4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income, net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(322)</w:t>
            </w:r>
          </w:p>
        </w:tc>
        <w:tc>
          <w:tcPr>
            <w:tcW w:w="1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2"/>
        </w:trPr>
        <w:tc>
          <w:tcPr>
            <w:tcW w:w="45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Total other income, net</w:t>
            </w:r>
          </w:p>
        </w:tc>
        <w:tc>
          <w:tcPr>
            <w:tcW w:w="2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(3,881)</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(2,062)</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(1,819)</w:t>
            </w:r>
          </w:p>
        </w:tc>
        <w:tc>
          <w:tcPr>
            <w:tcW w:w="2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88 %</w:t>
            </w:r>
          </w:p>
        </w:tc>
        <w:tc>
          <w:tcPr>
            <w:tcW w:w="0" w:type="dxa"/>
            <w:vAlign w:val="bottom"/>
          </w:tcPr>
          <w:p>
            <w:pPr>
              <w:spacing w:after="0"/>
              <w:rPr>
                <w:sz w:val="1"/>
                <w:szCs w:val="1"/>
                <w:color w:val="auto"/>
              </w:rPr>
            </w:pPr>
          </w:p>
        </w:tc>
      </w:tr>
      <w:tr>
        <w:trPr>
          <w:trHeight w:val="202"/>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(33,435)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(15,359)</w:t>
            </w:r>
          </w:p>
        </w:tc>
        <w:tc>
          <w:tcPr>
            <w:tcW w:w="2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85 %</w:t>
            </w:r>
          </w:p>
        </w:tc>
        <w:tc>
          <w:tcPr>
            <w:tcW w:w="0" w:type="dxa"/>
            <w:vAlign w:val="bottom"/>
          </w:tcPr>
          <w:p>
            <w:pPr>
              <w:spacing w:after="0"/>
              <w:rPr>
                <w:sz w:val="1"/>
                <w:szCs w:val="1"/>
                <w:color w:val="auto"/>
              </w:rPr>
            </w:pPr>
          </w:p>
        </w:tc>
      </w:tr>
      <w:tr>
        <w:trPr>
          <w:trHeight w:val="209"/>
        </w:trPr>
        <w:tc>
          <w:tcPr>
            <w:tcW w:w="4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tax benefit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0 %</w:t>
            </w:r>
          </w:p>
        </w:tc>
        <w:tc>
          <w:tcPr>
            <w:tcW w:w="0" w:type="dxa"/>
            <w:vAlign w:val="bottom"/>
          </w:tcPr>
          <w:p>
            <w:pPr>
              <w:spacing w:after="0"/>
              <w:rPr>
                <w:sz w:val="1"/>
                <w:szCs w:val="1"/>
                <w:color w:val="auto"/>
              </w:rPr>
            </w:pPr>
          </w:p>
        </w:tc>
      </w:tr>
      <w:tr>
        <w:trPr>
          <w:trHeight w:val="202"/>
        </w:trPr>
        <w:tc>
          <w:tcPr>
            <w:tcW w:w="4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(33,435)</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(18,076)</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(15,359)</w:t>
            </w:r>
          </w:p>
        </w:tc>
        <w:tc>
          <w:tcPr>
            <w:tcW w:w="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85 %</w:t>
            </w:r>
          </w:p>
        </w:tc>
        <w:tc>
          <w:tcPr>
            <w:tcW w:w="0" w:type="dxa"/>
            <w:vAlign w:val="bottom"/>
          </w:tcPr>
          <w:p>
            <w:pPr>
              <w:spacing w:after="0"/>
              <w:rPr>
                <w:sz w:val="1"/>
                <w:szCs w:val="1"/>
                <w:color w:val="auto"/>
              </w:rPr>
            </w:pPr>
          </w:p>
        </w:tc>
      </w:tr>
      <w:tr>
        <w:trPr>
          <w:trHeight w:val="190"/>
        </w:trPr>
        <w:tc>
          <w:tcPr>
            <w:tcW w:w="4540" w:type="dxa"/>
            <w:vAlign w:val="bottom"/>
            <w:gridSpan w:val="2"/>
          </w:tcPr>
          <w:p>
            <w:pPr>
              <w:spacing w:after="0" w:line="190" w:lineRule="exact"/>
              <w:rPr>
                <w:sz w:val="20"/>
                <w:szCs w:val="20"/>
                <w:color w:val="auto"/>
              </w:rPr>
            </w:pPr>
            <w:r>
              <w:rPr>
                <w:rFonts w:ascii="Times New Roman" w:cs="Times New Roman" w:eastAsia="Times New Roman" w:hAnsi="Times New Roman"/>
                <w:sz w:val="17"/>
                <w:szCs w:val="17"/>
                <w:color w:val="auto"/>
              </w:rPr>
              <w:t>Accretion of redeemable noncontrolling interest to redemption</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value</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(2,337)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2,337</w:t>
            </w:r>
          </w:p>
        </w:tc>
        <w:tc>
          <w:tcPr>
            <w:tcW w:w="20" w:type="dxa"/>
            <w:vAlign w:val="bottom"/>
          </w:tcPr>
          <w:p>
            <w:pPr>
              <w:spacing w:after="0"/>
              <w:rPr>
                <w:sz w:val="19"/>
                <w:szCs w:val="19"/>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191"/>
        </w:trPr>
        <w:tc>
          <w:tcPr>
            <w:tcW w:w="454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Adjustment of redeemable noncontrolling interst from</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redemption value to carrying value</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7,017</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(7,017)</w:t>
            </w:r>
          </w:p>
        </w:tc>
        <w:tc>
          <w:tcPr>
            <w:tcW w:w="1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101 %</w:t>
            </w:r>
          </w:p>
        </w:tc>
        <w:tc>
          <w:tcPr>
            <w:tcW w:w="0" w:type="dxa"/>
            <w:vAlign w:val="bottom"/>
          </w:tcPr>
          <w:p>
            <w:pPr>
              <w:spacing w:after="0"/>
              <w:rPr>
                <w:sz w:val="1"/>
                <w:szCs w:val="1"/>
                <w:color w:val="auto"/>
              </w:rPr>
            </w:pPr>
          </w:p>
        </w:tc>
      </w:tr>
      <w:tr>
        <w:trPr>
          <w:trHeight w:val="202"/>
        </w:trPr>
        <w:tc>
          <w:tcPr>
            <w:tcW w:w="4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 attributable to Class A Ordinary Shareholders of Zura</w:t>
            </w:r>
          </w:p>
        </w:tc>
        <w:tc>
          <w:tcPr>
            <w:tcW w:w="2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(33,435)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(13,396)</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(20,039)</w:t>
            </w:r>
          </w:p>
        </w:tc>
        <w:tc>
          <w:tcPr>
            <w:tcW w:w="20" w:type="dxa"/>
            <w:vAlign w:val="bottom"/>
            <w:tcBorders>
              <w:bottom w:val="single" w:sz="8" w:color="auto"/>
            </w:tcBorders>
          </w:tcPr>
          <w:p>
            <w:pPr>
              <w:spacing w:after="0"/>
              <w:rPr>
                <w:sz w:val="17"/>
                <w:szCs w:val="17"/>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150 %</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2480" w:type="dxa"/>
            <w:vAlign w:val="bottom"/>
            <w:tcBorders>
              <w:bottom w:val="single" w:sz="8" w:color="auto"/>
            </w:tcBorders>
          </w:tcPr>
          <w:p>
            <w:pPr>
              <w:spacing w:after="0"/>
              <w:rPr>
                <w:sz w:val="5"/>
                <w:szCs w:val="5"/>
                <w:color w:val="auto"/>
              </w:rPr>
            </w:pPr>
          </w:p>
        </w:tc>
        <w:tc>
          <w:tcPr>
            <w:tcW w:w="2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*Percentage change not meaningful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our research and development expenses for the periods presented (in thousands):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14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102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4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ind w:right="338"/>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jc w:val="right"/>
              <w:ind w:right="335"/>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1"/>
                <w:szCs w:val="11"/>
                <w:color w:val="auto"/>
              </w:rPr>
            </w:pPr>
          </w:p>
        </w:tc>
        <w:tc>
          <w:tcPr>
            <w:tcW w:w="1320" w:type="dxa"/>
            <w:vAlign w:val="bottom"/>
            <w:gridSpan w:val="2"/>
          </w:tcPr>
          <w:p>
            <w:pPr>
              <w:ind w:left="360"/>
              <w:spacing w:after="0" w:line="137" w:lineRule="exact"/>
              <w:rPr>
                <w:sz w:val="20"/>
                <w:szCs w:val="20"/>
                <w:color w:val="auto"/>
              </w:rPr>
            </w:pPr>
            <w:r>
              <w:rPr>
                <w:rFonts w:ascii="Times New Roman" w:cs="Times New Roman" w:eastAsia="Times New Roman" w:hAnsi="Times New Roman"/>
                <w:sz w:val="14"/>
                <w:szCs w:val="14"/>
                <w:color w:val="auto"/>
              </w:rPr>
              <w:t>Change</w:t>
            </w:r>
          </w:p>
        </w:tc>
        <w:tc>
          <w:tcPr>
            <w:tcW w:w="122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4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External expenses:</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 expenses by program:</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Tibulizumab Portfolio</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Tibulizumab SSc Program</w:t>
            </w:r>
          </w:p>
        </w:tc>
        <w:tc>
          <w:tcPr>
            <w:tcW w:w="38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4,196</w:t>
            </w:r>
          </w:p>
        </w:tc>
        <w:tc>
          <w:tcPr>
            <w:tcW w:w="480" w:type="dxa"/>
            <w:vAlign w:val="bottom"/>
            <w:gridSpan w:val="2"/>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3,993</w:t>
            </w:r>
          </w:p>
        </w:tc>
        <w:tc>
          <w:tcPr>
            <w:tcW w:w="1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Tibulizumab HS Program</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3,274</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7"/>
                <w:szCs w:val="17"/>
                <w:color w:val="auto"/>
              </w:rPr>
              <w:t>Tibulizumab Combined (SSc and HS) Programs</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5,870</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4,818</w:t>
            </w:r>
          </w:p>
        </w:tc>
        <w:tc>
          <w:tcPr>
            <w:tcW w:w="1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1,052</w:t>
            </w:r>
          </w:p>
        </w:tc>
        <w:tc>
          <w:tcPr>
            <w:tcW w:w="1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22 %</w:t>
            </w:r>
          </w:p>
        </w:tc>
        <w:tc>
          <w:tcPr>
            <w:tcW w:w="0" w:type="dxa"/>
            <w:vAlign w:val="bottom"/>
          </w:tcPr>
          <w:p>
            <w:pPr>
              <w:spacing w:after="0"/>
              <w:rPr>
                <w:sz w:val="1"/>
                <w:szCs w:val="1"/>
                <w:color w:val="auto"/>
              </w:rPr>
            </w:pPr>
          </w:p>
        </w:tc>
      </w:tr>
      <w:tr>
        <w:trPr>
          <w:trHeight w:val="202"/>
        </w:trPr>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Tibulizumab Portfolio</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13,340</w:t>
            </w:r>
          </w:p>
        </w:tc>
        <w:tc>
          <w:tcPr>
            <w:tcW w:w="1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5,021</w:t>
            </w:r>
          </w:p>
        </w:tc>
        <w:tc>
          <w:tcPr>
            <w:tcW w:w="18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8,319</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166 %</w:t>
            </w:r>
          </w:p>
        </w:tc>
        <w:tc>
          <w:tcPr>
            <w:tcW w:w="0" w:type="dxa"/>
            <w:vAlign w:val="bottom"/>
          </w:tcPr>
          <w:p>
            <w:pPr>
              <w:spacing w:after="0"/>
              <w:rPr>
                <w:sz w:val="1"/>
                <w:szCs w:val="1"/>
                <w:color w:val="auto"/>
              </w:rPr>
            </w:pPr>
          </w:p>
        </w:tc>
      </w:tr>
      <w:tr>
        <w:trPr>
          <w:trHeight w:val="202"/>
        </w:trPr>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Additional product candidates (crebankitug and torudokimab)</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8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Unallocated expenses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89 %</w:t>
            </w:r>
          </w:p>
        </w:tc>
        <w:tc>
          <w:tcPr>
            <w:tcW w:w="0" w:type="dxa"/>
            <w:vAlign w:val="bottom"/>
          </w:tcPr>
          <w:p>
            <w:pPr>
              <w:spacing w:after="0"/>
              <w:rPr>
                <w:sz w:val="1"/>
                <w:szCs w:val="1"/>
                <w:color w:val="auto"/>
              </w:rPr>
            </w:pPr>
          </w:p>
        </w:tc>
      </w:tr>
      <w:tr>
        <w:trPr>
          <w:trHeight w:val="209"/>
        </w:trPr>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Internal expenses: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Personnel expenses (including share-based compensation)</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4,154</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2,801</w:t>
            </w:r>
          </w:p>
        </w:tc>
        <w:tc>
          <w:tcPr>
            <w:tcW w:w="1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1,353</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48 %</w:t>
            </w:r>
          </w:p>
        </w:tc>
        <w:tc>
          <w:tcPr>
            <w:tcW w:w="0" w:type="dxa"/>
            <w:vAlign w:val="bottom"/>
          </w:tcPr>
          <w:p>
            <w:pPr>
              <w:spacing w:after="0"/>
              <w:rPr>
                <w:sz w:val="1"/>
                <w:szCs w:val="1"/>
                <w:color w:val="auto"/>
              </w:rPr>
            </w:pPr>
          </w:p>
        </w:tc>
      </w:tr>
      <w:tr>
        <w:trPr>
          <w:trHeight w:val="202"/>
        </w:trPr>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Total research and development expense</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19,178</w:t>
            </w:r>
          </w:p>
        </w:tc>
        <w:tc>
          <w:tcPr>
            <w:tcW w:w="180" w:type="dxa"/>
            <w:vAlign w:val="bottom"/>
          </w:tcPr>
          <w:p>
            <w:pPr>
              <w:spacing w:after="0"/>
              <w:rPr>
                <w:sz w:val="17"/>
                <w:szCs w:val="17"/>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9,132</w:t>
            </w:r>
          </w:p>
        </w:tc>
        <w:tc>
          <w:tcPr>
            <w:tcW w:w="18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10,046</w:t>
            </w:r>
          </w:p>
        </w:tc>
        <w:tc>
          <w:tcPr>
            <w:tcW w:w="18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110 %</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480" w:type="dxa"/>
            <w:vAlign w:val="bottom"/>
            <w:tcBorders>
              <w:bottom w:val="single" w:sz="8" w:color="auto"/>
            </w:tcBorders>
          </w:tcPr>
          <w:p>
            <w:pPr>
              <w:spacing w:after="0"/>
              <w:rPr>
                <w:sz w:val="6"/>
                <w:szCs w:val="6"/>
                <w:color w:val="auto"/>
              </w:rPr>
            </w:pPr>
          </w:p>
        </w:tc>
        <w:tc>
          <w:tcPr>
            <w:tcW w:w="2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Percentage change not meaningful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24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Research and development expenses increased by 10.0 million for the six months ended June 30, 2025 compared to the six months ended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2024. This increase was primarily due to:</w:t>
      </w:r>
    </w:p>
    <w:p>
      <w:pPr>
        <w:spacing w:after="0" w:line="204" w:lineRule="exact"/>
        <w:rPr>
          <w:sz w:val="20"/>
          <w:szCs w:val="20"/>
          <w:color w:val="auto"/>
        </w:rPr>
      </w:pPr>
    </w:p>
    <w:p>
      <w:pPr>
        <w:ind w:left="660" w:right="20" w:hanging="315"/>
        <w:spacing w:after="0" w:line="295" w:lineRule="auto"/>
        <w:tabs>
          <w:tab w:leader="none" w:pos="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$4.0 million and $3.3 million increase in costs as we advance our Phase 2 clinical trials evaluating tibulizumab in adults with SSc and HS, respectively, driven by costs incurred for CRO fees to support the conduct of our clinical trials;</w:t>
      </w:r>
    </w:p>
    <w:p>
      <w:pPr>
        <w:spacing w:after="0" w:line="146" w:lineRule="exact"/>
        <w:rPr>
          <w:rFonts w:ascii="Times New Roman" w:cs="Times New Roman" w:eastAsia="Times New Roman" w:hAnsi="Times New Roman"/>
          <w:sz w:val="17"/>
          <w:szCs w:val="17"/>
          <w:color w:val="auto"/>
        </w:rPr>
      </w:pPr>
    </w:p>
    <w:p>
      <w:pPr>
        <w:ind w:left="660" w:hanging="315"/>
        <w:spacing w:after="0" w:line="295" w:lineRule="auto"/>
        <w:tabs>
          <w:tab w:leader="none" w:pos="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$1.1 million increase in costs for tibulizumab that was not specific to an indication, primarily driven by an increase of $0.8 million in manufacturing costs for tibulizumab;</w:t>
      </w:r>
    </w:p>
    <w:p>
      <w:pPr>
        <w:spacing w:after="0" w:line="146" w:lineRule="exact"/>
        <w:rPr>
          <w:rFonts w:ascii="Times New Roman" w:cs="Times New Roman" w:eastAsia="Times New Roman" w:hAnsi="Times New Roman"/>
          <w:sz w:val="17"/>
          <w:szCs w:val="17"/>
          <w:color w:val="auto"/>
        </w:rPr>
      </w:pPr>
    </w:p>
    <w:p>
      <w:pPr>
        <w:ind w:left="660" w:right="20" w:hanging="315"/>
        <w:spacing w:after="0" w:line="295" w:lineRule="auto"/>
        <w:tabs>
          <w:tab w:leader="none" w:pos="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our additional product candidates (crebankitug and torudokimab), remained relatively consistent from the six months ended June 30 2025, compared to the six months ended June 30, 2024;</w:t>
      </w:r>
    </w:p>
    <w:p>
      <w:pPr>
        <w:spacing w:after="0" w:line="146" w:lineRule="exact"/>
        <w:rPr>
          <w:rFonts w:ascii="Times New Roman" w:cs="Times New Roman" w:eastAsia="Times New Roman" w:hAnsi="Times New Roman"/>
          <w:sz w:val="17"/>
          <w:szCs w:val="17"/>
          <w:color w:val="auto"/>
        </w:rPr>
      </w:pPr>
    </w:p>
    <w:p>
      <w:pPr>
        <w:ind w:left="660" w:right="20" w:hanging="315"/>
        <w:spacing w:after="0" w:line="295" w:lineRule="auto"/>
        <w:tabs>
          <w:tab w:leader="none" w:pos="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$1.4 million increase in compensation, including share-based compensation, driven by increased personnel in research and development functions; and</w:t>
      </w:r>
    </w:p>
    <w:p>
      <w:pPr>
        <w:spacing w:after="0" w:line="146" w:lineRule="exact"/>
        <w:rPr>
          <w:rFonts w:ascii="Times New Roman" w:cs="Times New Roman" w:eastAsia="Times New Roman" w:hAnsi="Times New Roman"/>
          <w:sz w:val="17"/>
          <w:szCs w:val="17"/>
          <w:color w:val="auto"/>
        </w:rPr>
      </w:pPr>
    </w:p>
    <w:p>
      <w:pPr>
        <w:ind w:left="660" w:right="20" w:hanging="315"/>
        <w:spacing w:after="0" w:line="295" w:lineRule="auto"/>
        <w:tabs>
          <w:tab w:leader="none" w:pos="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$0.4 million increase in unallocated non-portfolio specific research and development expenses due to our growth to support our advancement of our Phase 2 clinical trials and other product candidates.</w:t>
      </w:r>
    </w:p>
    <w:p>
      <w:pPr>
        <w:spacing w:after="0" w:line="146" w:lineRule="exact"/>
        <w:rPr>
          <w:sz w:val="20"/>
          <w:szCs w:val="20"/>
          <w:color w:val="auto"/>
        </w:rPr>
      </w:pPr>
    </w:p>
    <w:p>
      <w:pPr>
        <w:jc w:val="both"/>
        <w:ind w:firstLine="313"/>
        <w:spacing w:after="0" w:line="295" w:lineRule="auto"/>
        <w:rPr>
          <w:sz w:val="20"/>
          <w:szCs w:val="20"/>
          <w:color w:val="auto"/>
        </w:rPr>
      </w:pPr>
      <w:r>
        <w:rPr>
          <w:rFonts w:ascii="Times New Roman" w:cs="Times New Roman" w:eastAsia="Times New Roman" w:hAnsi="Times New Roman"/>
          <w:sz w:val="17"/>
          <w:szCs w:val="17"/>
          <w:color w:val="auto"/>
        </w:rPr>
        <w:t>We anticipate that research and development expenses will continue to increase in the future as we conduct research and development activities.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 (in thousands):</w:t>
      </w:r>
    </w:p>
    <w:p>
      <w:pPr>
        <w:spacing w:after="0" w:line="224" w:lineRule="exact"/>
        <w:rPr>
          <w:sz w:val="20"/>
          <w:szCs w:val="20"/>
          <w:color w:val="auto"/>
        </w:rPr>
      </w:pPr>
    </w:p>
    <w:p>
      <w:pPr>
        <w:jc w:val="both"/>
        <w:ind w:firstLine="313"/>
        <w:spacing w:after="0" w:line="269" w:lineRule="auto"/>
        <w:rPr>
          <w:sz w:val="20"/>
          <w:szCs w:val="20"/>
          <w:color w:val="auto"/>
        </w:rPr>
      </w:pPr>
      <w:r>
        <w:rPr>
          <w:rFonts w:ascii="Times New Roman" w:cs="Times New Roman" w:eastAsia="Times New Roman" w:hAnsi="Times New Roman"/>
          <w:sz w:val="17"/>
          <w:szCs w:val="17"/>
          <w:color w:val="auto"/>
        </w:rPr>
        <w:t>General and administrative expenses increased by $7.1 million for the six months ended June 30, 2025 as compared to the six months ended June 30, 2024. The increase was primarily due to an increase of $4.5 million in compensation expenses, including share-based compensation, for personnel in executive and administrative functions and our board of directors and an increase of $2.3 million in professional fees to support our growing organization as we advance our Phase 2 clinical trials evaluating tibulizumab in SSc and HS.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Expense (Income), net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224" w:lineRule="exact"/>
        <w:rPr>
          <w:sz w:val="20"/>
          <w:szCs w:val="20"/>
          <w:color w:val="auto"/>
        </w:rPr>
      </w:pPr>
    </w:p>
    <w:p>
      <w:pPr>
        <w:jc w:val="both"/>
        <w:ind w:firstLine="313"/>
        <w:spacing w:after="0" w:line="267" w:lineRule="auto"/>
        <w:rPr>
          <w:sz w:val="20"/>
          <w:szCs w:val="20"/>
          <w:color w:val="auto"/>
        </w:rPr>
      </w:pPr>
      <w:r>
        <w:rPr>
          <w:rFonts w:ascii="Times New Roman" w:cs="Times New Roman" w:eastAsia="Times New Roman" w:hAnsi="Times New Roman"/>
          <w:sz w:val="17"/>
          <w:szCs w:val="17"/>
          <w:color w:val="auto"/>
        </w:rPr>
        <w:t>Interest income remained relatively consistent for the six months ended June 30, 2025 as compared to the six months ended June 30, 2024.</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fair value of private placement warrants</w:t>
      </w:r>
    </w:p>
    <w:p>
      <w:pPr>
        <w:spacing w:after="0" w:line="224" w:lineRule="exact"/>
        <w:rPr>
          <w:sz w:val="20"/>
          <w:szCs w:val="20"/>
          <w:color w:val="auto"/>
        </w:rPr>
      </w:pPr>
    </w:p>
    <w:p>
      <w:pPr>
        <w:ind w:right="20" w:firstLine="313"/>
        <w:spacing w:after="0" w:line="275" w:lineRule="auto"/>
        <w:rPr>
          <w:sz w:val="20"/>
          <w:szCs w:val="20"/>
          <w:color w:val="auto"/>
        </w:rPr>
      </w:pPr>
      <w:r>
        <w:rPr>
          <w:rFonts w:ascii="Times New Roman" w:cs="Times New Roman" w:eastAsia="Times New Roman" w:hAnsi="Times New Roman"/>
          <w:sz w:val="17"/>
          <w:szCs w:val="17"/>
          <w:color w:val="auto"/>
        </w:rPr>
        <w:t>For the six months ended June 30, 2025, we did not have any private placement warrants as all private placement warrants were exchanged for Class A Ordinary Shares in August 2024. Revaluation loss on the liability-classified private placement warrants assumed in the Business Combination was $1.4 million during the six months ended June 30,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net</w:t>
      </w:r>
    </w:p>
    <w:p>
      <w:pPr>
        <w:spacing w:after="0" w:line="224" w:lineRule="exact"/>
        <w:rPr>
          <w:sz w:val="20"/>
          <w:szCs w:val="20"/>
          <w:color w:val="auto"/>
        </w:rPr>
      </w:pPr>
    </w:p>
    <w:p>
      <w:pPr>
        <w:jc w:val="both"/>
        <w:ind w:right="240" w:firstLine="313"/>
        <w:spacing w:after="0" w:line="275" w:lineRule="auto"/>
        <w:rPr>
          <w:sz w:val="20"/>
          <w:szCs w:val="20"/>
          <w:color w:val="auto"/>
        </w:rPr>
      </w:pPr>
      <w:r>
        <w:rPr>
          <w:rFonts w:ascii="Times New Roman" w:cs="Times New Roman" w:eastAsia="Times New Roman" w:hAnsi="Times New Roman"/>
          <w:sz w:val="17"/>
          <w:szCs w:val="17"/>
          <w:color w:val="auto"/>
        </w:rPr>
        <w:t>Other income, net increased $0.3 million for the six months ended June 30, 2025 and compared to the six months ended June 30, 2024 primarily due to the $0.3 million of R&amp;D Incentive Credits received from the U.K. government (tax authority) in May 2025 for qualifying R&amp;D expenses incurred as part of research projects.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Accretion of Redeemable Noncontrolling Interest to Redemption Value</w:t>
      </w:r>
    </w:p>
    <w:p>
      <w:pPr>
        <w:spacing w:after="0" w:line="226" w:lineRule="exact"/>
        <w:rPr>
          <w:sz w:val="20"/>
          <w:szCs w:val="20"/>
          <w:color w:val="auto"/>
        </w:rPr>
      </w:pPr>
    </w:p>
    <w:p>
      <w:pPr>
        <w:ind w:right="20" w:firstLine="313"/>
        <w:spacing w:after="0" w:line="264" w:lineRule="auto"/>
        <w:rPr>
          <w:sz w:val="20"/>
          <w:szCs w:val="20"/>
          <w:color w:val="auto"/>
        </w:rPr>
      </w:pPr>
      <w:r>
        <w:rPr>
          <w:rFonts w:ascii="Times New Roman" w:cs="Times New Roman" w:eastAsia="Times New Roman" w:hAnsi="Times New Roman"/>
          <w:sz w:val="17"/>
          <w:szCs w:val="17"/>
          <w:color w:val="auto"/>
        </w:rPr>
        <w:t>For the six months ended June 30, 2025, there is no accretion of redeemable noncontrolling interest to redemption value as the initial fair value of the noncontrolling interest, decreased for the noncontrolling shareholder’s interest in net loss of Z33, was greater than the redemption value as of both June 30, 2025 and December 31, 2024, thus there was no remeasurement of the Z33 Series Seed Preferred Shares. Accretion of redeemable noncontrolling interest to redemption value was $2.3 million for the six months ended June 30, 2024 resulting from the remeasurement of the Z33 Series Seed Preferred Shares to redemption value, as the Z33 Series Seed Preferred Shares are recorded at the greater of the redemption value or the initial fair value, less noncontrolling shareholder’s interest in net loss of Z33.</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Adjustment of Redeemable Noncontrolling Interest from Redemption Value to Carrying Value</w:t>
      </w:r>
    </w:p>
    <w:p>
      <w:pPr>
        <w:spacing w:after="0" w:line="226" w:lineRule="exact"/>
        <w:rPr>
          <w:sz w:val="20"/>
          <w:szCs w:val="20"/>
          <w:color w:val="auto"/>
        </w:rPr>
      </w:pPr>
    </w:p>
    <w:p>
      <w:pPr>
        <w:ind w:right="40" w:firstLine="313"/>
        <w:spacing w:after="0" w:line="264" w:lineRule="auto"/>
        <w:rPr>
          <w:sz w:val="20"/>
          <w:szCs w:val="20"/>
          <w:color w:val="auto"/>
        </w:rPr>
      </w:pPr>
      <w:r>
        <w:rPr>
          <w:rFonts w:ascii="Times New Roman" w:cs="Times New Roman" w:eastAsia="Times New Roman" w:hAnsi="Times New Roman"/>
          <w:sz w:val="17"/>
          <w:szCs w:val="17"/>
          <w:color w:val="auto"/>
        </w:rPr>
        <w:t>For the six months ended June 30, 2025, there is no adjustment to the noncontrolling interest as the initial fair value of the noncontrolling interest, decreased for the noncontrolling shareholder’s interest in net loss of Z33, was greater than the redemption value as of both June 30, 2025 and December 31, 2024. For the six months ended June 30, 2024, redeemable noncontrolling interest was adjusted from its redemption value to its initial fair value, decreased for the noncontrolling shareholder’s interest in net loss of Z33. This $7.0 million adjustment was the result of a decrease in the redemption price below the initial fair value, less the noncontrolling shareholder’s interest in net loss of Z33 as of June 30,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26"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color w:val="auto"/>
        </w:rPr>
        <w:t>Since our inception, we have not generated any revenue and expect to continue to incur significant operating losses for the foreseeable future and may never become profitable. As of June 30, 2025, we had cash and cash equivalents of $154.5 million. We have funded our operations through (i) the sale of equity, raising an aggregate of $10.0 million of gross proceeds from the sale of our convertible preferred shares of Zura Bio UK through March 31, 2023; (ii) the issuance of a promissory note, receiving net proceeds of $7.6 million in December 2022; (iii) proceeds from the Business Combination of $56.7 million in March 2023; (iv) the April 2023 Private Placement, raising an aggregate of $75.8 million in net cash proceeds; (v) the April 2024 Private Placement, raising an aggregate of $105.3 million in net cash proceeds; (vi) the sale of 1,500,000 Class A Ordinary Shares at a price of $3.80 per share under the ATM for net proceeds of $5.5 million, after placement agent commissions, in September 2024; and (vii) the sale of 3,000,000 Class A Ordinary Shares at a price of $1.75 per share under the ATM for net proceeds of $5.1 million, after placement agent commissions, in the first quarter of 2025.</w:t>
      </w:r>
    </w:p>
    <w:p>
      <w:pPr>
        <w:spacing w:after="0" w:line="175" w:lineRule="exact"/>
        <w:rPr>
          <w:sz w:val="20"/>
          <w:szCs w:val="20"/>
          <w:color w:val="auto"/>
        </w:rPr>
      </w:pPr>
    </w:p>
    <w:p>
      <w:pPr>
        <w:jc w:val="both"/>
        <w:ind w:firstLine="313"/>
        <w:spacing w:after="0" w:line="266" w:lineRule="auto"/>
        <w:rPr>
          <w:sz w:val="20"/>
          <w:szCs w:val="20"/>
          <w:color w:val="auto"/>
        </w:rPr>
      </w:pPr>
      <w:r>
        <w:rPr>
          <w:rFonts w:ascii="Times New Roman" w:cs="Times New Roman" w:eastAsia="Times New Roman" w:hAnsi="Times New Roman"/>
          <w:sz w:val="17"/>
          <w:szCs w:val="17"/>
          <w:color w:val="auto"/>
        </w:rPr>
        <w:t>We have experienced operating losses and cash outflows from operations since inception and will require ongoing financing in order to continue our research and development activities. We have not earned any revenue or reached successful commercialization of our products. Our future operations are dependent upon our ability to finance our cash requirements which will allow us to continue our research and development activities and the commercialization of our products. There can be no assurance that we will be successful in continuing to finance our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Requirements</w:t>
      </w:r>
    </w:p>
    <w:p>
      <w:pPr>
        <w:spacing w:after="0" w:line="226" w:lineRule="exact"/>
        <w:rPr>
          <w:sz w:val="20"/>
          <w:szCs w:val="20"/>
          <w:color w:val="auto"/>
        </w:rPr>
      </w:pPr>
    </w:p>
    <w:p>
      <w:pPr>
        <w:jc w:val="both"/>
        <w:ind w:firstLine="313"/>
        <w:spacing w:after="0" w:line="266" w:lineRule="auto"/>
        <w:rPr>
          <w:sz w:val="20"/>
          <w:szCs w:val="20"/>
          <w:color w:val="auto"/>
        </w:rPr>
      </w:pPr>
      <w:r>
        <w:rPr>
          <w:rFonts w:ascii="Times New Roman" w:cs="Times New Roman" w:eastAsia="Times New Roman" w:hAnsi="Times New Roman"/>
          <w:sz w:val="17"/>
          <w:szCs w:val="17"/>
          <w:color w:val="auto"/>
        </w:rPr>
        <w:t>To date, we have not generated revenue from any source, including the commercial sale of approved drug products, and we do not expect to generate revenue for at least the next few years. If we fail to complete the development of our product candidates in a timely manner or fail to obtain their regulatory approval, our ability to generate future revenue will be adversely affected. We do not know when, or if, we will generate any revenue from our product candidates, and we do not expect to generate revenue unless and until we obtain regulatory approval of, and commercialize, our product candidates.</w:t>
      </w:r>
    </w:p>
    <w:p>
      <w:pPr>
        <w:spacing w:after="0" w:line="170" w:lineRule="exact"/>
        <w:rPr>
          <w:sz w:val="20"/>
          <w:szCs w:val="20"/>
          <w:color w:val="auto"/>
        </w:rPr>
      </w:pPr>
    </w:p>
    <w:p>
      <w:pPr>
        <w:jc w:val="both"/>
        <w:ind w:firstLine="313"/>
        <w:spacing w:after="0" w:line="267" w:lineRule="auto"/>
        <w:rPr>
          <w:sz w:val="20"/>
          <w:szCs w:val="20"/>
          <w:color w:val="auto"/>
        </w:rPr>
      </w:pPr>
      <w:r>
        <w:rPr>
          <w:rFonts w:ascii="Times New Roman" w:cs="Times New Roman" w:eastAsia="Times New Roman" w:hAnsi="Times New Roman"/>
          <w:sz w:val="17"/>
          <w:szCs w:val="17"/>
          <w:color w:val="auto"/>
        </w:rPr>
        <w:t>We expect our expenses to continue to increase in connection with our ongoing activities, particularly as we continue the research and development, and seek marketing approval for our product candidates, as well as administrative costs associated with supporting our operations. In addition, if we obtain approval for any of our product candidates, we expect to incur significant commercialization expenses related to sales, marketing, manufacturing and distribution. Furthermore, we expect to incur additional costs associated with operating as a public company.</w:t>
      </w:r>
    </w:p>
    <w:p>
      <w:pPr>
        <w:spacing w:after="0" w:line="383" w:lineRule="exact"/>
        <w:rPr>
          <w:sz w:val="20"/>
          <w:szCs w:val="20"/>
          <w:color w:val="auto"/>
        </w:rPr>
      </w:pPr>
    </w:p>
    <w:p>
      <w:pPr>
        <w:jc w:val="both"/>
        <w:ind w:firstLine="313"/>
        <w:spacing w:after="0" w:line="260" w:lineRule="auto"/>
        <w:rPr>
          <w:sz w:val="20"/>
          <w:szCs w:val="20"/>
          <w:color w:val="auto"/>
        </w:rPr>
      </w:pPr>
      <w:r>
        <w:rPr>
          <w:rFonts w:ascii="Times New Roman" w:cs="Times New Roman" w:eastAsia="Times New Roman" w:hAnsi="Times New Roman"/>
          <w:sz w:val="17"/>
          <w:szCs w:val="17"/>
          <w:color w:val="auto"/>
        </w:rPr>
        <w:t>We will also be responsible to Pfizer and Lilly for significant future contingent payments under the Pfizer Agreement and the Lilly Licenses upon the achievement of certain development, regulatory, and sales milestones, as well as ongoing royalties on net commercial sales. The size and timing of these milestone payments will vary greatly depending upon a number of factors, and it is therefore difficult to estimate the total payments that could become payable to Pfizer and Lilly and when those payments would be due. If we achieve all of the milestones, we would be obligated to pay multimillion dollar development and regulatory milestone payments and sales milestone payments. We will be required to pay certain of these milestone payments prior to the time at which we are able to generate sufficient revenue, if any, from commercial sales of any of our product candidates. We intend to fund these milestone payments using a portion of the proceeds from the Business Combination, the April 2023 Private Placement, the April 2024 Private Placement and sales under the ATM. In addition to milestone payments, we are also required to pay Pfizer and Lilly under the Pfizer Agreement and Lilly Licenses, respectively, ongoing royalties in the mid-single digits to low double-digits (less than 20%) percentage range based upon thresholds of net sales of products.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color w:val="auto"/>
        </w:rPr>
        <w:t>We intend to devote most of the net proceeds from the Business Combination, the April 2023 Private Placement, the April 2024 Private Placement and sales under the ATM to the preclinical and clinical development of our product candidates, our public company compliance costs and certain milestone payments. Based on our current business plans, we believe that our existing cash, cash equivalents and investments should be sufficient to fund our operating expenses and capital requirements through 2027. Our estimate as to how long we expect our existing cash and cash equivalents to be able to fund our operating expenses and capital requirements is based on assumptions that may prove to be wrong, and we could use our available capital resources sooner than we currently expect. Changing circumstances, some of which may be beyond our control, could result in less cash available to us or cause us to consume capital significantly faster than we currently anticipate, and we may need to seek additional funds sooner than planned.</w:t>
      </w:r>
    </w:p>
    <w:p>
      <w:pPr>
        <w:spacing w:after="0" w:line="179"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Because of the numerous risks and uncertainties associated with research, development and commercialization of pharmaceutical drug products, we are unable to estimate the exact amount of our operating capital requirements. Our future funding requirements will depend on many factors, including, but not limited to:</w:t>
      </w:r>
    </w:p>
    <w:p>
      <w:pPr>
        <w:spacing w:after="0" w:line="163" w:lineRule="exact"/>
        <w:rPr>
          <w:sz w:val="20"/>
          <w:szCs w:val="20"/>
          <w:color w:val="auto"/>
        </w:rPr>
      </w:pPr>
    </w:p>
    <w:p>
      <w:pPr>
        <w:ind w:left="660" w:hanging="315"/>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we develop, in-license or acquire other product candidates and technologies in our product candidates pipeline;</w:t>
      </w:r>
    </w:p>
    <w:p>
      <w:pPr>
        <w:spacing w:after="0" w:line="222" w:lineRule="exact"/>
        <w:rPr>
          <w:rFonts w:ascii="Times New Roman" w:cs="Times New Roman" w:eastAsia="Times New Roman" w:hAnsi="Times New Roman"/>
          <w:sz w:val="17"/>
          <w:szCs w:val="17"/>
          <w:color w:val="auto"/>
        </w:rPr>
      </w:pPr>
    </w:p>
    <w:p>
      <w:pPr>
        <w:ind w:left="660" w:hanging="315"/>
        <w:spacing w:after="0" w:line="295" w:lineRule="auto"/>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process development and manufacturing scale-up activities associated with our product candidates and other programs as we advance them through preclinical and clinical development;</w:t>
      </w:r>
    </w:p>
    <w:p>
      <w:pPr>
        <w:spacing w:after="0" w:line="146"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development requirements of product candidates that we may pursue;</w:t>
      </w:r>
    </w:p>
    <w:p>
      <w:pPr>
        <w:spacing w:after="0" w:line="222"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timing and outcome of regulatory review of our product candidates;</w:t>
      </w:r>
    </w:p>
    <w:p>
      <w:pPr>
        <w:spacing w:after="0" w:line="222"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amount of our milestone payments to Pfizer under the Pfizer Agreement and to Lilly under the Lilly Licenses;</w:t>
      </w:r>
    </w:p>
    <w:p>
      <w:pPr>
        <w:spacing w:after="0" w:line="222" w:lineRule="exact"/>
        <w:rPr>
          <w:rFonts w:ascii="Times New Roman" w:cs="Times New Roman" w:eastAsia="Times New Roman" w:hAnsi="Times New Roman"/>
          <w:sz w:val="17"/>
          <w:szCs w:val="17"/>
          <w:color w:val="auto"/>
        </w:rPr>
      </w:pPr>
    </w:p>
    <w:p>
      <w:pPr>
        <w:ind w:left="660" w:right="20" w:hanging="315"/>
        <w:spacing w:after="0" w:line="295" w:lineRule="auto"/>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headcount growth and associated costs as we expand our research and development capabilities and establish and expand our commercial infrastructure and operations;</w:t>
      </w:r>
    </w:p>
    <w:p>
      <w:pPr>
        <w:spacing w:after="0" w:line="146" w:lineRule="exact"/>
        <w:rPr>
          <w:rFonts w:ascii="Times New Roman" w:cs="Times New Roman" w:eastAsia="Times New Roman" w:hAnsi="Times New Roman"/>
          <w:sz w:val="17"/>
          <w:szCs w:val="17"/>
          <w:color w:val="auto"/>
        </w:rPr>
      </w:pPr>
    </w:p>
    <w:p>
      <w:pPr>
        <w:ind w:left="660" w:right="20" w:hanging="315"/>
        <w:spacing w:after="0" w:line="295" w:lineRule="auto"/>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future commercialization activities, including product manufacturing, marketing, sales and distributions, for any of our product candidates for which we receive marketing approval;</w:t>
      </w:r>
    </w:p>
    <w:p>
      <w:pPr>
        <w:spacing w:after="0" w:line="146"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royalty payments to Pfizer under the Pfizer Agreement and Lilly under the Lilly Licenses;</w:t>
      </w:r>
    </w:p>
    <w:p>
      <w:pPr>
        <w:spacing w:after="0" w:line="222" w:lineRule="exact"/>
        <w:rPr>
          <w:rFonts w:ascii="Times New Roman" w:cs="Times New Roman" w:eastAsia="Times New Roman" w:hAnsi="Times New Roman"/>
          <w:sz w:val="17"/>
          <w:szCs w:val="17"/>
          <w:color w:val="auto"/>
        </w:rPr>
      </w:pPr>
    </w:p>
    <w:p>
      <w:pPr>
        <w:ind w:left="660" w:right="20" w:hanging="315"/>
        <w:spacing w:after="0" w:line="295" w:lineRule="auto"/>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preparing, filing and prosecuting patent applications, maintaining and enforcing our intellectual property rights and defending any intellectual property-related claims;</w:t>
      </w:r>
    </w:p>
    <w:p>
      <w:pPr>
        <w:spacing w:after="0" w:line="146"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revenue, if any, received from sales of our product candidates for which we receive marketing approval; and</w:t>
      </w:r>
    </w:p>
    <w:p>
      <w:pPr>
        <w:spacing w:after="0" w:line="222"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operating as a public company.</w:t>
      </w:r>
    </w:p>
    <w:p>
      <w:pPr>
        <w:spacing w:after="0" w:line="222" w:lineRule="exact"/>
        <w:rPr>
          <w:sz w:val="20"/>
          <w:szCs w:val="20"/>
          <w:color w:val="auto"/>
        </w:rPr>
      </w:pPr>
    </w:p>
    <w:p>
      <w:pPr>
        <w:jc w:val="both"/>
        <w:ind w:firstLine="313"/>
        <w:spacing w:after="0" w:line="259" w:lineRule="auto"/>
        <w:rPr>
          <w:sz w:val="20"/>
          <w:szCs w:val="20"/>
          <w:color w:val="auto"/>
        </w:rPr>
      </w:pPr>
      <w:r>
        <w:rPr>
          <w:rFonts w:ascii="Times New Roman" w:cs="Times New Roman" w:eastAsia="Times New Roman" w:hAnsi="Times New Roman"/>
          <w:sz w:val="17"/>
          <w:szCs w:val="17"/>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our product candidates that we do not expect to be commercially available in the near term, if at all and are subject to successful clinical development and regulatory approval. Accordingly, we may need to continue to rely on additional financing to achieve our business objectives. Adequate additional financing may not be available to us on acceptable terms, or at all. To the extent that we raise additional capital through securities or debt financing, the terms of these securities or this debt may restrict our ability to operate. Any financing, if available, may involve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capital when needed or on acceptable terms, we could be forced to delay, reduce or eliminate our research and development programs or future commercialization efforts.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cash (used in) provided by operating, investing and financing activities (in thousands):</w:t>
      </w:r>
    </w:p>
    <w:p>
      <w:pPr>
        <w:spacing w:after="0" w:line="229"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jc w:val="center"/>
        <w:ind w:left="7280"/>
        <w:spacing w:after="0" w:line="224" w:lineRule="auto"/>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20" w:type="dxa"/>
        <w:tblCellMar>
          <w:top w:w="0" w:type="dxa"/>
          <w:left w:w="0" w:type="dxa"/>
          <w:bottom w:w="0" w:type="dxa"/>
          <w:right w:w="0" w:type="dxa"/>
        </w:tblCellMar>
      </w:tblPr>
      <w:tr>
        <w:trPr>
          <w:trHeight w:val="137"/>
        </w:trPr>
        <w:tc>
          <w:tcPr>
            <w:tcW w:w="732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356"/>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376"/>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(27,093)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(11,599)</w:t>
            </w: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(5,017)</w:t>
            </w: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105,253</w:t>
            </w:r>
          </w:p>
        </w:tc>
      </w:tr>
      <w:tr>
        <w:trPr>
          <w:trHeight w:val="202"/>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(22,008)</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88,637</w:t>
            </w: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operating activities</w:t>
      </w:r>
    </w:p>
    <w:p>
      <w:pPr>
        <w:spacing w:after="0" w:line="224"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Net cash used in operating activities increased by $15.5 million to $27.1 million for the six months ended June 30, 2025 compared to the six months ended June 30, 2024. This was primarily due to an increase in our cash net loss of $14.6 million, which is comprised of a $15.4 million increase in net loss, as adjusted for the increase in non-cash charges of $0.8 million, for the six months ended June 30, 2025. The increase of $0.8 in non-cash charges was due to an increase of $2.0 million for share-based payment expense for the six months ended June 30, 2025, partially offset by a decrease in the change in fair value on the private placement warrants of $1.4 million for the six months ended June 30, 2024. Working capital changes resulted in decreased cash used in operating activities of $0.9 million, resulting from higher prepaid expenses and other current assets and an increase in cash used in paying accounts payable and accrued expenses for the six months ended June 30, 2025.</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investing activities</w:t>
      </w:r>
    </w:p>
    <w:p>
      <w:pPr>
        <w:spacing w:after="0" w:line="224" w:lineRule="exact"/>
        <w:rPr>
          <w:sz w:val="20"/>
          <w:szCs w:val="20"/>
          <w:color w:val="auto"/>
        </w:rPr>
      </w:pPr>
    </w:p>
    <w:p>
      <w:pPr>
        <w:jc w:val="both"/>
        <w:ind w:firstLine="313"/>
        <w:spacing w:after="0" w:line="295" w:lineRule="auto"/>
        <w:rPr>
          <w:sz w:val="20"/>
          <w:szCs w:val="20"/>
          <w:color w:val="auto"/>
        </w:rPr>
      </w:pPr>
      <w:r>
        <w:rPr>
          <w:rFonts w:ascii="Times New Roman" w:cs="Times New Roman" w:eastAsia="Times New Roman" w:hAnsi="Times New Roman"/>
          <w:sz w:val="17"/>
          <w:szCs w:val="17"/>
          <w:color w:val="auto"/>
        </w:rPr>
        <w:t>Cash used in investing activities for the six months ended June 30, 2025 was de minimis. Cash used in investing activities for the six months ended June 30, 2024 was $5.0 million which primarily related to the cash consideration paid to acquire the 2023 Lilly License.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financing activities</w:t>
      </w:r>
    </w:p>
    <w:p>
      <w:pPr>
        <w:spacing w:after="0" w:line="224" w:lineRule="exact"/>
        <w:rPr>
          <w:sz w:val="20"/>
          <w:szCs w:val="20"/>
          <w:color w:val="auto"/>
        </w:rPr>
      </w:pPr>
    </w:p>
    <w:p>
      <w:pPr>
        <w:jc w:val="both"/>
        <w:ind w:firstLine="313"/>
        <w:spacing w:after="0" w:line="295" w:lineRule="auto"/>
        <w:rPr>
          <w:sz w:val="20"/>
          <w:szCs w:val="20"/>
          <w:color w:val="auto"/>
        </w:rPr>
      </w:pPr>
      <w:r>
        <w:rPr>
          <w:rFonts w:ascii="Times New Roman" w:cs="Times New Roman" w:eastAsia="Times New Roman" w:hAnsi="Times New Roman"/>
          <w:sz w:val="17"/>
          <w:szCs w:val="17"/>
          <w:color w:val="auto"/>
        </w:rPr>
        <w:t>Cash provided by financing activities for the six months ended June 30, 2025 was $5.1 million, which primarily related to net proceeds of $5.1 million, after placement agent commissions, for the sale of Class A Ordinary Shares under our ATM.</w:t>
      </w:r>
    </w:p>
    <w:p>
      <w:pPr>
        <w:spacing w:after="0" w:line="146" w:lineRule="exact"/>
        <w:rPr>
          <w:sz w:val="20"/>
          <w:szCs w:val="20"/>
          <w:color w:val="auto"/>
        </w:rPr>
      </w:pPr>
    </w:p>
    <w:p>
      <w:pPr>
        <w:jc w:val="both"/>
        <w:ind w:firstLine="313"/>
        <w:spacing w:after="0" w:line="269" w:lineRule="auto"/>
        <w:rPr>
          <w:sz w:val="20"/>
          <w:szCs w:val="20"/>
          <w:color w:val="auto"/>
        </w:rPr>
      </w:pPr>
      <w:r>
        <w:rPr>
          <w:rFonts w:ascii="Times New Roman" w:cs="Times New Roman" w:eastAsia="Times New Roman" w:hAnsi="Times New Roman"/>
          <w:sz w:val="17"/>
          <w:szCs w:val="17"/>
          <w:color w:val="auto"/>
        </w:rPr>
        <w:t>Cash provided by financing activities for the six months ended June 30, 2024 was $105.3 million, which consisted of $62.5 million of gross proceeds from the issuance of Class A Ordinary Shares in connection with the April 2024 Private Placement and $50.0 million of gross proceeds from the issuance of Pre-Funded Warrants in connection with the April 2024 Private Placement, partially offset by $7.2 million of transaction costs incurred in connection with such financing.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Contractual Obligations and Other Commitments</w:t>
      </w:r>
    </w:p>
    <w:p>
      <w:pPr>
        <w:spacing w:after="0" w:line="226" w:lineRule="exact"/>
        <w:rPr>
          <w:sz w:val="20"/>
          <w:szCs w:val="20"/>
          <w:color w:val="auto"/>
        </w:rPr>
      </w:pPr>
    </w:p>
    <w:p>
      <w:pPr>
        <w:jc w:val="both"/>
        <w:ind w:firstLine="313"/>
        <w:spacing w:after="0" w:line="269" w:lineRule="auto"/>
        <w:rPr>
          <w:sz w:val="20"/>
          <w:szCs w:val="20"/>
          <w:color w:val="auto"/>
        </w:rPr>
      </w:pPr>
      <w:r>
        <w:rPr>
          <w:rFonts w:ascii="Times New Roman" w:cs="Times New Roman" w:eastAsia="Times New Roman" w:hAnsi="Times New Roman"/>
          <w:sz w:val="17"/>
          <w:szCs w:val="17"/>
          <w:color w:val="auto"/>
        </w:rPr>
        <w:t>We have or will enter into agreements in the normal course of business with contract research organizations, contract manufacturing organizations and other vendors for research and development services for operating purposes, which are generally cancelable upon written notice. Some third party CMOs have intellectual property, such as patents and/or know-how with an annual fee and royalty bearing license to its customers that forms part of the manufacturing agreement.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Lonza License</w:t>
      </w:r>
    </w:p>
    <w:p>
      <w:pPr>
        <w:spacing w:after="0" w:line="224"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In July 2022, we entered into a license agreement (the “Lonza License”) with Lonza Sales AG (“Lonza”) for a worldwide non-exclusive license for Lonza’s gene expression system in exchange for varying considerations depending on a number of factors such as whether we enter further into manufacturing agreements with Lonza or with a third party, and whether we enter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We may terminate the Lonza License at any time upon 60 days’ notice, with or without cause. Lonza may terminate the Lonza License for cause upon a breach by us or for other commercially standard reasons.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firstLine="313"/>
        <w:spacing w:after="0" w:line="269" w:lineRule="auto"/>
        <w:rPr>
          <w:sz w:val="20"/>
          <w:szCs w:val="20"/>
          <w:color w:val="auto"/>
        </w:rPr>
      </w:pPr>
      <w:r>
        <w:rPr>
          <w:rFonts w:ascii="Times New Roman" w:cs="Times New Roman" w:eastAsia="Times New Roman" w:hAnsi="Times New Roman"/>
          <w:sz w:val="17"/>
          <w:szCs w:val="17"/>
          <w:color w:val="auto"/>
        </w:rPr>
        <w:t>Pursuant to the terms of the Lonza License, we have a license fee of $0.4 million due to Lonza annually in the fourth quarter as a result of manufacturing drug substance with a third party other than Lonza since 2023. For the year ended December 31, 2024, we recorded $0.4 million for the Lonza License, which is included in accounts payable and accrued expenses in the condensed consolidated balance sheet as of June 30, 2025 and December 31,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WuXi Biologics License</w:t>
      </w:r>
    </w:p>
    <w:p>
      <w:pPr>
        <w:spacing w:after="0" w:line="224" w:lineRule="exact"/>
        <w:rPr>
          <w:sz w:val="20"/>
          <w:szCs w:val="20"/>
          <w:color w:val="auto"/>
        </w:rPr>
      </w:pPr>
    </w:p>
    <w:p>
      <w:pPr>
        <w:jc w:val="both"/>
        <w:ind w:firstLine="313"/>
        <w:spacing w:after="0" w:line="266" w:lineRule="auto"/>
        <w:rPr>
          <w:sz w:val="20"/>
          <w:szCs w:val="20"/>
          <w:color w:val="auto"/>
        </w:rPr>
      </w:pPr>
      <w:r>
        <w:rPr>
          <w:rFonts w:ascii="Times New Roman" w:cs="Times New Roman" w:eastAsia="Times New Roman" w:hAnsi="Times New Roman"/>
          <w:sz w:val="17"/>
          <w:szCs w:val="17"/>
          <w:color w:val="auto"/>
        </w:rPr>
        <w:t>In July 2023, the Company entered into a biologics master services agreement (the “WuXi Biologics MSA”) with WuXi Biologics. Pursuant to the WuXi Biologics MSA, the parties enter into work orders setting forth the services and fees associated with drug substance and drug product activities and manufacturing for torudokimab, which fees are recognized as research and development expenses as incurred. Pursuant to the WuXi Biologics MSA, the Company entered into a cell line license agreement (the “Cell Line License Agreement”), which is further described below.</w:t>
      </w:r>
    </w:p>
    <w:p>
      <w:pPr>
        <w:spacing w:after="0" w:line="170" w:lineRule="exact"/>
        <w:rPr>
          <w:sz w:val="20"/>
          <w:szCs w:val="20"/>
          <w:color w:val="auto"/>
        </w:rPr>
      </w:pPr>
    </w:p>
    <w:p>
      <w:pPr>
        <w:jc w:val="both"/>
        <w:ind w:firstLine="313"/>
        <w:spacing w:after="0" w:line="260" w:lineRule="auto"/>
        <w:rPr>
          <w:sz w:val="20"/>
          <w:szCs w:val="20"/>
          <w:color w:val="auto"/>
        </w:rPr>
      </w:pPr>
      <w:r>
        <w:rPr>
          <w:rFonts w:ascii="Times New Roman" w:cs="Times New Roman" w:eastAsia="Times New Roman" w:hAnsi="Times New Roman"/>
          <w:sz w:val="17"/>
          <w:szCs w:val="17"/>
          <w:color w:val="auto"/>
        </w:rPr>
        <w:t>The Cell Line License Agreement was for certain of WuXi Biologics’ know-how, cell line, and biological materials (the “WuXi Biologics Licensed Technology”) to manufacture, have manufactured, use, sell and import certain products produced through the use of the cell line licensed by WuXi Biologics under the Cell Line License Agreement (the “WuXi Biologics Licensed Products”). If we manufacture all of our commercial supplies of bulk drug product for WuXi Biologics Licensed Products with a manufacturer other than WuXi Biologics or its affiliates, we are required to make royalty payments to WuXi Biologics in an amount equal to a fraction of a single digit percentage of global net sales of WuXi Biologics Licensed Products manufactured by a third-party manufacturer (the “Royalty”). If we manufacture part of our commercial supplies of the WuXi Biologics Licensed Products with WuXi Biologics or its affiliates, then the Royalty will be reduced accordingly on a pro rata basis. The Cell Line License Agreement will continue indefinitely unless terminated (i) by us upon three months’ prior written notice and its payment of all undisputed amounts due to WuXi Biologics through the effective date of termination, (ii) by WuXi Biologics for a material breach by us that remains uncured for 30 days after written notice, or (iii) by WuXi Biologics if we fail to make a payment and such failure continues for 30 days after receiving notice of such failure. As of June 30, 2025, there are no payments currently due under the Cell Line License Agreement.</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24"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color w:val="auto"/>
        </w:rPr>
        <w:t>Management’s discussion and analysis of our financial condition and results of operations is based on our unaudited interim condensed consolidated financial statements, which have been prepared in accordance with U.S. GAAP, and on a basis consistent with those accounting principles followed by us and disclosed in Note 2 to our most recent annual audited consolidated financial statements in the 2024 Annual Report. The preparation of these unaudited interim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75" w:lineRule="exact"/>
        <w:rPr>
          <w:sz w:val="20"/>
          <w:szCs w:val="20"/>
          <w:color w:val="auto"/>
        </w:rPr>
      </w:pPr>
    </w:p>
    <w:p>
      <w:pPr>
        <w:jc w:val="both"/>
        <w:ind w:firstLine="313"/>
        <w:spacing w:after="0" w:line="269" w:lineRule="auto"/>
        <w:rPr>
          <w:sz w:val="20"/>
          <w:szCs w:val="20"/>
          <w:color w:val="auto"/>
        </w:rPr>
      </w:pPr>
      <w:r>
        <w:rPr>
          <w:rFonts w:ascii="Times New Roman" w:cs="Times New Roman" w:eastAsia="Times New Roman" w:hAnsi="Times New Roman"/>
          <w:sz w:val="17"/>
          <w:szCs w:val="17"/>
          <w:color w:val="auto"/>
        </w:rPr>
        <w:t>There have been no material changes to our critical accounting policies and estimates since December 31, 2024. For a description of our critical accounting policies that affect our significant judgements and estimates used in preparation of our unaudited condensed consolidated financial statements, refer to Item 7 in “Management’s Discussion and Analysis of Financial Condition and Results of Operations,” contained in the 2024 Annual Report.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24" w:lineRule="exact"/>
        <w:rPr>
          <w:sz w:val="20"/>
          <w:szCs w:val="20"/>
          <w:color w:val="auto"/>
        </w:rPr>
      </w:pPr>
    </w:p>
    <w:p>
      <w:pPr>
        <w:jc w:val="both"/>
        <w:ind w:firstLine="313"/>
        <w:spacing w:after="0" w:line="295" w:lineRule="auto"/>
        <w:rPr>
          <w:sz w:val="20"/>
          <w:szCs w:val="20"/>
          <w:color w:val="auto"/>
        </w:rPr>
      </w:pPr>
      <w:r>
        <w:rPr>
          <w:rFonts w:ascii="Times New Roman" w:cs="Times New Roman" w:eastAsia="Times New Roman" w:hAnsi="Times New Roman"/>
          <w:sz w:val="17"/>
          <w:szCs w:val="17"/>
          <w:color w:val="auto"/>
        </w:rPr>
        <w:t>See Note 2 to our unaudited condensed consolidated financial statements located in “Part I – Financial Information, Item 1. Financial Statements” in this Quarterly Report for a description of recent accounting pronouncements applicable to our financial statements.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Emerging Growth Company and Smaller Reporting Company Status</w:t>
      </w:r>
    </w:p>
    <w:p>
      <w:pPr>
        <w:spacing w:after="0" w:line="224" w:lineRule="exact"/>
        <w:rPr>
          <w:sz w:val="20"/>
          <w:szCs w:val="20"/>
          <w:color w:val="auto"/>
        </w:rPr>
      </w:pPr>
    </w:p>
    <w:p>
      <w:pPr>
        <w:jc w:val="both"/>
        <w:ind w:firstLine="313"/>
        <w:spacing w:after="0" w:line="264" w:lineRule="auto"/>
        <w:rPr>
          <w:sz w:val="20"/>
          <w:szCs w:val="20"/>
          <w:color w:val="auto"/>
        </w:rPr>
      </w:pPr>
      <w:r>
        <w:rPr>
          <w:rFonts w:ascii="Times New Roman" w:cs="Times New Roman" w:eastAsia="Times New Roman" w:hAnsi="Times New Roman"/>
          <w:sz w:val="17"/>
          <w:szCs w:val="17"/>
          <w:color w:val="auto"/>
        </w:rPr>
        <w:t>In April 2012, the JOBS Act was enacted. Section 107 of the JOBS Act provides that an “emerging growth company” can take advantage of the extended transition period provided in Section 7(a)(2)(B) of the Securities Act of 1933, as amended (“Securities Act”) for complying with new or revised accounting standards. Thus, an emerging growth company can delay the adoption of certain accounting standards until those standards would otherwise apply to private companies. Upon closing of the Business Combination, we remained an emerging growth company and may elect to extend the transition period for complying with new or revised accounting standards, which delays the adoption of these accounting standards until they would apply to private companies.</w:t>
      </w:r>
    </w:p>
    <w:p>
      <w:pPr>
        <w:spacing w:after="0" w:line="172" w:lineRule="exact"/>
        <w:rPr>
          <w:sz w:val="20"/>
          <w:szCs w:val="20"/>
          <w:color w:val="auto"/>
        </w:rPr>
      </w:pPr>
    </w:p>
    <w:p>
      <w:pPr>
        <w:jc w:val="both"/>
        <w:ind w:firstLine="313"/>
        <w:spacing w:after="0" w:line="295" w:lineRule="auto"/>
        <w:rPr>
          <w:sz w:val="20"/>
          <w:szCs w:val="20"/>
          <w:color w:val="auto"/>
        </w:rPr>
      </w:pPr>
      <w:r>
        <w:rPr>
          <w:rFonts w:ascii="Times New Roman" w:cs="Times New Roman" w:eastAsia="Times New Roman" w:hAnsi="Times New Roman"/>
          <w:sz w:val="17"/>
          <w:szCs w:val="17"/>
          <w:color w:val="auto"/>
        </w:rPr>
        <w:t>In addition, as an emerging growth company, we may take advantage of specified reduced disclosure and other requirements that are otherwise applicable generally to public companies. These provisions include:</w:t>
      </w:r>
    </w:p>
    <w:p>
      <w:pPr>
        <w:spacing w:after="0" w:line="146" w:lineRule="exact"/>
        <w:rPr>
          <w:sz w:val="20"/>
          <w:szCs w:val="20"/>
          <w:color w:val="auto"/>
        </w:rPr>
      </w:pPr>
    </w:p>
    <w:p>
      <w:pPr>
        <w:jc w:val="both"/>
        <w:ind w:left="660" w:right="20" w:hanging="315"/>
        <w:spacing w:after="0" w:line="275" w:lineRule="auto"/>
        <w:tabs>
          <w:tab w:leader="none" w:pos="660" w:val="left"/>
        </w:tabs>
        <w:numPr>
          <w:ilvl w:val="0"/>
          <w:numId w:val="26"/>
        </w:numPr>
        <w:rPr>
          <w:rFonts w:ascii="Times New Roman" w:cs="Times New Roman" w:eastAsia="Times New Roman" w:hAnsi="Times New Roman"/>
          <w:sz w:val="17"/>
          <w:szCs w:val="17"/>
          <w:color w:val="212529"/>
        </w:rPr>
      </w:pPr>
      <w:r>
        <w:rPr>
          <w:rFonts w:ascii="Times New Roman" w:cs="Times New Roman" w:eastAsia="Times New Roman" w:hAnsi="Times New Roman"/>
          <w:sz w:val="17"/>
          <w:szCs w:val="17"/>
          <w:color w:val="212529"/>
        </w:rPr>
        <w:t>being permitted to present only two years of audited financial statements in addition to any required unaudited interim financial statements, with correspondingly reduced disclosure in the section titled “Management’s Discussion and Analysis of Financial Condition and Results of Operations”;</w:t>
      </w:r>
    </w:p>
    <w:p>
      <w:pPr>
        <w:spacing w:after="0" w:line="163" w:lineRule="exact"/>
        <w:rPr>
          <w:rFonts w:ascii="Times New Roman" w:cs="Times New Roman" w:eastAsia="Times New Roman" w:hAnsi="Times New Roman"/>
          <w:sz w:val="17"/>
          <w:szCs w:val="17"/>
          <w:color w:val="212529"/>
        </w:rPr>
      </w:pPr>
    </w:p>
    <w:p>
      <w:pPr>
        <w:ind w:left="660" w:hanging="315"/>
        <w:spacing w:after="0" w:line="267" w:lineRule="auto"/>
        <w:tabs>
          <w:tab w:leader="none" w:pos="660" w:val="left"/>
        </w:tabs>
        <w:numPr>
          <w:ilvl w:val="0"/>
          <w:numId w:val="26"/>
        </w:numPr>
        <w:rPr>
          <w:rFonts w:ascii="Times New Roman" w:cs="Times New Roman" w:eastAsia="Times New Roman" w:hAnsi="Times New Roman"/>
          <w:sz w:val="17"/>
          <w:szCs w:val="17"/>
          <w:color w:val="212529"/>
        </w:rPr>
      </w:pPr>
      <w:r>
        <w:rPr>
          <w:rFonts w:ascii="Times New Roman" w:cs="Times New Roman" w:eastAsia="Times New Roman" w:hAnsi="Times New Roman"/>
          <w:sz w:val="17"/>
          <w:szCs w:val="17"/>
          <w:color w:val="212529"/>
        </w:rPr>
        <w:t>an exception from compliance with the auditor attestation requirements of Section 404 of the Sarbanes-Oxley Act of 2002, as amended;</w:t>
      </w:r>
    </w:p>
    <w:p>
      <w:pPr>
        <w:spacing w:after="0" w:line="200" w:lineRule="exact"/>
        <w:rPr>
          <w:rFonts w:ascii="Times New Roman" w:cs="Times New Roman" w:eastAsia="Times New Roman" w:hAnsi="Times New Roman"/>
          <w:sz w:val="17"/>
          <w:szCs w:val="17"/>
          <w:color w:val="212529"/>
        </w:rPr>
      </w:pPr>
    </w:p>
    <w:p>
      <w:pPr>
        <w:spacing w:after="0" w:line="209" w:lineRule="exact"/>
        <w:rPr>
          <w:rFonts w:ascii="Times New Roman" w:cs="Times New Roman" w:eastAsia="Times New Roman" w:hAnsi="Times New Roman"/>
          <w:sz w:val="17"/>
          <w:szCs w:val="17"/>
          <w:color w:val="212529"/>
        </w:rPr>
      </w:pPr>
    </w:p>
    <w:p>
      <w:pPr>
        <w:ind w:left="660" w:right="20" w:hanging="315"/>
        <w:spacing w:after="0" w:line="295" w:lineRule="auto"/>
        <w:tabs>
          <w:tab w:leader="none" w:pos="660" w:val="left"/>
        </w:tabs>
        <w:numPr>
          <w:ilvl w:val="0"/>
          <w:numId w:val="26"/>
        </w:numPr>
        <w:rPr>
          <w:rFonts w:ascii="Times New Roman" w:cs="Times New Roman" w:eastAsia="Times New Roman" w:hAnsi="Times New Roman"/>
          <w:sz w:val="17"/>
          <w:szCs w:val="17"/>
          <w:color w:val="212529"/>
        </w:rPr>
      </w:pPr>
      <w:r>
        <w:rPr>
          <w:rFonts w:ascii="Times New Roman" w:cs="Times New Roman" w:eastAsia="Times New Roman" w:hAnsi="Times New Roman"/>
          <w:sz w:val="17"/>
          <w:szCs w:val="17"/>
          <w:color w:val="212529"/>
        </w:rPr>
        <w:t>reduced disclosure about our executive compensation arrangements in our periodic reports, proxy statements and registrations statements; and</w:t>
      </w:r>
    </w:p>
    <w:p>
      <w:pPr>
        <w:spacing w:after="0" w:line="146" w:lineRule="exact"/>
        <w:rPr>
          <w:rFonts w:ascii="Times New Roman" w:cs="Times New Roman" w:eastAsia="Times New Roman" w:hAnsi="Times New Roman"/>
          <w:sz w:val="17"/>
          <w:szCs w:val="17"/>
          <w:color w:val="212529"/>
        </w:rPr>
      </w:pPr>
    </w:p>
    <w:p>
      <w:pPr>
        <w:jc w:val="both"/>
        <w:ind w:left="660" w:right="20" w:hanging="315"/>
        <w:spacing w:after="0" w:line="275" w:lineRule="auto"/>
        <w:tabs>
          <w:tab w:leader="none" w:pos="660" w:val="left"/>
        </w:tabs>
        <w:numPr>
          <w:ilvl w:val="0"/>
          <w:numId w:val="26"/>
        </w:numPr>
        <w:rPr>
          <w:rFonts w:ascii="Times New Roman" w:cs="Times New Roman" w:eastAsia="Times New Roman" w:hAnsi="Times New Roman"/>
          <w:sz w:val="17"/>
          <w:szCs w:val="17"/>
          <w:color w:val="212529"/>
        </w:rPr>
      </w:pPr>
      <w:r>
        <w:rPr>
          <w:rFonts w:ascii="Times New Roman" w:cs="Times New Roman" w:eastAsia="Times New Roman" w:hAnsi="Times New Roman"/>
          <w:sz w:val="17"/>
          <w:szCs w:val="17"/>
          <w:color w:val="212529"/>
        </w:rPr>
        <w:t>exemptions from the requirements of holding non-binding advisory votes on executive compensation or golden parachute arrangements; and an exemption from compliance with the requirements of the Public Company Accounting Oversight Board regarding the communication of critical audit matters in the auditor’s report on financial statements.</w:t>
      </w:r>
    </w:p>
    <w:p>
      <w:pPr>
        <w:spacing w:after="0" w:line="163"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We would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Class A Ordinary Shares that is held by non-affiliates exceeds $700.0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Quarterly Report. Accordingly, the information contained herein may be different than you might obtain from other public companies in which you hold equity interests.</w:t>
      </w:r>
    </w:p>
    <w:p>
      <w:pPr>
        <w:spacing w:after="0" w:line="177" w:lineRule="exact"/>
        <w:rPr>
          <w:sz w:val="20"/>
          <w:szCs w:val="20"/>
          <w:color w:val="auto"/>
        </w:rPr>
      </w:pPr>
    </w:p>
    <w:p>
      <w:pPr>
        <w:jc w:val="both"/>
        <w:ind w:firstLine="313"/>
        <w:spacing w:after="0" w:line="260" w:lineRule="auto"/>
        <w:rPr>
          <w:sz w:val="20"/>
          <w:szCs w:val="20"/>
          <w:color w:val="auto"/>
        </w:rPr>
      </w:pPr>
      <w:r>
        <w:rPr>
          <w:rFonts w:ascii="Times New Roman" w:cs="Times New Roman" w:eastAsia="Times New Roman" w:hAnsi="Times New Roman"/>
          <w:sz w:val="17"/>
          <w:szCs w:val="17"/>
          <w:color w:val="auto"/>
        </w:rPr>
        <w:t>We are also a “smaller reporting company” as defined under the Securities Act and Securities Exchange Act of 1934, as amended (the “Exchange Act”). We may continue to be a smaller reporting company so long as either (i) the market value of Class A Ordinary Shares held by non-affiliates is less than $250 million or (ii) our annual revenue was less than $100 million during the most recently completed fiscal year and the market value of Class A Ordinary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under the requirements of (ii) above, we would not be required to obtain an attestation report on internal control over financial reporting issued by our independent registered public accounting firm.</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24" w:lineRule="exact"/>
        <w:rPr>
          <w:sz w:val="20"/>
          <w:szCs w:val="20"/>
          <w:color w:val="auto"/>
        </w:rPr>
      </w:pPr>
    </w:p>
    <w:p>
      <w:pPr>
        <w:jc w:val="both"/>
        <w:ind w:firstLine="313"/>
        <w:spacing w:after="0" w:line="295" w:lineRule="auto"/>
        <w:rPr>
          <w:sz w:val="20"/>
          <w:szCs w:val="20"/>
          <w:color w:val="auto"/>
        </w:rPr>
      </w:pPr>
      <w:r>
        <w:rPr>
          <w:rFonts w:ascii="Times New Roman" w:cs="Times New Roman" w:eastAsia="Times New Roman" w:hAnsi="Times New Roman"/>
          <w:sz w:val="17"/>
          <w:szCs w:val="17"/>
          <w:color w:val="auto"/>
        </w:rPr>
        <w:t>As a “smaller reporting company,” as defined by Item 10 of Regulation S-K, we are not required to provide the information otherwise required by this Item 3.</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226"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in our reports filed or submitted under the Exchange Act, is recorded, processed, summarized and reported within the time period specified in the SEC’s rules and forms, and that such information is accumulated and communicated to management including our Chief Executive Officer, Chief Financial Officer, as appropriate, to allow timely decisions regarding required disclosure. As of June 30, 2025, our Chief Executive Officer and Chief Financial Officer carried out an evaluation with the participation of management of the effectiveness of our disclosure controls and procedures, as defined in Rules 13a-15(e) and 15d-15(e) under the Exchange Act. Based upon that evaluation, our Chief Executive Officer and Chief Financial Officer concluded that our disclosure controls and procedures were effective at a reasonable assurance level as of June 30, 2025.</w:t>
      </w:r>
    </w:p>
    <w:p>
      <w:pPr>
        <w:spacing w:after="0" w:line="3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226"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identified in connection with the evaluation required by Rule 13a-15(d) and 15d-15(d) of the Exchange Act that occurred during the quarter ended June 30, 2025, that has materially affected, or is reasonably likely to materially affect, our internal control over financial reporting.</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Inherent Limitations on Effectiveness of Internal Controls</w:t>
      </w:r>
    </w:p>
    <w:p>
      <w:pPr>
        <w:spacing w:after="0" w:line="226"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24" w:lineRule="exact"/>
        <w:rPr>
          <w:sz w:val="20"/>
          <w:szCs w:val="20"/>
          <w:color w:val="auto"/>
        </w:rPr>
      </w:pPr>
    </w:p>
    <w:p>
      <w:pPr>
        <w:jc w:val="both"/>
        <w:ind w:firstLine="313"/>
        <w:spacing w:after="0" w:line="269" w:lineRule="auto"/>
        <w:rPr>
          <w:sz w:val="20"/>
          <w:szCs w:val="20"/>
          <w:color w:val="auto"/>
        </w:rPr>
      </w:pPr>
      <w:r>
        <w:rPr>
          <w:rFonts w:ascii="Times New Roman" w:cs="Times New Roman" w:eastAsia="Times New Roman" w:hAnsi="Times New Roman"/>
          <w:sz w:val="17"/>
          <w:szCs w:val="17"/>
          <w:color w:val="auto"/>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24" w:lineRule="exact"/>
        <w:rPr>
          <w:sz w:val="20"/>
          <w:szCs w:val="20"/>
          <w:color w:val="auto"/>
        </w:rPr>
      </w:pPr>
    </w:p>
    <w:p>
      <w:pPr>
        <w:jc w:val="both"/>
        <w:ind w:firstLine="313"/>
        <w:spacing w:after="0" w:line="269" w:lineRule="auto"/>
        <w:rPr>
          <w:sz w:val="20"/>
          <w:szCs w:val="20"/>
          <w:color w:val="auto"/>
        </w:rPr>
      </w:pPr>
      <w:r>
        <w:rPr>
          <w:rFonts w:ascii="Times New Roman" w:cs="Times New Roman" w:eastAsia="Times New Roman" w:hAnsi="Times New Roman"/>
          <w:sz w:val="17"/>
          <w:szCs w:val="17"/>
          <w:color w:val="auto"/>
        </w:rPr>
        <w:t>Below we are providing, in supplemental form, updates to our risk factors from those previously disclosed in Part I, Item 1A of our 2024 Annual Report. Our risk factors disclosed in Part I, Item 1A of our 2024 Annual Report provide additional discussion regarding these supplemental risks and we encourage you to read and carefully consider all of the risk factors disclosed in Part I, Item 1A of our 2024 Annual Report, together with the below, for a more complete understanding of the risks and uncertainties material to our business.</w:t>
      </w:r>
    </w:p>
    <w:p>
      <w:pPr>
        <w:spacing w:after="0" w:line="1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Disruptions at the FDA, EMA, the European Commission applicable foreign regulatory authorities, the SEC, and other government agencies and regulatory authorities caused by funding shortages, furloughs or other concerns could hinder their ability to hire and retain key leadership and other personnel, or otherwise prevent new or modified products from being developed, approved or commercialized in a timely manner or at all, or otherwise prevent those authorities from performing normal business functions on which the operation of our business may rely, which could significantly harm our business, financial condition, results of operations and prospects.</w:t>
      </w:r>
    </w:p>
    <w:p>
      <w:pPr>
        <w:spacing w:after="0" w:line="170"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The ability of the FDA, EMA, the European Commission or any applicable foreign regulatory authority to review and approve new products can be affected by a variety of factors, including, as applicable government budget and funding levels, ability to hire and retain key personnel and accept the payment of user fees, and statutory, regulatory, and policy changes, and other events that may otherwise affect the FDA, EMA, the European Commission, or any applicable foreign regulatory authority’s ability to perform routine functions. Average review times at the authorities have fluctuated in recent years as a result and could be delayed. Furloughs and reductions in force in early 2025 may adversely impact federal agency responsiveness. In addition, government funding of the SEC and other government authorities on which our operations may rely, including those that fund research and development activities is subject to the political process, which is inherently fluid and unpredictable.</w:t>
      </w:r>
    </w:p>
    <w:p>
      <w:pPr>
        <w:spacing w:after="0" w:line="386" w:lineRule="exact"/>
        <w:rPr>
          <w:sz w:val="20"/>
          <w:szCs w:val="20"/>
          <w:color w:val="auto"/>
        </w:rPr>
      </w:pPr>
    </w:p>
    <w:p>
      <w:pPr>
        <w:jc w:val="both"/>
        <w:ind w:firstLine="313"/>
        <w:spacing w:after="0" w:line="269" w:lineRule="auto"/>
        <w:rPr>
          <w:sz w:val="20"/>
          <w:szCs w:val="20"/>
          <w:color w:val="auto"/>
        </w:rPr>
      </w:pPr>
      <w:r>
        <w:rPr>
          <w:rFonts w:ascii="Times New Roman" w:cs="Times New Roman" w:eastAsia="Times New Roman" w:hAnsi="Times New Roman"/>
          <w:sz w:val="17"/>
          <w:szCs w:val="17"/>
          <w:color w:val="auto"/>
        </w:rPr>
        <w:t>Disruptions at the FDA and other authorities may also slow the time necessary for new drugs to be reviewed and/or approved by necessary government authorities, which would adversely affect our business. If the FDA or other regulatory authorities are unable to timely conduct their regular inspections, reviews, or other regulatory activities, it could significantly impact the ability of the FDA to timely review and process our regulatory submissions, which could have a material adverse effect on our business.</w:t>
      </w:r>
    </w:p>
    <w:p>
      <w:pPr>
        <w:spacing w:after="0" w:line="16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International trade policies, including tariffs, sanctions and trade barriers may adversely affect our business, financial condition,results of operations and prospects.</w:t>
      </w:r>
    </w:p>
    <w:p>
      <w:pPr>
        <w:spacing w:after="0" w:line="142" w:lineRule="exact"/>
        <w:rPr>
          <w:sz w:val="20"/>
          <w:szCs w:val="20"/>
          <w:color w:val="auto"/>
        </w:rPr>
      </w:pPr>
    </w:p>
    <w:p>
      <w:pPr>
        <w:jc w:val="both"/>
        <w:ind w:firstLine="313"/>
        <w:spacing w:after="0" w:line="260" w:lineRule="auto"/>
        <w:rPr>
          <w:sz w:val="20"/>
          <w:szCs w:val="20"/>
          <w:color w:val="auto"/>
        </w:rPr>
      </w:pPr>
      <w:r>
        <w:rPr>
          <w:rFonts w:ascii="Times New Roman" w:cs="Times New Roman" w:eastAsia="Times New Roman" w:hAnsi="Times New Roman"/>
          <w:sz w:val="17"/>
          <w:szCs w:val="17"/>
          <w:color w:val="auto"/>
        </w:rPr>
        <w:t>We operate in a global economy, which includes utilizing third-party suppliers in several countries outside the United States.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United States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 The Bureau of Industry and Security, U.S. Department of Commerce, has initiated an investigation to determine whether pharmaceutical ingredients, including finished drug product, manufactured outside of the United States pose a national security risk and should be subject to additional tariffs.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several of our manufacturers and suppliers, including drug substances and drug products for tibulizumab, torudokimab, and crebankitug, are located outside of the United States, and our principal suppliers of critical raw materials are located in Italy, the Netherlands, and the United Kingdom. We also rely on specialized laboratory equipment, supplies, materials, and precursor compounds, all or part of which we believe may be ultimately sourced from multiple countries outside the United States, to advance our research and development efforts.</w:t>
      </w:r>
    </w:p>
    <w:p>
      <w:pPr>
        <w:spacing w:after="0" w:line="177"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Additionally, we are party to a cell line license agreement (the “Cell Line License Agreement”) with WuXi Biologics, a manufacturer located in China, and its affiliates (“WuXi Biologics”), which provides us with a non-exclusive, worldwide, sublicensable license to certain of WuXi Biologics’ know-how, cell line and biological materials to manufacture, have manufactured, use, sell and import certain products produced through the use of the cell line licensed by WuXi Biologics under the Cell Line License Agreement. If we have product manufactured at WuXi Biologics in the future, we may face additional manufacturing and supply-chain risks due to the regulatory and political structure of the PRC, or as a result of the international relationship with the PRC, including but not limited to sanctions, tariffs and other restrictions that have been or may be imposed.</w:t>
      </w:r>
    </w:p>
    <w:p>
      <w:pPr>
        <w:spacing w:after="0" w:line="177" w:lineRule="exact"/>
        <w:rPr>
          <w:sz w:val="20"/>
          <w:szCs w:val="20"/>
          <w:color w:val="auto"/>
        </w:rPr>
      </w:pPr>
    </w:p>
    <w:p>
      <w:pPr>
        <w:jc w:val="both"/>
        <w:ind w:firstLine="313"/>
        <w:spacing w:after="0" w:line="260" w:lineRule="auto"/>
        <w:rPr>
          <w:sz w:val="20"/>
          <w:szCs w:val="20"/>
          <w:color w:val="auto"/>
        </w:rPr>
      </w:pPr>
      <w:r>
        <w:rPr>
          <w:rFonts w:ascii="Times New Roman" w:cs="Times New Roman" w:eastAsia="Times New Roman" w:hAnsi="Times New Roman"/>
          <w:sz w:val="17"/>
          <w:szCs w:val="17"/>
          <w:color w:val="auto"/>
        </w:rPr>
        <w:t>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Unlike consumer goods, pharmaceuticals face unique regulatory constraints that make rapid supply chain adjustments particularly difficult and costly.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As we advance toward commercialization in the future, tariffs and trade restrictions could hinder our ability to establish cost-effective production capabilities, negatively impacting our growth prospects. In addition, in the event Most-Favored-Nation pricing for pharmaceutical products is implemented and applicable to any of our product candidates that may receive regulatory approval, our revenue opportunities may be adversely affected.</w:t>
      </w:r>
    </w:p>
    <w:p>
      <w:pPr>
        <w:spacing w:after="0" w:line="389"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color w:val="auto"/>
        </w:rPr>
        <w:t>The complexity of announced or future tariffs may also increase the risk that we or our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spacing w:after="0" w:line="175"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in our 2024 Annual Report, as supplemented by the risk factors described in this Quarterly Report.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Since its enactment, there have been numerous judicial, administrative, executive, and legislative challenges to certain aspects of the ACA. It is unclear how other healthcare reform measures of the current U.S. federal government administration or future administrations or other efforts, if any, to amend or challenge the ACA, will impact our business.</w:t>
      </w:r>
    </w:p>
    <w:p>
      <w:pPr>
        <w:spacing w:after="0" w:line="160" w:lineRule="exact"/>
        <w:rPr>
          <w:sz w:val="20"/>
          <w:szCs w:val="20"/>
          <w:color w:val="auto"/>
        </w:rPr>
      </w:pPr>
    </w:p>
    <w:p>
      <w:pPr>
        <w:jc w:val="both"/>
        <w:ind w:firstLine="313"/>
        <w:spacing w:after="0" w:line="264" w:lineRule="auto"/>
        <w:rPr>
          <w:sz w:val="20"/>
          <w:szCs w:val="20"/>
          <w:color w:val="auto"/>
        </w:rPr>
      </w:pPr>
      <w:r>
        <w:rPr>
          <w:rFonts w:ascii="Times New Roman" w:cs="Times New Roman" w:eastAsia="Times New Roman" w:hAnsi="Times New Roman"/>
          <w:sz w:val="17"/>
          <w:szCs w:val="17"/>
          <w:color w:val="auto"/>
        </w:rPr>
        <w:t>There have been judicial and Congressional challenges and amendments to certain aspects of the ACA. For example, on August 16, 2022, the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by creating a new manufacturer discount program. It is possible that the ACA will be subject to judicial or Congressional challenges in the future. It is unclear how such challenges and healthcare reform measures of the current U.S. federal government administration will impact the ACA.</w:t>
      </w:r>
    </w:p>
    <w:p>
      <w:pPr>
        <w:spacing w:after="0" w:line="172" w:lineRule="exact"/>
        <w:rPr>
          <w:sz w:val="20"/>
          <w:szCs w:val="20"/>
          <w:color w:val="auto"/>
        </w:rPr>
      </w:pPr>
    </w:p>
    <w:p>
      <w:pPr>
        <w:jc w:val="both"/>
        <w:ind w:firstLine="313"/>
        <w:spacing w:after="0" w:line="260" w:lineRule="auto"/>
        <w:rPr>
          <w:sz w:val="20"/>
          <w:szCs w:val="20"/>
          <w:color w:val="auto"/>
        </w:rPr>
      </w:pPr>
      <w:r>
        <w:rPr>
          <w:rFonts w:ascii="Times New Roman" w:cs="Times New Roman" w:eastAsia="Times New Roman" w:hAnsi="Times New Roman"/>
          <w:sz w:val="17"/>
          <w:szCs w:val="17"/>
          <w:color w:val="auto"/>
        </w:rPr>
        <w:t>Other legislative changes have been proposed and adopted since the ACA was enacted. For example, on July 4, 2025, the annual reconciliation bill, the “One Big Beautiful Bill Act,” or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ACA marketplace exchange enrollment and declines to extend the ACA enhanced advanced premium tax credits, set to expire in 2025, which, among other provisions in the law, are anticipated to reduce the number of Americans with health insurance. Other changes include aggregate reductions to Medicare payments to providers of 2% per fiscal year pursuant to the Budget Control Act of 2011, which began in 2013 and, due to subsequent legislative amendments to the statute, including the Infrastructure Investment and Jobs Act, will remain in effect until 2032 unless additional Congressional action is taken. Additionally, on March 11, 2021, the American Rescue Plan Act of 2021 was signed into law, which eliminates the statutory Medicaid drug rebate cap, previously set at 100% of a drug’s average manufacturer price, for single source and innovator multiple source drugs, effective January 1, 2024.</w:t>
      </w:r>
    </w:p>
    <w:p>
      <w:pPr>
        <w:spacing w:after="0" w:line="389"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5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subject to laws and regulations related to privacy, data protection, information security and consumer protection across different markets where we conduct our business. Our actual or perceived failure to comply with such obligations could harm our business.</w:t>
      </w:r>
    </w:p>
    <w:p>
      <w:pPr>
        <w:spacing w:after="0" w:line="142" w:lineRule="exact"/>
        <w:rPr>
          <w:sz w:val="20"/>
          <w:szCs w:val="20"/>
          <w:color w:val="auto"/>
        </w:rPr>
      </w:pPr>
    </w:p>
    <w:p>
      <w:pPr>
        <w:jc w:val="both"/>
        <w:ind w:firstLine="313"/>
        <w:spacing w:after="0" w:line="260" w:lineRule="auto"/>
        <w:rPr>
          <w:sz w:val="20"/>
          <w:szCs w:val="20"/>
          <w:color w:val="auto"/>
        </w:rPr>
      </w:pPr>
      <w:r>
        <w:rPr>
          <w:rFonts w:ascii="Times New Roman" w:cs="Times New Roman" w:eastAsia="Times New Roman" w:hAnsi="Times New Roman"/>
          <w:sz w:val="17"/>
          <w:szCs w:val="17"/>
          <w:color w:val="auto"/>
        </w:rPr>
        <w:t>We are subject to laws and regulations related to, among other things, privacy, data protection, information security and consumer protection across different markets where we conduct our business. Such laws and regulations are constantly evolving and changing and are likely to remain uncertain for the foreseeable future. Our actual or perceived failure to comply with such obligations could have an adverse effect on our business, operating results and financial operations. Complying with these numerous, complex, and often changing regulations is expensive and difficult, and failure to comply with any privacy laws or data security laws or any security incident or breach involving the potential or actual misappropriation, loss or other unauthorized processing, use or disclosure of sensitive or confidential patient, consumer or other personal information, whether by us, one of our collaborators or another third party, could adversely affect our business, financial condition, and results of operations,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relief.</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firstLine="313"/>
        <w:spacing w:after="0" w:line="257" w:lineRule="auto"/>
        <w:rPr>
          <w:sz w:val="20"/>
          <w:szCs w:val="20"/>
          <w:color w:val="auto"/>
        </w:rPr>
      </w:pPr>
      <w:r>
        <w:rPr>
          <w:rFonts w:ascii="Times New Roman" w:cs="Times New Roman" w:eastAsia="Times New Roman" w:hAnsi="Times New Roman"/>
          <w:sz w:val="17"/>
          <w:szCs w:val="17"/>
          <w:color w:val="auto"/>
        </w:rPr>
        <w:t>European data collection is also governed by restrictive regulations governing the use, processing and cross-border transfer of personal information. The collection, use, storage, disclosure, transfer, or other processing of personal data regarding individuals in Europe, including personal health data, is subject to the E.U. General Data Protection Regulation (“GDPR”) and similar requirements in the United Kingdom (“UK GDPR”) (hereinafter the GDPR and UK GDPR are collectively referred to as “GDPR”), which impose strict requirements for processing the personal data of individuals within the EEA, such as Norway, Iceland, Liechtenstein and the United Kingdom. The GDPR is directly applicable in each E.U. member state and is extended to the EEA, while the UK GDPR applies to the United Kingdom of Great Britain and Northern Ireland.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implements more stringent operational requirements than its predecessor legislation.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For example, the GDPR applies extraterritorially, requires us to make more detailed disclosures to data subjects, requires disclosure of the legal basis on which we can process personal data, makes it harder for us to obtain valid consent for collecting and processing personal data (including data from clinical trials), requires the appointment of data protection officers, such as when sensitive personal data, such as health data, is processed on a large scale, provides more robust rights for data subjects, including far reaching information rights and the right to erasure, introduces mandatory data breach notification through the E.U., imposes additional obligations on us when contracting with service providers and requires us to adopt appropriate privacy governance, including policies, procedures, training, and audits. The GDPR provides that E.U. member states and EEA countries may establish their own laws and regulations that go beyond the GDPR in certain areas, such as regarding the mandatory appointment of data protection officers or further limiting the processing of personal data, including genetic, biometric, or health data, which could limit our ability to use and share personal data or could cause our costs to increase. Among other requirements, the GDPR regulates transfers of personal data subject to the GDPR to third countries that have not been found to provide adequate protection to such personal data, including the United States.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In the ordinary course of business, we transfer personal data from Europe and other jurisdictions to the United States or other countries. Europe and other jurisdictions have enacted laws requiring data to be localized or limiting the transfer of personal data to other countries.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w:t>
      </w:r>
    </w:p>
    <w:p>
      <w:pPr>
        <w:spacing w:after="0" w:line="190"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spacing w:after="0" w:line="386" w:lineRule="exact"/>
        <w:rPr>
          <w:sz w:val="20"/>
          <w:szCs w:val="20"/>
          <w:color w:val="auto"/>
        </w:rPr>
      </w:pPr>
    </w:p>
    <w:p>
      <w:pPr>
        <w:jc w:val="both"/>
        <w:ind w:firstLine="313"/>
        <w:spacing w:after="0" w:line="264" w:lineRule="auto"/>
        <w:rPr>
          <w:sz w:val="20"/>
          <w:szCs w:val="20"/>
          <w:color w:val="auto"/>
        </w:rPr>
      </w:pPr>
      <w:r>
        <w:rPr>
          <w:rFonts w:ascii="Times New Roman" w:cs="Times New Roman" w:eastAsia="Times New Roman" w:hAnsi="Times New Roman"/>
          <w:sz w:val="17"/>
          <w:szCs w:val="17"/>
          <w:color w:val="auto"/>
        </w:rPr>
        <w:t>We cannot assure you that our third-party service providers with access to our or our customers’, suppliers’, trial patients’ and employees’ personally identifiable and other sensitive or confidential information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use, storage, and transmission of</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such information. Any of the foregoing could have a material adverse effect on our business, financial condition, results of operations, and prospects.</w:t>
      </w:r>
    </w:p>
    <w:p>
      <w:pPr>
        <w:spacing w:after="0" w:line="14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business, reputation, financial condition and results of operations could be adversely affected by our ongoing internal review of certain agreements and other matters.</w:t>
      </w:r>
    </w:p>
    <w:p>
      <w:pPr>
        <w:spacing w:after="0" w:line="142" w:lineRule="exact"/>
        <w:rPr>
          <w:sz w:val="20"/>
          <w:szCs w:val="20"/>
          <w:color w:val="auto"/>
        </w:rPr>
      </w:pPr>
    </w:p>
    <w:p>
      <w:pPr>
        <w:jc w:val="both"/>
        <w:ind w:firstLine="313"/>
        <w:spacing w:after="0" w:line="266" w:lineRule="auto"/>
        <w:rPr>
          <w:sz w:val="20"/>
          <w:szCs w:val="20"/>
          <w:color w:val="auto"/>
        </w:rPr>
      </w:pPr>
      <w:r>
        <w:rPr>
          <w:rFonts w:ascii="Times New Roman" w:cs="Times New Roman" w:eastAsia="Times New Roman" w:hAnsi="Times New Roman"/>
          <w:sz w:val="17"/>
          <w:szCs w:val="17"/>
          <w:color w:val="auto"/>
        </w:rPr>
        <w:t>As discussed in Note 12 to our unaudited consolidated financials located in “Part I – Financial Information, Item 1. Financial Statements” and “Part II – Item 5,” the Audit Subcommittee has engaged independent legal counsel to review the matters described therein. The review, the outcome of the review and other events arising in connection with these matters may materially adversely impact our business, reputation, financial condition and results of operations. Due to the early stage of the review, at this time, the Company cannot estimate the outcome or timing for completion of the review, and can therefore give no assurances regarding the ultimate outcome or impact on us.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24"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On June 30, 2025, the Company received an invoice on behalf of BAFFX17 requesting a $5.0 million Milestone Payment pursuant to the BAFFX17 Letter Agreement. The Company has not made such payment pending the outcome of the review by the Audit Subcommittee discussed below.</w:t>
      </w:r>
    </w:p>
    <w:p>
      <w:pPr>
        <w:spacing w:after="0" w:line="163" w:lineRule="exact"/>
        <w:rPr>
          <w:sz w:val="20"/>
          <w:szCs w:val="20"/>
          <w:color w:val="auto"/>
        </w:rPr>
      </w:pPr>
    </w:p>
    <w:p>
      <w:pPr>
        <w:jc w:val="both"/>
        <w:ind w:firstLine="313"/>
        <w:spacing w:after="0" w:line="264" w:lineRule="auto"/>
        <w:rPr>
          <w:sz w:val="20"/>
          <w:szCs w:val="20"/>
          <w:color w:val="auto"/>
        </w:rPr>
      </w:pPr>
      <w:r>
        <w:rPr>
          <w:rFonts w:ascii="Times New Roman" w:cs="Times New Roman" w:eastAsia="Times New Roman" w:hAnsi="Times New Roman"/>
          <w:sz w:val="17"/>
          <w:szCs w:val="17"/>
          <w:color w:val="auto"/>
        </w:rPr>
        <w:t>On July 14, 2025, the Company received a request from Stone Peach to exercise the Put Option pursuant to the Stone Peach Letter Agreement pursuant to which Stone Peach would sell 50% of its Series Seed Preferred Shares in Z33 to the Company for $5.0 million. Additionally, on July 23, 2025, the Company received a further request from Stone Peach to exercise the Put Right pursuant to the Stone Peach Letter Agreement pursuant to which Stone Peach would sell 50% of its Series Seed Preferred Shares in Z33 in exchange for 2,000,000 of the Company’s Class A Ordinary Shares. The Company has not effected either the Put Option or the Put Right pending the outcome of the review of the Audit Subcommittee discussed below.</w:t>
      </w:r>
    </w:p>
    <w:p>
      <w:pPr>
        <w:spacing w:after="0" w:line="172" w:lineRule="exact"/>
        <w:rPr>
          <w:sz w:val="20"/>
          <w:szCs w:val="20"/>
          <w:color w:val="auto"/>
        </w:rPr>
      </w:pPr>
    </w:p>
    <w:p>
      <w:pPr>
        <w:jc w:val="both"/>
        <w:ind w:firstLine="313"/>
        <w:spacing w:after="0" w:line="269" w:lineRule="auto"/>
        <w:rPr>
          <w:sz w:val="20"/>
          <w:szCs w:val="20"/>
          <w:color w:val="auto"/>
        </w:rPr>
      </w:pPr>
      <w:r>
        <w:rPr>
          <w:rFonts w:ascii="Times New Roman" w:cs="Times New Roman" w:eastAsia="Times New Roman" w:hAnsi="Times New Roman"/>
          <w:sz w:val="17"/>
          <w:szCs w:val="17"/>
          <w:color w:val="auto"/>
        </w:rPr>
        <w:t>Certain information regarding the agreements and relationships with contractual counterparties was brought to the attention of management, which promptly informed the Audit Committee of the Board of Directors of the Company. In response, the Audit Committee has formed the Audit Subcommittee, comprised solely of disinterested and independent directors, to review the Company’s agreements and relationships with BAFFX17 and Stone Peach, among other matters.</w:t>
      </w:r>
    </w:p>
    <w:p>
      <w:pPr>
        <w:spacing w:after="0" w:line="168"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 xml:space="preserve">The Audit Subcommittee was granted the full authority of the Audit Committee to conduct its review, including the authority to direct the Company to take action in respect of the BAFFX17 and Stone Peach agreements and other matters under its review. Due to the early stage of the review, at this time, the Company cannot estimate the outcome or timing for completion of the review. The Audit Subcommittee is committed to conducting a prompt, expeditious and thorough independent review of the matters under its authority. The Company expects to provide an update on the Audit Subcommittee’s review once complete. See “Part II – Item 1A. Risk Factors – </w:t>
      </w:r>
      <w:r>
        <w:rPr>
          <w:rFonts w:ascii="Times New Roman" w:cs="Times New Roman" w:eastAsia="Times New Roman" w:hAnsi="Times New Roman"/>
          <w:sz w:val="17"/>
          <w:szCs w:val="17"/>
          <w:i w:val="1"/>
          <w:iCs w:val="1"/>
          <w:color w:val="auto"/>
        </w:rPr>
        <w:t>Our business, reputation,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financial condition and results of operations could be adversely affected by our ongoing internal review of certain agreements and other matters</w:t>
      </w:r>
      <w:r>
        <w:rPr>
          <w:rFonts w:ascii="Times New Roman" w:cs="Times New Roman" w:eastAsia="Times New Roman" w:hAnsi="Times New Roman"/>
          <w:sz w:val="17"/>
          <w:szCs w:val="17"/>
          <w:color w:val="auto"/>
        </w:rPr>
        <w:t>.” for additional information.</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exhibits are filed as part of, or incorporated by reference into, this Quarterly Report on Form 10-Q:</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940" w:type="dxa"/>
            <w:vAlign w:val="bottom"/>
            <w:gridSpan w:val="28"/>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8"/>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940" w:type="dxa"/>
            <w:vAlign w:val="bottom"/>
            <w:gridSpan w:val="2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Borders>
              <w:top w:val="single" w:sz="8" w:color="auto"/>
            </w:tcBorders>
          </w:tcPr>
          <w:p>
            <w:pPr>
              <w:spacing w:after="0" w:line="163" w:lineRule="exact"/>
              <w:rPr>
                <w:sz w:val="20"/>
                <w:szCs w:val="20"/>
                <w:color w:val="auto"/>
              </w:rPr>
            </w:pPr>
            <w:r>
              <w:rPr>
                <w:rFonts w:ascii="Times New Roman" w:cs="Times New Roman" w:eastAsia="Times New Roman" w:hAnsi="Times New Roman"/>
                <w:sz w:val="17"/>
                <w:szCs w:val="17"/>
                <w:color w:val="auto"/>
              </w:rPr>
              <w:t>2.1</w:t>
            </w:r>
          </w:p>
        </w:tc>
        <w:tc>
          <w:tcPr>
            <w:tcW w:w="220" w:type="dxa"/>
            <w:vAlign w:val="bottom"/>
          </w:tcPr>
          <w:p>
            <w:pPr>
              <w:spacing w:after="0"/>
              <w:rPr>
                <w:sz w:val="14"/>
                <w:szCs w:val="14"/>
                <w:color w:val="auto"/>
              </w:rPr>
            </w:pPr>
          </w:p>
        </w:tc>
        <w:tc>
          <w:tcPr>
            <w:tcW w:w="8500" w:type="dxa"/>
            <w:vAlign w:val="bottom"/>
            <w:tcBorders>
              <w:top w:val="single" w:sz="8" w:color="auto"/>
              <w:bottom w:val="single" w:sz="8" w:color="0000EE"/>
            </w:tcBorders>
            <w:gridSpan w:val="17"/>
          </w:tcPr>
          <w:p>
            <w:pPr>
              <w:spacing w:after="0" w:line="163" w:lineRule="exact"/>
              <w:rPr>
                <w:rFonts w:ascii="Times New Roman" w:cs="Times New Roman" w:eastAsia="Times New Roman" w:hAnsi="Times New Roman"/>
                <w:sz w:val="17"/>
                <w:szCs w:val="17"/>
                <w:color w:val="0000EE"/>
              </w:rPr>
            </w:pPr>
            <w:hyperlink r:id="rId69">
              <w:r>
                <w:rPr>
                  <w:rFonts w:ascii="Times New Roman" w:cs="Times New Roman" w:eastAsia="Times New Roman" w:hAnsi="Times New Roman"/>
                  <w:sz w:val="17"/>
                  <w:szCs w:val="17"/>
                  <w:color w:val="0000EE"/>
                </w:rPr>
                <w:t>Third Amendment dated as of January 13, 2023 to the Business Combination Agreement by and among JATT Acquisition</w:t>
              </w:r>
            </w:hyperlink>
          </w:p>
        </w:tc>
        <w:tc>
          <w:tcPr>
            <w:tcW w:w="440" w:type="dxa"/>
            <w:vAlign w:val="bottom"/>
            <w:tcBorders>
              <w:top w:val="single" w:sz="8" w:color="auto"/>
            </w:tcBorders>
            <w:gridSpan w:val="11"/>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940" w:type="dxa"/>
            <w:vAlign w:val="bottom"/>
            <w:gridSpan w:val="28"/>
          </w:tcPr>
          <w:p>
            <w:pPr>
              <w:spacing w:after="0" w:line="189" w:lineRule="exact"/>
              <w:rPr>
                <w:rFonts w:ascii="Times New Roman" w:cs="Times New Roman" w:eastAsia="Times New Roman" w:hAnsi="Times New Roman"/>
                <w:sz w:val="17"/>
                <w:szCs w:val="17"/>
                <w:color w:val="0000EE"/>
              </w:rPr>
            </w:pPr>
            <w:hyperlink r:id="rId69">
              <w:r>
                <w:rPr>
                  <w:rFonts w:ascii="Times New Roman" w:cs="Times New Roman" w:eastAsia="Times New Roman" w:hAnsi="Times New Roman"/>
                  <w:sz w:val="17"/>
                  <w:szCs w:val="17"/>
                  <w:color w:val="0000EE"/>
                </w:rPr>
                <w:t>Corp., JATT Merger Sub, JATT Merger Sub 2, Zura Holdings, Ltd. and Zura Bio Limited (incorporated by reference to Exhibit</w:t>
              </w:r>
            </w:hyperlink>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40" w:type="dxa"/>
            <w:vAlign w:val="bottom"/>
            <w:tcBorders>
              <w:top w:val="single" w:sz="8" w:color="0000EE"/>
              <w:bottom w:val="single" w:sz="8" w:color="0000EE"/>
            </w:tcBorders>
            <w:gridSpan w:val="12"/>
          </w:tcPr>
          <w:p>
            <w:pPr>
              <w:spacing w:after="0" w:line="189" w:lineRule="exact"/>
              <w:rPr>
                <w:rFonts w:ascii="Times New Roman" w:cs="Times New Roman" w:eastAsia="Times New Roman" w:hAnsi="Times New Roman"/>
                <w:sz w:val="17"/>
                <w:szCs w:val="17"/>
                <w:color w:val="0000EE"/>
              </w:rPr>
            </w:pPr>
            <w:hyperlink r:id="rId69">
              <w:r>
                <w:rPr>
                  <w:rFonts w:ascii="Times New Roman" w:cs="Times New Roman" w:eastAsia="Times New Roman" w:hAnsi="Times New Roman"/>
                  <w:sz w:val="17"/>
                  <w:szCs w:val="17"/>
                  <w:color w:val="0000EE"/>
                </w:rPr>
                <w:t>2.</w:t>
              </w:r>
              <w:r>
                <w:rPr>
                  <w:rFonts w:ascii="Times New Roman" w:cs="Times New Roman" w:eastAsia="Times New Roman" w:hAnsi="Times New Roman"/>
                  <w:sz w:val="17"/>
                  <w:szCs w:val="17"/>
                  <w:u w:val="single" w:color="auto"/>
                  <w:color w:val="0000EE"/>
                </w:rPr>
                <w:t>1</w:t>
              </w:r>
              <w:r>
                <w:rPr>
                  <w:rFonts w:ascii="Times New Roman" w:cs="Times New Roman" w:eastAsia="Times New Roman" w:hAnsi="Times New Roman"/>
                  <w:sz w:val="17"/>
                  <w:szCs w:val="17"/>
                  <w:color w:val="0000EE"/>
                </w:rPr>
                <w:t xml:space="preserve"> of JATT’s Current Report on Form 8-K (File No. 001-40598), filed with the SEC on January 19, 2023).</w:t>
              </w:r>
            </w:hyperlink>
          </w:p>
        </w:tc>
        <w:tc>
          <w:tcPr>
            <w:tcW w:w="1380" w:type="dxa"/>
            <w:vAlign w:val="bottom"/>
            <w:tcBorders>
              <w:top w:val="single" w:sz="8" w:color="0000EE"/>
            </w:tcBorders>
            <w:gridSpan w:val="12"/>
          </w:tcPr>
          <w:p>
            <w:pPr>
              <w:spacing w:after="0"/>
              <w:rPr>
                <w:sz w:val="16"/>
                <w:szCs w:val="16"/>
                <w:color w:val="auto"/>
              </w:rPr>
            </w:pPr>
          </w:p>
        </w:tc>
        <w:tc>
          <w:tcPr>
            <w:tcW w:w="12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3.1</w:t>
            </w:r>
          </w:p>
        </w:tc>
        <w:tc>
          <w:tcPr>
            <w:tcW w:w="220" w:type="dxa"/>
            <w:vAlign w:val="bottom"/>
          </w:tcPr>
          <w:p>
            <w:pPr>
              <w:spacing w:after="0"/>
              <w:rPr>
                <w:sz w:val="16"/>
                <w:szCs w:val="16"/>
                <w:color w:val="auto"/>
              </w:rPr>
            </w:pPr>
          </w:p>
        </w:tc>
        <w:tc>
          <w:tcPr>
            <w:tcW w:w="8940" w:type="dxa"/>
            <w:vAlign w:val="bottom"/>
            <w:gridSpan w:val="28"/>
          </w:tcPr>
          <w:p>
            <w:pPr>
              <w:spacing w:after="0" w:line="189" w:lineRule="exact"/>
              <w:rPr>
                <w:rFonts w:ascii="Times New Roman" w:cs="Times New Roman" w:eastAsia="Times New Roman" w:hAnsi="Times New Roman"/>
                <w:sz w:val="17"/>
                <w:szCs w:val="17"/>
                <w:color w:val="0000EE"/>
              </w:rPr>
            </w:pPr>
            <w:hyperlink r:id="rId70">
              <w:r>
                <w:rPr>
                  <w:rFonts w:ascii="Times New Roman" w:cs="Times New Roman" w:eastAsia="Times New Roman" w:hAnsi="Times New Roman"/>
                  <w:sz w:val="17"/>
                  <w:szCs w:val="17"/>
                  <w:color w:val="0000EE"/>
                </w:rPr>
                <w:t>Second Amended and Restated Memorandum of Association of Zura Bio Limited (incorporated by reference to Exhibit 3.1 to</w:t>
              </w:r>
            </w:hyperlink>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740" w:type="dxa"/>
            <w:vAlign w:val="bottom"/>
            <w:tcBorders>
              <w:top w:val="single" w:sz="8" w:color="0000EE"/>
            </w:tcBorders>
            <w:gridSpan w:val="22"/>
          </w:tcPr>
          <w:p>
            <w:pPr>
              <w:spacing w:after="0" w:line="189" w:lineRule="exact"/>
              <w:rPr>
                <w:rFonts w:ascii="Times New Roman" w:cs="Times New Roman" w:eastAsia="Times New Roman" w:hAnsi="Times New Roman"/>
                <w:sz w:val="17"/>
                <w:szCs w:val="17"/>
                <w:color w:val="0000EE"/>
              </w:rPr>
            </w:pPr>
            <w:hyperlink r:id="rId70">
              <w:r>
                <w:rPr>
                  <w:rFonts w:ascii="Times New Roman" w:cs="Times New Roman" w:eastAsia="Times New Roman" w:hAnsi="Times New Roman"/>
                  <w:sz w:val="17"/>
                  <w:szCs w:val="17"/>
                  <w:color w:val="0000EE"/>
                </w:rPr>
                <w:t>the Current Report on Form 8-K, filed with the SEC on March 24, 2023).</w:t>
              </w:r>
            </w:hyperlink>
          </w:p>
        </w:tc>
        <w:tc>
          <w:tcPr>
            <w:tcW w:w="20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4.1</w:t>
            </w:r>
          </w:p>
        </w:tc>
        <w:tc>
          <w:tcPr>
            <w:tcW w:w="220" w:type="dxa"/>
            <w:vAlign w:val="bottom"/>
          </w:tcPr>
          <w:p>
            <w:pPr>
              <w:spacing w:after="0"/>
              <w:rPr>
                <w:sz w:val="16"/>
                <w:szCs w:val="16"/>
                <w:color w:val="auto"/>
              </w:rPr>
            </w:pPr>
          </w:p>
        </w:tc>
        <w:tc>
          <w:tcPr>
            <w:tcW w:w="8940" w:type="dxa"/>
            <w:vAlign w:val="bottom"/>
            <w:gridSpan w:val="28"/>
          </w:tcPr>
          <w:p>
            <w:pPr>
              <w:spacing w:after="0" w:line="189" w:lineRule="exact"/>
              <w:rPr>
                <w:rFonts w:ascii="Times New Roman" w:cs="Times New Roman" w:eastAsia="Times New Roman" w:hAnsi="Times New Roman"/>
                <w:sz w:val="17"/>
                <w:szCs w:val="17"/>
                <w:color w:val="0000EE"/>
              </w:rPr>
            </w:pPr>
            <w:hyperlink r:id="rId71">
              <w:r>
                <w:rPr>
                  <w:rFonts w:ascii="Times New Roman" w:cs="Times New Roman" w:eastAsia="Times New Roman" w:hAnsi="Times New Roman"/>
                  <w:sz w:val="17"/>
                  <w:szCs w:val="17"/>
                  <w:color w:val="0000EE"/>
                </w:rPr>
                <w:t>Specimen Warrant Certificate of Zura (incorporated by reference to Exhibit 4.6 of JATT’s Form S-4 (File No. 333-267005) filed</w:t>
              </w:r>
            </w:hyperlink>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900" w:type="dxa"/>
            <w:vAlign w:val="bottom"/>
            <w:tcBorders>
              <w:top w:val="single" w:sz="8" w:color="0000EE"/>
            </w:tcBorders>
            <w:gridSpan w:val="26"/>
          </w:tcPr>
          <w:p>
            <w:pPr>
              <w:spacing w:after="0" w:line="189" w:lineRule="exact"/>
              <w:rPr>
                <w:rFonts w:ascii="Times New Roman" w:cs="Times New Roman" w:eastAsia="Times New Roman" w:hAnsi="Times New Roman"/>
                <w:sz w:val="17"/>
                <w:szCs w:val="17"/>
                <w:color w:val="0000EE"/>
              </w:rPr>
            </w:pPr>
            <w:hyperlink r:id="rId71">
              <w:r>
                <w:rPr>
                  <w:rFonts w:ascii="Times New Roman" w:cs="Times New Roman" w:eastAsia="Times New Roman" w:hAnsi="Times New Roman"/>
                  <w:sz w:val="17"/>
                  <w:szCs w:val="17"/>
                  <w:color w:val="0000EE"/>
                </w:rPr>
                <w:t>with the SEC on August 19, 2022).</w:t>
              </w:r>
            </w:hyperlink>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4.2</w:t>
            </w:r>
          </w:p>
        </w:tc>
        <w:tc>
          <w:tcPr>
            <w:tcW w:w="220" w:type="dxa"/>
            <w:vAlign w:val="bottom"/>
          </w:tcPr>
          <w:p>
            <w:pPr>
              <w:spacing w:after="0"/>
              <w:rPr>
                <w:sz w:val="16"/>
                <w:szCs w:val="16"/>
                <w:color w:val="auto"/>
              </w:rPr>
            </w:pPr>
          </w:p>
        </w:tc>
        <w:tc>
          <w:tcPr>
            <w:tcW w:w="8940" w:type="dxa"/>
            <w:vAlign w:val="bottom"/>
            <w:gridSpan w:val="28"/>
          </w:tcPr>
          <w:p>
            <w:pPr>
              <w:spacing w:after="0" w:line="189" w:lineRule="exact"/>
              <w:rPr>
                <w:rFonts w:ascii="Times New Roman" w:cs="Times New Roman" w:eastAsia="Times New Roman" w:hAnsi="Times New Roman"/>
                <w:sz w:val="17"/>
                <w:szCs w:val="17"/>
                <w:color w:val="0000EE"/>
              </w:rPr>
            </w:pPr>
            <w:hyperlink r:id="rId72">
              <w:r>
                <w:rPr>
                  <w:rFonts w:ascii="Times New Roman" w:cs="Times New Roman" w:eastAsia="Times New Roman" w:hAnsi="Times New Roman"/>
                  <w:sz w:val="17"/>
                  <w:szCs w:val="17"/>
                  <w:color w:val="0000EE"/>
                </w:rPr>
                <w:t>Form of Pre-Funded Warrant to Purchase Ordinary Shares (incorporated herein by reference to Exhibit 4.1 to the Company’s</w:t>
              </w:r>
            </w:hyperlink>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60" w:type="dxa"/>
            <w:vAlign w:val="bottom"/>
            <w:tcBorders>
              <w:top w:val="single" w:sz="8" w:color="0000EE"/>
            </w:tcBorders>
            <w:gridSpan w:val="21"/>
          </w:tcPr>
          <w:p>
            <w:pPr>
              <w:spacing w:after="0" w:line="189" w:lineRule="exact"/>
              <w:rPr>
                <w:rFonts w:ascii="Times New Roman" w:cs="Times New Roman" w:eastAsia="Times New Roman" w:hAnsi="Times New Roman"/>
                <w:sz w:val="17"/>
                <w:szCs w:val="17"/>
                <w:color w:val="0000EE"/>
              </w:rPr>
            </w:pPr>
            <w:hyperlink r:id="rId72">
              <w:r>
                <w:rPr>
                  <w:rFonts w:ascii="Times New Roman" w:cs="Times New Roman" w:eastAsia="Times New Roman" w:hAnsi="Times New Roman"/>
                  <w:sz w:val="17"/>
                  <w:szCs w:val="17"/>
                  <w:color w:val="0000EE"/>
                </w:rPr>
                <w:t>Current Report on Form 8-K, filed with the SEC on May 3, 2023).</w:t>
              </w:r>
            </w:hyperlink>
          </w:p>
        </w:tc>
        <w:tc>
          <w:tcPr>
            <w:tcW w:w="28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4.3</w:t>
            </w:r>
          </w:p>
        </w:tc>
        <w:tc>
          <w:tcPr>
            <w:tcW w:w="220" w:type="dxa"/>
            <w:vAlign w:val="bottom"/>
          </w:tcPr>
          <w:p>
            <w:pPr>
              <w:spacing w:after="0"/>
              <w:rPr>
                <w:sz w:val="16"/>
                <w:szCs w:val="16"/>
                <w:color w:val="auto"/>
              </w:rPr>
            </w:pPr>
          </w:p>
        </w:tc>
        <w:tc>
          <w:tcPr>
            <w:tcW w:w="8940" w:type="dxa"/>
            <w:vAlign w:val="bottom"/>
            <w:gridSpan w:val="28"/>
          </w:tcPr>
          <w:p>
            <w:pPr>
              <w:spacing w:after="0" w:line="189" w:lineRule="exact"/>
              <w:rPr>
                <w:rFonts w:ascii="Times New Roman" w:cs="Times New Roman" w:eastAsia="Times New Roman" w:hAnsi="Times New Roman"/>
                <w:sz w:val="17"/>
                <w:szCs w:val="17"/>
                <w:color w:val="0000EE"/>
              </w:rPr>
            </w:pPr>
            <w:hyperlink r:id="rId73">
              <w:r>
                <w:rPr>
                  <w:rFonts w:ascii="Times New Roman" w:cs="Times New Roman" w:eastAsia="Times New Roman" w:hAnsi="Times New Roman"/>
                  <w:sz w:val="17"/>
                  <w:szCs w:val="17"/>
                  <w:color w:val="0000EE"/>
                </w:rPr>
                <w:t>Form of Pre-Funded Warrant to purchase Ordinary Shares (incorporated by reference to Exhibit 4.1 to the Current Report on</w:t>
              </w:r>
            </w:hyperlink>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700" w:type="dxa"/>
            <w:vAlign w:val="bottom"/>
            <w:tcBorders>
              <w:top w:val="single" w:sz="8" w:color="0000EE"/>
              <w:bottom w:val="single" w:sz="8" w:color="0000EE"/>
            </w:tcBorders>
            <w:gridSpan w:val="10"/>
          </w:tcPr>
          <w:p>
            <w:pPr>
              <w:spacing w:after="0" w:line="189" w:lineRule="exact"/>
              <w:rPr>
                <w:rFonts w:ascii="Times New Roman" w:cs="Times New Roman" w:eastAsia="Times New Roman" w:hAnsi="Times New Roman"/>
                <w:sz w:val="17"/>
                <w:szCs w:val="17"/>
                <w:color w:val="0000EE"/>
              </w:rPr>
            </w:pPr>
            <w:hyperlink r:id="rId73">
              <w:r>
                <w:rPr>
                  <w:rFonts w:ascii="Times New Roman" w:cs="Times New Roman" w:eastAsia="Times New Roman" w:hAnsi="Times New Roman"/>
                  <w:sz w:val="17"/>
                  <w:szCs w:val="17"/>
                  <w:color w:val="0000EE"/>
                </w:rPr>
                <w:t>Form 8-K filed with the Securities and Exchange Commission on April 23, 2024).</w:t>
              </w:r>
            </w:hyperlink>
          </w:p>
        </w:tc>
        <w:tc>
          <w:tcPr>
            <w:tcW w:w="2940" w:type="dxa"/>
            <w:vAlign w:val="bottom"/>
            <w:tcBorders>
              <w:top w:val="single" w:sz="8" w:color="0000EE"/>
            </w:tcBorders>
            <w:gridSpan w:val="10"/>
          </w:tcPr>
          <w:p>
            <w:pPr>
              <w:spacing w:after="0"/>
              <w:rPr>
                <w:sz w:val="16"/>
                <w:szCs w:val="16"/>
                <w:color w:val="auto"/>
              </w:rPr>
            </w:pPr>
          </w:p>
        </w:tc>
        <w:tc>
          <w:tcPr>
            <w:tcW w:w="30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4.4</w:t>
            </w:r>
          </w:p>
        </w:tc>
        <w:tc>
          <w:tcPr>
            <w:tcW w:w="220" w:type="dxa"/>
            <w:vAlign w:val="bottom"/>
          </w:tcPr>
          <w:p>
            <w:pPr>
              <w:spacing w:after="0"/>
              <w:rPr>
                <w:sz w:val="16"/>
                <w:szCs w:val="16"/>
                <w:color w:val="auto"/>
              </w:rPr>
            </w:pPr>
          </w:p>
        </w:tc>
        <w:tc>
          <w:tcPr>
            <w:tcW w:w="8620" w:type="dxa"/>
            <w:vAlign w:val="bottom"/>
            <w:tcBorders>
              <w:bottom w:val="single" w:sz="8" w:color="0000EE"/>
            </w:tcBorders>
            <w:gridSpan w:val="19"/>
          </w:tcPr>
          <w:p>
            <w:pPr>
              <w:spacing w:after="0" w:line="189" w:lineRule="exact"/>
              <w:rPr>
                <w:rFonts w:ascii="Times New Roman" w:cs="Times New Roman" w:eastAsia="Times New Roman" w:hAnsi="Times New Roman"/>
                <w:sz w:val="17"/>
                <w:szCs w:val="17"/>
                <w:color w:val="0000EE"/>
              </w:rPr>
            </w:pPr>
            <w:hyperlink r:id="rId74">
              <w:r>
                <w:rPr>
                  <w:rFonts w:ascii="Times New Roman" w:cs="Times New Roman" w:eastAsia="Times New Roman" w:hAnsi="Times New Roman"/>
                  <w:sz w:val="17"/>
                  <w:szCs w:val="17"/>
                  <w:color w:val="0000EE"/>
                </w:rPr>
                <w:t>Form of Warrant to purchase Ordinary Shares (incorporated by reference to Exhibit 4.1 to the Current Report on Form 8 - K</w:t>
              </w:r>
            </w:hyperlink>
          </w:p>
        </w:tc>
        <w:tc>
          <w:tcPr>
            <w:tcW w:w="32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940" w:type="dxa"/>
            <w:vAlign w:val="bottom"/>
            <w:gridSpan w:val="28"/>
          </w:tcPr>
          <w:p>
            <w:pPr>
              <w:spacing w:after="0" w:line="189" w:lineRule="exact"/>
              <w:rPr>
                <w:rFonts w:ascii="Times New Roman" w:cs="Times New Roman" w:eastAsia="Times New Roman" w:hAnsi="Times New Roman"/>
                <w:sz w:val="17"/>
                <w:szCs w:val="17"/>
                <w:color w:val="0000EE"/>
              </w:rPr>
            </w:pPr>
            <w:hyperlink r:id="rId74">
              <w:r>
                <w:rPr>
                  <w:rFonts w:ascii="Times New Roman" w:cs="Times New Roman" w:eastAsia="Times New Roman" w:hAnsi="Times New Roman"/>
                  <w:sz w:val="17"/>
                  <w:szCs w:val="17"/>
                  <w:color w:val="0000EE"/>
                </w:rPr>
                <w:t>filed with the Securities and Exchange Commission on August 21, 2024).</w:t>
              </w:r>
            </w:hyperlink>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4.5</w:t>
            </w:r>
          </w:p>
        </w:tc>
        <w:tc>
          <w:tcPr>
            <w:tcW w:w="220" w:type="dxa"/>
            <w:vAlign w:val="bottom"/>
          </w:tcPr>
          <w:p>
            <w:pPr>
              <w:spacing w:after="0"/>
              <w:rPr>
                <w:sz w:val="16"/>
                <w:szCs w:val="16"/>
                <w:color w:val="auto"/>
              </w:rPr>
            </w:pPr>
          </w:p>
        </w:tc>
        <w:tc>
          <w:tcPr>
            <w:tcW w:w="8620" w:type="dxa"/>
            <w:vAlign w:val="bottom"/>
            <w:tcBorders>
              <w:bottom w:val="single" w:sz="8" w:color="0000EE"/>
            </w:tcBorders>
            <w:gridSpan w:val="19"/>
          </w:tcPr>
          <w:p>
            <w:pPr>
              <w:spacing w:after="0" w:line="189" w:lineRule="exact"/>
              <w:rPr>
                <w:rFonts w:ascii="Times New Roman" w:cs="Times New Roman" w:eastAsia="Times New Roman" w:hAnsi="Times New Roman"/>
                <w:sz w:val="17"/>
                <w:szCs w:val="17"/>
                <w:color w:val="0000EE"/>
              </w:rPr>
            </w:pPr>
            <w:hyperlink r:id="rId75">
              <w:r>
                <w:rPr>
                  <w:rFonts w:ascii="Times New Roman" w:cs="Times New Roman" w:eastAsia="Times New Roman" w:hAnsi="Times New Roman"/>
                  <w:sz w:val="17"/>
                  <w:szCs w:val="17"/>
                  <w:color w:val="0000EE"/>
                </w:rPr>
                <w:t>Form of Warrant to purchase Ordinary Shares (incorporated by reference to Exhibit 4.1 to the Current Report on Form 8 - K</w:t>
              </w:r>
            </w:hyperlink>
          </w:p>
        </w:tc>
        <w:tc>
          <w:tcPr>
            <w:tcW w:w="32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940" w:type="dxa"/>
            <w:vAlign w:val="bottom"/>
            <w:gridSpan w:val="28"/>
          </w:tcPr>
          <w:p>
            <w:pPr>
              <w:spacing w:after="0" w:line="189" w:lineRule="exact"/>
              <w:rPr>
                <w:rFonts w:ascii="Times New Roman" w:cs="Times New Roman" w:eastAsia="Times New Roman" w:hAnsi="Times New Roman"/>
                <w:sz w:val="17"/>
                <w:szCs w:val="17"/>
                <w:color w:val="0000EE"/>
              </w:rPr>
            </w:pPr>
            <w:hyperlink r:id="rId75">
              <w:r>
                <w:rPr>
                  <w:rFonts w:ascii="Times New Roman" w:cs="Times New Roman" w:eastAsia="Times New Roman" w:hAnsi="Times New Roman"/>
                  <w:sz w:val="17"/>
                  <w:szCs w:val="17"/>
                  <w:color w:val="0000EE"/>
                </w:rPr>
                <w:t>filed with the Securities and Exchange Commission on April 17, 2025).</w:t>
              </w:r>
            </w:hyperlink>
          </w:p>
        </w:tc>
        <w:tc>
          <w:tcPr>
            <w:tcW w:w="0" w:type="dxa"/>
            <w:vAlign w:val="bottom"/>
          </w:tcPr>
          <w:p>
            <w:pPr>
              <w:spacing w:after="0"/>
              <w:rPr>
                <w:sz w:val="1"/>
                <w:szCs w:val="1"/>
                <w:color w:val="auto"/>
              </w:rPr>
            </w:pPr>
          </w:p>
        </w:tc>
      </w:tr>
      <w:tr>
        <w:trPr>
          <w:trHeight w:val="189"/>
        </w:trPr>
        <w:tc>
          <w:tcPr>
            <w:tcW w:w="7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10.1</w:t>
            </w:r>
          </w:p>
        </w:tc>
        <w:tc>
          <w:tcPr>
            <w:tcW w:w="220" w:type="dxa"/>
            <w:vAlign w:val="bottom"/>
          </w:tcPr>
          <w:p>
            <w:pPr>
              <w:spacing w:after="0"/>
              <w:rPr>
                <w:sz w:val="16"/>
                <w:szCs w:val="16"/>
                <w:color w:val="auto"/>
              </w:rPr>
            </w:pPr>
          </w:p>
        </w:tc>
        <w:tc>
          <w:tcPr>
            <w:tcW w:w="3240" w:type="dxa"/>
            <w:vAlign w:val="bottom"/>
            <w:tcBorders>
              <w:top w:val="single" w:sz="8" w:color="0000EE"/>
              <w:bottom w:val="single" w:sz="8" w:color="0000EE"/>
            </w:tcBorders>
            <w:gridSpan w:val="4"/>
          </w:tcPr>
          <w:p>
            <w:pPr>
              <w:spacing w:after="0" w:line="189" w:lineRule="exact"/>
              <w:rPr>
                <w:sz w:val="20"/>
                <w:szCs w:val="20"/>
                <w:color w:val="auto"/>
              </w:rPr>
            </w:pPr>
            <w:r>
              <w:rPr>
                <w:rFonts w:ascii="Times New Roman" w:cs="Times New Roman" w:eastAsia="Times New Roman" w:hAnsi="Times New Roman"/>
                <w:sz w:val="17"/>
                <w:szCs w:val="17"/>
                <w:color w:val="0000EE"/>
              </w:rPr>
              <w:t>Non-Employee Director Compensation Policy.</w:t>
            </w:r>
          </w:p>
        </w:tc>
        <w:tc>
          <w:tcPr>
            <w:tcW w:w="1720" w:type="dxa"/>
            <w:vAlign w:val="bottom"/>
            <w:tcBorders>
              <w:top w:val="single" w:sz="8" w:color="0000EE"/>
            </w:tcBorders>
            <w:gridSpan w:val="2"/>
          </w:tcPr>
          <w:p>
            <w:pPr>
              <w:spacing w:after="0"/>
              <w:rPr>
                <w:sz w:val="16"/>
                <w:szCs w:val="16"/>
                <w:color w:val="auto"/>
              </w:rPr>
            </w:pPr>
          </w:p>
        </w:tc>
        <w:tc>
          <w:tcPr>
            <w:tcW w:w="3980" w:type="dxa"/>
            <w:vAlign w:val="bottom"/>
            <w:gridSpan w:val="2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gridSpan w:val="3"/>
          </w:tcPr>
          <w:p>
            <w:pPr>
              <w:spacing w:after="0" w:line="189" w:lineRule="exact"/>
              <w:rPr>
                <w:sz w:val="20"/>
                <w:szCs w:val="20"/>
                <w:color w:val="auto"/>
              </w:rPr>
            </w:pPr>
            <w:r>
              <w:rPr>
                <w:rFonts w:ascii="Times New Roman" w:cs="Times New Roman" w:eastAsia="Times New Roman" w:hAnsi="Times New Roman"/>
                <w:sz w:val="17"/>
                <w:szCs w:val="17"/>
                <w:color w:val="auto"/>
              </w:rPr>
              <w:t>10.2†</w:t>
            </w:r>
          </w:p>
        </w:tc>
        <w:tc>
          <w:tcPr>
            <w:tcW w:w="8600" w:type="dxa"/>
            <w:vAlign w:val="bottom"/>
            <w:tcBorders>
              <w:bottom w:val="single" w:sz="8" w:color="0000EE"/>
            </w:tcBorders>
            <w:gridSpan w:val="18"/>
          </w:tcPr>
          <w:p>
            <w:pPr>
              <w:spacing w:after="0" w:line="189" w:lineRule="exact"/>
              <w:rPr>
                <w:rFonts w:ascii="Times New Roman" w:cs="Times New Roman" w:eastAsia="Times New Roman" w:hAnsi="Times New Roman"/>
                <w:sz w:val="17"/>
                <w:szCs w:val="17"/>
                <w:color w:val="0000EE"/>
              </w:rPr>
            </w:pPr>
            <w:hyperlink r:id="rId76">
              <w:r>
                <w:rPr>
                  <w:rFonts w:ascii="Times New Roman" w:cs="Times New Roman" w:eastAsia="Times New Roman" w:hAnsi="Times New Roman"/>
                  <w:sz w:val="17"/>
                  <w:szCs w:val="17"/>
                  <w:color w:val="0000EE"/>
                </w:rPr>
                <w:t>Offer Letter Agreement with Eric Hyllengren, dated June 27, 2025 (incorporated by reference to Exhibit 10.1 to the Current</w:t>
              </w:r>
            </w:hyperlink>
          </w:p>
        </w:tc>
        <w:tc>
          <w:tcPr>
            <w:tcW w:w="34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940" w:type="dxa"/>
            <w:vAlign w:val="bottom"/>
            <w:gridSpan w:val="28"/>
          </w:tcPr>
          <w:p>
            <w:pPr>
              <w:spacing w:after="0" w:line="189" w:lineRule="exact"/>
              <w:rPr>
                <w:rFonts w:ascii="Times New Roman" w:cs="Times New Roman" w:eastAsia="Times New Roman" w:hAnsi="Times New Roman"/>
                <w:sz w:val="17"/>
                <w:szCs w:val="17"/>
                <w:color w:val="0000EE"/>
              </w:rPr>
            </w:pPr>
            <w:hyperlink r:id="rId76">
              <w:r>
                <w:rPr>
                  <w:rFonts w:ascii="Times New Roman" w:cs="Times New Roman" w:eastAsia="Times New Roman" w:hAnsi="Times New Roman"/>
                  <w:sz w:val="17"/>
                  <w:szCs w:val="17"/>
                  <w:color w:val="0000EE"/>
                </w:rPr>
                <w:t>Report on Form 8-K filed with the Securities and Exchange Commission on July 1, 2025).</w:t>
              </w:r>
            </w:hyperlink>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gridSpan w:val="3"/>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180" w:type="dxa"/>
            <w:vAlign w:val="bottom"/>
            <w:gridSpan w:val="7"/>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gridSpan w:val="3"/>
          </w:tcPr>
          <w:p>
            <w:pPr>
              <w:spacing w:after="0" w:line="189" w:lineRule="exact"/>
              <w:rPr>
                <w:sz w:val="20"/>
                <w:szCs w:val="20"/>
                <w:color w:val="auto"/>
              </w:rPr>
            </w:pPr>
            <w:r>
              <w:rPr>
                <w:rFonts w:ascii="Times New Roman" w:cs="Times New Roman" w:eastAsia="Times New Roman" w:hAnsi="Times New Roman"/>
                <w:sz w:val="17"/>
                <w:szCs w:val="17"/>
                <w:color w:val="auto"/>
              </w:rPr>
              <w:t>10.3†</w:t>
            </w:r>
          </w:p>
        </w:tc>
        <w:tc>
          <w:tcPr>
            <w:tcW w:w="8940" w:type="dxa"/>
            <w:vAlign w:val="bottom"/>
            <w:gridSpan w:val="28"/>
          </w:tcPr>
          <w:p>
            <w:pPr>
              <w:spacing w:after="0" w:line="189" w:lineRule="exact"/>
              <w:rPr>
                <w:rFonts w:ascii="Times New Roman" w:cs="Times New Roman" w:eastAsia="Times New Roman" w:hAnsi="Times New Roman"/>
                <w:sz w:val="17"/>
                <w:szCs w:val="17"/>
                <w:color w:val="0000EE"/>
              </w:rPr>
            </w:pPr>
            <w:hyperlink r:id="rId77">
              <w:r>
                <w:rPr>
                  <w:rFonts w:ascii="Times New Roman" w:cs="Times New Roman" w:eastAsia="Times New Roman" w:hAnsi="Times New Roman"/>
                  <w:sz w:val="17"/>
                  <w:szCs w:val="17"/>
                  <w:color w:val="0000EE"/>
                </w:rPr>
                <w:t>Settlement Agreement, by and between Zura Bio Limited and Verender Badial, dated June 27, 2025 (incorporated by reference</w:t>
              </w:r>
            </w:hyperlink>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0" w:type="dxa"/>
            <w:vAlign w:val="bottom"/>
            <w:tcBorders>
              <w:top w:val="single" w:sz="8" w:color="0000EE"/>
            </w:tcBorders>
            <w:gridSpan w:val="23"/>
          </w:tcPr>
          <w:p>
            <w:pPr>
              <w:spacing w:after="0" w:line="189" w:lineRule="exact"/>
              <w:rPr>
                <w:rFonts w:ascii="Times New Roman" w:cs="Times New Roman" w:eastAsia="Times New Roman" w:hAnsi="Times New Roman"/>
                <w:sz w:val="17"/>
                <w:szCs w:val="17"/>
                <w:color w:val="0000EE"/>
              </w:rPr>
            </w:pPr>
            <w:hyperlink r:id="rId77">
              <w:r>
                <w:rPr>
                  <w:rFonts w:ascii="Times New Roman" w:cs="Times New Roman" w:eastAsia="Times New Roman" w:hAnsi="Times New Roman"/>
                  <w:sz w:val="17"/>
                  <w:szCs w:val="17"/>
                  <w:color w:val="0000EE"/>
                </w:rPr>
                <w:t>to Exhibit 10.2 to the Current Report on Form 8-K filed with the Securities and Exchange Commission on July 1, 2025).</w:t>
              </w:r>
            </w:hyperlink>
          </w:p>
        </w:tc>
        <w:tc>
          <w:tcPr>
            <w:tcW w:w="14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180" w:type="dxa"/>
            <w:vAlign w:val="bottom"/>
            <w:gridSpan w:val="7"/>
            <w:shd w:val="clear" w:color="auto" w:fill="0000EE"/>
          </w:tcPr>
          <w:p>
            <w:pPr>
              <w:spacing w:after="0" w:line="20" w:lineRule="exact"/>
              <w:rPr>
                <w:sz w:val="1"/>
                <w:szCs w:val="1"/>
                <w:color w:val="auto"/>
              </w:rPr>
            </w:pPr>
          </w:p>
        </w:tc>
        <w:tc>
          <w:tcPr>
            <w:tcW w:w="2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10.4</w:t>
            </w:r>
          </w:p>
        </w:tc>
        <w:tc>
          <w:tcPr>
            <w:tcW w:w="220" w:type="dxa"/>
            <w:vAlign w:val="bottom"/>
          </w:tcPr>
          <w:p>
            <w:pPr>
              <w:spacing w:after="0"/>
              <w:rPr>
                <w:sz w:val="16"/>
                <w:szCs w:val="16"/>
                <w:color w:val="auto"/>
              </w:rPr>
            </w:pPr>
          </w:p>
        </w:tc>
        <w:tc>
          <w:tcPr>
            <w:tcW w:w="8940" w:type="dxa"/>
            <w:vAlign w:val="bottom"/>
            <w:gridSpan w:val="28"/>
          </w:tcPr>
          <w:p>
            <w:pPr>
              <w:spacing w:after="0" w:line="189" w:lineRule="exact"/>
              <w:rPr>
                <w:rFonts w:ascii="Times New Roman" w:cs="Times New Roman" w:eastAsia="Times New Roman" w:hAnsi="Times New Roman"/>
                <w:sz w:val="17"/>
                <w:szCs w:val="17"/>
                <w:color w:val="0000EE"/>
              </w:rPr>
            </w:pPr>
            <w:hyperlink r:id="rId78">
              <w:r>
                <w:rPr>
                  <w:rFonts w:ascii="Times New Roman" w:cs="Times New Roman" w:eastAsia="Times New Roman" w:hAnsi="Times New Roman"/>
                  <w:sz w:val="17"/>
                  <w:szCs w:val="17"/>
                  <w:color w:val="0000EE"/>
                </w:rPr>
                <w:t>Share Surrender and Warrant Agreement, dated as of April 16, 2025, by and among the Company and Venrock Healthcare</w:t>
              </w:r>
            </w:hyperlink>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80" w:type="dxa"/>
            <w:vAlign w:val="bottom"/>
            <w:tcBorders>
              <w:top w:val="single" w:sz="8" w:color="0000EE"/>
            </w:tcBorders>
            <w:gridSpan w:val="16"/>
          </w:tcPr>
          <w:p>
            <w:pPr>
              <w:spacing w:after="0" w:line="189" w:lineRule="exact"/>
              <w:rPr>
                <w:rFonts w:ascii="Times New Roman" w:cs="Times New Roman" w:eastAsia="Times New Roman" w:hAnsi="Times New Roman"/>
                <w:sz w:val="17"/>
                <w:szCs w:val="17"/>
                <w:color w:val="0000EE"/>
              </w:rPr>
            </w:pPr>
            <w:hyperlink r:id="rId78">
              <w:r>
                <w:rPr>
                  <w:rFonts w:ascii="Times New Roman" w:cs="Times New Roman" w:eastAsia="Times New Roman" w:hAnsi="Times New Roman"/>
                  <w:sz w:val="17"/>
                  <w:szCs w:val="17"/>
                  <w:color w:val="0000EE"/>
                </w:rPr>
                <w:t>Capital Partners EG, L.P., Venrock Healthcare Capital Partners III, L.P., and VHCP Co-Investment Holdings III, LLC</w:t>
              </w:r>
            </w:hyperlink>
          </w:p>
        </w:tc>
        <w:tc>
          <w:tcPr>
            <w:tcW w:w="46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60" w:type="dxa"/>
            <w:vAlign w:val="bottom"/>
            <w:tcBorders>
              <w:top w:val="single" w:sz="8" w:color="0000EE"/>
            </w:tcBorders>
            <w:gridSpan w:val="14"/>
          </w:tcPr>
          <w:p>
            <w:pPr>
              <w:spacing w:after="0" w:line="189" w:lineRule="exact"/>
              <w:rPr>
                <w:rFonts w:ascii="Times New Roman" w:cs="Times New Roman" w:eastAsia="Times New Roman" w:hAnsi="Times New Roman"/>
                <w:sz w:val="17"/>
                <w:szCs w:val="17"/>
                <w:color w:val="0000EE"/>
              </w:rPr>
            </w:pPr>
            <w:hyperlink r:id="rId78">
              <w:r>
                <w:rPr>
                  <w:rFonts w:ascii="Times New Roman" w:cs="Times New Roman" w:eastAsia="Times New Roman" w:hAnsi="Times New Roman"/>
                  <w:sz w:val="17"/>
                  <w:szCs w:val="17"/>
                  <w:color w:val="0000EE"/>
                </w:rPr>
                <w:t>(incorporated by reference to Exhibit 10.1 to the Current Report on Form 8-K filed with the Securities and Exchange</w:t>
              </w:r>
            </w:hyperlink>
          </w:p>
        </w:tc>
        <w:tc>
          <w:tcPr>
            <w:tcW w:w="78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Borders>
              <w:top w:val="single" w:sz="8" w:color="0000EE"/>
              <w:bottom w:val="single" w:sz="8" w:color="0000EE"/>
            </w:tcBorders>
            <w:gridSpan w:val="2"/>
          </w:tcPr>
          <w:p>
            <w:pPr>
              <w:spacing w:after="0" w:line="189" w:lineRule="exact"/>
              <w:rPr>
                <w:rFonts w:ascii="Times New Roman" w:cs="Times New Roman" w:eastAsia="Times New Roman" w:hAnsi="Times New Roman"/>
                <w:sz w:val="17"/>
                <w:szCs w:val="17"/>
                <w:color w:val="0000EE"/>
              </w:rPr>
            </w:pPr>
            <w:hyperlink r:id="rId78">
              <w:r>
                <w:rPr>
                  <w:rFonts w:ascii="Times New Roman" w:cs="Times New Roman" w:eastAsia="Times New Roman" w:hAnsi="Times New Roman"/>
                  <w:sz w:val="17"/>
                  <w:szCs w:val="17"/>
                  <w:color w:val="0000EE"/>
                </w:rPr>
                <w:t>Commission on April 17, 2025).</w:t>
              </w:r>
            </w:hyperlink>
          </w:p>
        </w:tc>
        <w:tc>
          <w:tcPr>
            <w:tcW w:w="5860" w:type="dxa"/>
            <w:vAlign w:val="bottom"/>
            <w:tcBorders>
              <w:top w:val="single" w:sz="8" w:color="0000EE"/>
            </w:tcBorders>
            <w:gridSpan w:val="11"/>
          </w:tcPr>
          <w:p>
            <w:pPr>
              <w:spacing w:after="0"/>
              <w:rPr>
                <w:sz w:val="16"/>
                <w:szCs w:val="16"/>
                <w:color w:val="auto"/>
              </w:rPr>
            </w:pPr>
          </w:p>
        </w:tc>
        <w:tc>
          <w:tcPr>
            <w:tcW w:w="84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10.5</w:t>
            </w:r>
          </w:p>
        </w:tc>
        <w:tc>
          <w:tcPr>
            <w:tcW w:w="220" w:type="dxa"/>
            <w:vAlign w:val="bottom"/>
          </w:tcPr>
          <w:p>
            <w:pPr>
              <w:spacing w:after="0"/>
              <w:rPr>
                <w:sz w:val="16"/>
                <w:szCs w:val="16"/>
                <w:color w:val="auto"/>
              </w:rPr>
            </w:pPr>
          </w:p>
        </w:tc>
        <w:tc>
          <w:tcPr>
            <w:tcW w:w="8940" w:type="dxa"/>
            <w:vAlign w:val="bottom"/>
            <w:gridSpan w:val="28"/>
          </w:tcPr>
          <w:p>
            <w:pPr>
              <w:spacing w:after="0" w:line="189" w:lineRule="exact"/>
              <w:rPr>
                <w:rFonts w:ascii="Times New Roman" w:cs="Times New Roman" w:eastAsia="Times New Roman" w:hAnsi="Times New Roman"/>
                <w:sz w:val="17"/>
                <w:szCs w:val="17"/>
                <w:color w:val="0000EE"/>
              </w:rPr>
            </w:pPr>
            <w:hyperlink r:id="rId79">
              <w:r>
                <w:rPr>
                  <w:rFonts w:ascii="Times New Roman" w:cs="Times New Roman" w:eastAsia="Times New Roman" w:hAnsi="Times New Roman"/>
                  <w:sz w:val="17"/>
                  <w:szCs w:val="17"/>
                  <w:color w:val="0000EE"/>
                </w:rPr>
                <w:t>Share Surrender and Warrant Agreement, dated as of April 17, 2025, by and between the Company and AI Biotechnology, LLC</w:t>
              </w:r>
            </w:hyperlink>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60" w:type="dxa"/>
            <w:vAlign w:val="bottom"/>
            <w:tcBorders>
              <w:top w:val="single" w:sz="8" w:color="0000EE"/>
            </w:tcBorders>
            <w:gridSpan w:val="25"/>
          </w:tcPr>
          <w:p>
            <w:pPr>
              <w:spacing w:after="0" w:line="189" w:lineRule="exact"/>
              <w:rPr>
                <w:rFonts w:ascii="Times New Roman" w:cs="Times New Roman" w:eastAsia="Times New Roman" w:hAnsi="Times New Roman"/>
                <w:sz w:val="17"/>
                <w:szCs w:val="17"/>
                <w:color w:val="0000EE"/>
              </w:rPr>
            </w:pPr>
            <w:hyperlink r:id="rId79">
              <w:r>
                <w:rPr>
                  <w:rFonts w:ascii="Times New Roman" w:cs="Times New Roman" w:eastAsia="Times New Roman" w:hAnsi="Times New Roman"/>
                  <w:sz w:val="17"/>
                  <w:szCs w:val="17"/>
                  <w:color w:val="0000EE"/>
                </w:rPr>
                <w:t>(incorporated by reference to Exhibit 10.2 to the Current Report on Form 8-K filed with the Securities and Exchange</w:t>
              </w:r>
            </w:hyperlink>
          </w:p>
        </w:tc>
        <w:tc>
          <w:tcPr>
            <w:tcW w:w="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Borders>
              <w:top w:val="single" w:sz="8" w:color="0000EE"/>
              <w:bottom w:val="single" w:sz="8" w:color="0000EE"/>
            </w:tcBorders>
            <w:gridSpan w:val="2"/>
          </w:tcPr>
          <w:p>
            <w:pPr>
              <w:spacing w:after="0" w:line="189" w:lineRule="exact"/>
              <w:rPr>
                <w:rFonts w:ascii="Times New Roman" w:cs="Times New Roman" w:eastAsia="Times New Roman" w:hAnsi="Times New Roman"/>
                <w:sz w:val="17"/>
                <w:szCs w:val="17"/>
                <w:color w:val="0000EE"/>
              </w:rPr>
            </w:pPr>
            <w:hyperlink r:id="rId79">
              <w:r>
                <w:rPr>
                  <w:rFonts w:ascii="Times New Roman" w:cs="Times New Roman" w:eastAsia="Times New Roman" w:hAnsi="Times New Roman"/>
                  <w:sz w:val="17"/>
                  <w:szCs w:val="17"/>
                  <w:color w:val="0000EE"/>
                </w:rPr>
                <w:t>Commission on April 17, 2025).</w:t>
              </w:r>
            </w:hyperlink>
          </w:p>
        </w:tc>
        <w:tc>
          <w:tcPr>
            <w:tcW w:w="5860" w:type="dxa"/>
            <w:vAlign w:val="bottom"/>
            <w:tcBorders>
              <w:top w:val="single" w:sz="8" w:color="0000EE"/>
            </w:tcBorders>
            <w:gridSpan w:val="11"/>
          </w:tcPr>
          <w:p>
            <w:pPr>
              <w:spacing w:after="0"/>
              <w:rPr>
                <w:sz w:val="16"/>
                <w:szCs w:val="16"/>
                <w:color w:val="auto"/>
              </w:rPr>
            </w:pPr>
          </w:p>
        </w:tc>
        <w:tc>
          <w:tcPr>
            <w:tcW w:w="84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31.1*</w:t>
            </w:r>
          </w:p>
        </w:tc>
        <w:tc>
          <w:tcPr>
            <w:tcW w:w="220" w:type="dxa"/>
            <w:vAlign w:val="bottom"/>
          </w:tcPr>
          <w:p>
            <w:pPr>
              <w:spacing w:after="0"/>
              <w:rPr>
                <w:sz w:val="16"/>
                <w:szCs w:val="16"/>
                <w:color w:val="auto"/>
              </w:rPr>
            </w:pPr>
          </w:p>
        </w:tc>
        <w:tc>
          <w:tcPr>
            <w:tcW w:w="8940" w:type="dxa"/>
            <w:vAlign w:val="bottom"/>
            <w:gridSpan w:val="28"/>
          </w:tcPr>
          <w:p>
            <w:pPr>
              <w:spacing w:after="0" w:line="189" w:lineRule="exact"/>
              <w:rPr>
                <w:sz w:val="20"/>
                <w:szCs w:val="20"/>
                <w:color w:val="auto"/>
              </w:rPr>
            </w:pPr>
            <w:r>
              <w:rPr>
                <w:rFonts w:ascii="Times New Roman" w:cs="Times New Roman" w:eastAsia="Times New Roman" w:hAnsi="Times New Roman"/>
                <w:sz w:val="17"/>
                <w:szCs w:val="17"/>
                <w:color w:val="0000EE"/>
              </w:rPr>
              <w:t>Certification of Principal Executive Officer Pursuant to Rules 13a-14(a) and 15d-14(a) under the Securities Exchange Act of</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20" w:type="dxa"/>
            <w:vAlign w:val="bottom"/>
            <w:tcBorders>
              <w:top w:val="single" w:sz="8" w:color="0000EE"/>
              <w:bottom w:val="single" w:sz="8" w:color="0000EE"/>
            </w:tcBorders>
            <w:gridSpan w:val="9"/>
          </w:tcPr>
          <w:p>
            <w:pPr>
              <w:spacing w:after="0" w:line="189" w:lineRule="exact"/>
              <w:rPr>
                <w:sz w:val="20"/>
                <w:szCs w:val="20"/>
                <w:color w:val="auto"/>
              </w:rPr>
            </w:pPr>
            <w:r>
              <w:rPr>
                <w:rFonts w:ascii="Times New Roman" w:cs="Times New Roman" w:eastAsia="Times New Roman" w:hAnsi="Times New Roman"/>
                <w:sz w:val="17"/>
                <w:szCs w:val="17"/>
                <w:color w:val="0000EE"/>
              </w:rPr>
              <w:t>1934, as Adopted Pursuant to Section 302 of the Sarbanes-Oxley Act of 2002.</w:t>
            </w:r>
          </w:p>
        </w:tc>
        <w:tc>
          <w:tcPr>
            <w:tcW w:w="3500" w:type="dxa"/>
            <w:vAlign w:val="bottom"/>
            <w:tcBorders>
              <w:top w:val="single" w:sz="8" w:color="0000EE"/>
            </w:tcBorders>
            <w:gridSpan w:val="18"/>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31.2*</w:t>
            </w:r>
          </w:p>
        </w:tc>
        <w:tc>
          <w:tcPr>
            <w:tcW w:w="220" w:type="dxa"/>
            <w:vAlign w:val="bottom"/>
          </w:tcPr>
          <w:p>
            <w:pPr>
              <w:spacing w:after="0"/>
              <w:rPr>
                <w:sz w:val="16"/>
                <w:szCs w:val="16"/>
                <w:color w:val="auto"/>
              </w:rPr>
            </w:pPr>
          </w:p>
        </w:tc>
        <w:tc>
          <w:tcPr>
            <w:tcW w:w="8940" w:type="dxa"/>
            <w:vAlign w:val="bottom"/>
            <w:tcBorders>
              <w:bottom w:val="single" w:sz="8" w:color="0000EE"/>
            </w:tcBorders>
            <w:gridSpan w:val="28"/>
          </w:tcPr>
          <w:p>
            <w:pPr>
              <w:spacing w:after="0" w:line="189" w:lineRule="exact"/>
              <w:rPr>
                <w:sz w:val="20"/>
                <w:szCs w:val="20"/>
                <w:color w:val="auto"/>
              </w:rPr>
            </w:pPr>
            <w:r>
              <w:rPr>
                <w:rFonts w:ascii="Times New Roman" w:cs="Times New Roman" w:eastAsia="Times New Roman" w:hAnsi="Times New Roman"/>
                <w:sz w:val="17"/>
                <w:szCs w:val="17"/>
                <w:color w:val="0000EE"/>
              </w:rPr>
              <w:t>Certification of Principal Financial Officer Pursuant to Rules 13a-14(a) and 15d-14(a) under the Securities Exchange Act of</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20" w:type="dxa"/>
            <w:vAlign w:val="bottom"/>
            <w:tcBorders>
              <w:bottom w:val="single" w:sz="8" w:color="0000EE"/>
            </w:tcBorders>
            <w:gridSpan w:val="9"/>
          </w:tcPr>
          <w:p>
            <w:pPr>
              <w:spacing w:after="0" w:line="189" w:lineRule="exact"/>
              <w:rPr>
                <w:sz w:val="20"/>
                <w:szCs w:val="20"/>
                <w:color w:val="auto"/>
              </w:rPr>
            </w:pPr>
            <w:r>
              <w:rPr>
                <w:rFonts w:ascii="Times New Roman" w:cs="Times New Roman" w:eastAsia="Times New Roman" w:hAnsi="Times New Roman"/>
                <w:sz w:val="17"/>
                <w:szCs w:val="17"/>
                <w:color w:val="0000EE"/>
              </w:rPr>
              <w:t>1934, as Adopted Pursuant to Section 302 of the Sarbanes-Oxley Act of 2002.</w:t>
            </w:r>
          </w:p>
        </w:tc>
        <w:tc>
          <w:tcPr>
            <w:tcW w:w="3520" w:type="dxa"/>
            <w:vAlign w:val="bottom"/>
            <w:gridSpan w:val="1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32.1**</w:t>
            </w:r>
          </w:p>
        </w:tc>
        <w:tc>
          <w:tcPr>
            <w:tcW w:w="220" w:type="dxa"/>
            <w:vAlign w:val="bottom"/>
          </w:tcPr>
          <w:p>
            <w:pPr>
              <w:spacing w:after="0"/>
              <w:rPr>
                <w:sz w:val="16"/>
                <w:szCs w:val="16"/>
                <w:color w:val="auto"/>
              </w:rPr>
            </w:pPr>
          </w:p>
        </w:tc>
        <w:tc>
          <w:tcPr>
            <w:tcW w:w="8940" w:type="dxa"/>
            <w:vAlign w:val="bottom"/>
            <w:gridSpan w:val="28"/>
          </w:tcPr>
          <w:p>
            <w:pPr>
              <w:spacing w:after="0" w:line="189" w:lineRule="exact"/>
              <w:rPr>
                <w:sz w:val="20"/>
                <w:szCs w:val="20"/>
                <w:color w:val="auto"/>
              </w:rPr>
            </w:pPr>
            <w:r>
              <w:rPr>
                <w:rFonts w:ascii="Times New Roman" w:cs="Times New Roman" w:eastAsia="Times New Roman" w:hAnsi="Times New Roman"/>
                <w:sz w:val="17"/>
                <w:szCs w:val="17"/>
                <w:color w:val="0000EE"/>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920" w:type="dxa"/>
            <w:vAlign w:val="bottom"/>
            <w:tcBorders>
              <w:top w:val="single" w:sz="8" w:color="0000EE"/>
            </w:tcBorders>
            <w:gridSpan w:val="27"/>
          </w:tcPr>
          <w:p>
            <w:pPr>
              <w:spacing w:after="0" w:line="189" w:lineRule="exact"/>
              <w:rPr>
                <w:sz w:val="20"/>
                <w:szCs w:val="20"/>
                <w:color w:val="auto"/>
              </w:rPr>
            </w:pPr>
            <w:r>
              <w:rPr>
                <w:rFonts w:ascii="Times New Roman" w:cs="Times New Roman" w:eastAsia="Times New Roman" w:hAnsi="Times New Roman"/>
                <w:sz w:val="17"/>
                <w:szCs w:val="17"/>
                <w:color w:val="0000EE"/>
              </w:rPr>
              <w:t>Sarbanes-Oxley Act of 2002.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6940" w:type="dxa"/>
            <w:vAlign w:val="bottom"/>
            <w:gridSpan w:val="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32.2**</w:t>
            </w:r>
          </w:p>
        </w:tc>
        <w:tc>
          <w:tcPr>
            <w:tcW w:w="220" w:type="dxa"/>
            <w:vAlign w:val="bottom"/>
          </w:tcPr>
          <w:p>
            <w:pPr>
              <w:spacing w:after="0"/>
              <w:rPr>
                <w:sz w:val="16"/>
                <w:szCs w:val="16"/>
                <w:color w:val="auto"/>
              </w:rPr>
            </w:pPr>
          </w:p>
        </w:tc>
        <w:tc>
          <w:tcPr>
            <w:tcW w:w="8940" w:type="dxa"/>
            <w:vAlign w:val="bottom"/>
            <w:tcBorders>
              <w:bottom w:val="single" w:sz="8" w:color="0000EE"/>
            </w:tcBorders>
            <w:gridSpan w:val="28"/>
          </w:tcPr>
          <w:p>
            <w:pPr>
              <w:spacing w:after="0" w:line="189" w:lineRule="exact"/>
              <w:rPr>
                <w:sz w:val="20"/>
                <w:szCs w:val="20"/>
                <w:color w:val="auto"/>
              </w:rPr>
            </w:pPr>
            <w:r>
              <w:rPr>
                <w:rFonts w:ascii="Times New Roman" w:cs="Times New Roman" w:eastAsia="Times New Roman" w:hAnsi="Times New Roman"/>
                <w:sz w:val="17"/>
                <w:szCs w:val="17"/>
                <w:color w:val="0000EE"/>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940" w:type="dxa"/>
            <w:vAlign w:val="bottom"/>
            <w:gridSpan w:val="28"/>
          </w:tcPr>
          <w:p>
            <w:pPr>
              <w:spacing w:after="0" w:line="189" w:lineRule="exact"/>
              <w:rPr>
                <w:sz w:val="20"/>
                <w:szCs w:val="20"/>
                <w:color w:val="auto"/>
              </w:rPr>
            </w:pPr>
            <w:r>
              <w:rPr>
                <w:rFonts w:ascii="Times New Roman" w:cs="Times New Roman" w:eastAsia="Times New Roman" w:hAnsi="Times New Roman"/>
                <w:sz w:val="17"/>
                <w:szCs w:val="17"/>
                <w:color w:val="0000EE"/>
              </w:rPr>
              <w:t>Sarbanes-Oxley Act of 2002.</w:t>
            </w:r>
          </w:p>
        </w:tc>
        <w:tc>
          <w:tcPr>
            <w:tcW w:w="0" w:type="dxa"/>
            <w:vAlign w:val="bottom"/>
          </w:tcPr>
          <w:p>
            <w:pPr>
              <w:spacing w:after="0"/>
              <w:rPr>
                <w:sz w:val="1"/>
                <w:szCs w:val="1"/>
                <w:color w:val="auto"/>
              </w:rPr>
            </w:pPr>
          </w:p>
        </w:tc>
      </w:tr>
      <w:tr>
        <w:trPr>
          <w:trHeight w:val="210"/>
        </w:trPr>
        <w:tc>
          <w:tcPr>
            <w:tcW w:w="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101.INS</w:t>
            </w:r>
          </w:p>
        </w:tc>
        <w:tc>
          <w:tcPr>
            <w:tcW w:w="20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7"/>
                <w:szCs w:val="17"/>
                <w:color w:val="auto"/>
              </w:rPr>
              <w:t>XBRL Instance Document*</w:t>
            </w:r>
          </w:p>
        </w:tc>
        <w:tc>
          <w:tcPr>
            <w:tcW w:w="6940" w:type="dxa"/>
            <w:vAlign w:val="bottom"/>
            <w:gridSpan w:val="27"/>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101.SCH</w:t>
            </w:r>
          </w:p>
        </w:tc>
        <w:tc>
          <w:tcPr>
            <w:tcW w:w="8940" w:type="dxa"/>
            <w:vAlign w:val="bottom"/>
            <w:gridSpan w:val="28"/>
          </w:tcPr>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tc>
        <w:tc>
          <w:tcPr>
            <w:tcW w:w="0" w:type="dxa"/>
            <w:vAlign w:val="bottom"/>
          </w:tcPr>
          <w:p>
            <w:pPr>
              <w:spacing w:after="0"/>
              <w:rPr>
                <w:sz w:val="1"/>
                <w:szCs w:val="1"/>
                <w:color w:val="auto"/>
              </w:rPr>
            </w:pPr>
          </w:p>
        </w:tc>
      </w:tr>
      <w:tr>
        <w:trPr>
          <w:trHeight w:val="209"/>
        </w:trPr>
        <w:tc>
          <w:tcPr>
            <w:tcW w:w="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101.CAL</w:t>
            </w:r>
          </w:p>
        </w:tc>
        <w:tc>
          <w:tcPr>
            <w:tcW w:w="8940" w:type="dxa"/>
            <w:vAlign w:val="bottom"/>
            <w:gridSpan w:val="28"/>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c>
          <w:tcPr>
            <w:tcW w:w="0" w:type="dxa"/>
            <w:vAlign w:val="bottom"/>
          </w:tcPr>
          <w:p>
            <w:pPr>
              <w:spacing w:after="0"/>
              <w:rPr>
                <w:sz w:val="1"/>
                <w:szCs w:val="1"/>
                <w:color w:val="auto"/>
              </w:rPr>
            </w:pPr>
          </w:p>
        </w:tc>
      </w:tr>
      <w:tr>
        <w:trPr>
          <w:trHeight w:val="209"/>
        </w:trPr>
        <w:tc>
          <w:tcPr>
            <w:tcW w:w="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101.DEF</w:t>
            </w:r>
          </w:p>
        </w:tc>
        <w:tc>
          <w:tcPr>
            <w:tcW w:w="8940" w:type="dxa"/>
            <w:vAlign w:val="bottom"/>
            <w:gridSpan w:val="28"/>
          </w:tcPr>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c>
          <w:tcPr>
            <w:tcW w:w="0" w:type="dxa"/>
            <w:vAlign w:val="bottom"/>
          </w:tcPr>
          <w:p>
            <w:pPr>
              <w:spacing w:after="0"/>
              <w:rPr>
                <w:sz w:val="1"/>
                <w:szCs w:val="1"/>
                <w:color w:val="auto"/>
              </w:rPr>
            </w:pPr>
          </w:p>
        </w:tc>
      </w:tr>
      <w:tr>
        <w:trPr>
          <w:trHeight w:val="209"/>
        </w:trPr>
        <w:tc>
          <w:tcPr>
            <w:tcW w:w="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101.LAB</w:t>
            </w:r>
          </w:p>
        </w:tc>
        <w:tc>
          <w:tcPr>
            <w:tcW w:w="8940" w:type="dxa"/>
            <w:vAlign w:val="bottom"/>
            <w:gridSpan w:val="28"/>
          </w:tcPr>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c>
          <w:tcPr>
            <w:tcW w:w="0" w:type="dxa"/>
            <w:vAlign w:val="bottom"/>
          </w:tcPr>
          <w:p>
            <w:pPr>
              <w:spacing w:after="0"/>
              <w:rPr>
                <w:sz w:val="1"/>
                <w:szCs w:val="1"/>
                <w:color w:val="auto"/>
              </w:rPr>
            </w:pPr>
          </w:p>
        </w:tc>
      </w:tr>
      <w:tr>
        <w:trPr>
          <w:trHeight w:val="227"/>
        </w:trPr>
        <w:tc>
          <w:tcPr>
            <w:tcW w:w="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101.PRE</w:t>
            </w:r>
          </w:p>
        </w:tc>
        <w:tc>
          <w:tcPr>
            <w:tcW w:w="8940" w:type="dxa"/>
            <w:vAlign w:val="bottom"/>
            <w:gridSpan w:val="28"/>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c>
          <w:tcPr>
            <w:tcW w:w="0" w:type="dxa"/>
            <w:vAlign w:val="bottom"/>
          </w:tcPr>
          <w:p>
            <w:pPr>
              <w:spacing w:after="0"/>
              <w:rPr>
                <w:sz w:val="1"/>
                <w:szCs w:val="1"/>
                <w:color w:val="auto"/>
              </w:rPr>
            </w:pPr>
          </w:p>
        </w:tc>
      </w:tr>
    </w:tbl>
    <w:p>
      <w:pPr>
        <w:ind w:left="960" w:right="1000" w:hanging="955"/>
        <w:spacing w:after="0" w:line="272" w:lineRule="auto"/>
        <w:tabs>
          <w:tab w:leader="none" w:pos="9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15748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574800" cy="8255"/>
                    </a:xfrm>
                    <a:prstGeom prst="rect">
                      <a:avLst/>
                    </a:prstGeom>
                    <a:noFill/>
                  </pic:spPr>
                </pic:pic>
              </a:graphicData>
            </a:graphic>
          </wp:anchor>
        </w:drawing>
      </w:r>
    </w:p>
    <w:p>
      <w:pPr>
        <w:spacing w:after="0" w:line="145" w:lineRule="exact"/>
        <w:rPr>
          <w:sz w:val="20"/>
          <w:szCs w:val="20"/>
          <w:color w:val="auto"/>
        </w:rPr>
      </w:pPr>
    </w:p>
    <w:p>
      <w:pPr>
        <w:ind w:right="4920" w:firstLine="5"/>
        <w:spacing w:after="0" w:line="267" w:lineRule="auto"/>
        <w:tabs>
          <w:tab w:leader="none" w:pos="131"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management contract or compensatory plan or arrangement. * Filed herewith.</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4" w:lineRule="exact"/>
        <w:rPr>
          <w:sz w:val="20"/>
          <w:szCs w:val="20"/>
          <w:color w:val="auto"/>
        </w:rPr>
      </w:pPr>
    </w:p>
    <w:p>
      <w:pPr>
        <w:ind w:firstLine="313"/>
        <w:spacing w:after="0" w:line="295" w:lineRule="auto"/>
        <w:rPr>
          <w:sz w:val="20"/>
          <w:szCs w:val="20"/>
          <w:color w:val="auto"/>
        </w:rPr>
      </w:pPr>
      <w:r>
        <w:rPr>
          <w:rFonts w:ascii="Times New Roman" w:cs="Times New Roman" w:eastAsia="Times New Roman" w:hAnsi="Times New Roman"/>
          <w:sz w:val="17"/>
          <w:szCs w:val="17"/>
          <w:color w:val="auto"/>
        </w:rPr>
        <w:t>Pursuant to the requirements of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3220" w:type="dxa"/>
            <w:vAlign w:val="bottom"/>
          </w:tcPr>
          <w:p>
            <w:pPr>
              <w:spacing w:after="0"/>
              <w:rPr>
                <w:sz w:val="18"/>
                <w:szCs w:val="18"/>
                <w:color w:val="auto"/>
              </w:rPr>
            </w:pPr>
          </w:p>
        </w:tc>
        <w:tc>
          <w:tcPr>
            <w:tcW w:w="6680" w:type="dxa"/>
            <w:vAlign w:val="bottom"/>
            <w:gridSpan w:val="2"/>
          </w:tcPr>
          <w:p>
            <w:pPr>
              <w:ind w:left="1720"/>
              <w:spacing w:after="0"/>
              <w:rPr>
                <w:sz w:val="20"/>
                <w:szCs w:val="20"/>
                <w:color w:val="auto"/>
              </w:rPr>
            </w:pPr>
            <w:r>
              <w:rPr>
                <w:rFonts w:ascii="Times New Roman" w:cs="Times New Roman" w:eastAsia="Times New Roman" w:hAnsi="Times New Roman"/>
                <w:sz w:val="17"/>
                <w:szCs w:val="17"/>
                <w:b w:val="1"/>
                <w:bCs w:val="1"/>
                <w:color w:val="auto"/>
              </w:rPr>
              <w:t>ZURA BIO LIMITED</w:t>
            </w:r>
          </w:p>
        </w:tc>
      </w:tr>
      <w:tr>
        <w:trPr>
          <w:trHeight w:val="227"/>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Date: August 14, 2025</w:t>
            </w:r>
          </w:p>
        </w:tc>
        <w:tc>
          <w:tcPr>
            <w:tcW w:w="222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By:</w:t>
            </w:r>
          </w:p>
        </w:tc>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Robert Lisicki</w:t>
            </w:r>
          </w:p>
        </w:tc>
      </w:tr>
      <w:tr>
        <w:trPr>
          <w:trHeight w:val="184"/>
        </w:trPr>
        <w:tc>
          <w:tcPr>
            <w:tcW w:w="3220" w:type="dxa"/>
            <w:vAlign w:val="bottom"/>
          </w:tcPr>
          <w:p>
            <w:pPr>
              <w:spacing w:after="0"/>
              <w:rPr>
                <w:sz w:val="15"/>
                <w:szCs w:val="15"/>
                <w:color w:val="auto"/>
              </w:rPr>
            </w:pPr>
          </w:p>
        </w:tc>
        <w:tc>
          <w:tcPr>
            <w:tcW w:w="2220" w:type="dxa"/>
            <w:vAlign w:val="bottom"/>
          </w:tcPr>
          <w:p>
            <w:pPr>
              <w:ind w:left="1720"/>
              <w:spacing w:after="0" w:line="184" w:lineRule="exact"/>
              <w:rPr>
                <w:sz w:val="20"/>
                <w:szCs w:val="20"/>
                <w:color w:val="auto"/>
              </w:rPr>
            </w:pPr>
            <w:r>
              <w:rPr>
                <w:rFonts w:ascii="Times New Roman" w:cs="Times New Roman" w:eastAsia="Times New Roman" w:hAnsi="Times New Roman"/>
                <w:sz w:val="17"/>
                <w:szCs w:val="17"/>
                <w:color w:val="auto"/>
              </w:rPr>
              <w:t>Name:</w:t>
            </w:r>
          </w:p>
        </w:tc>
        <w:tc>
          <w:tcPr>
            <w:tcW w:w="446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Robert Lisicki</w:t>
            </w:r>
          </w:p>
        </w:tc>
      </w:tr>
      <w:tr>
        <w:trPr>
          <w:trHeight w:val="209"/>
        </w:trPr>
        <w:tc>
          <w:tcPr>
            <w:tcW w:w="3220" w:type="dxa"/>
            <w:vAlign w:val="bottom"/>
          </w:tcPr>
          <w:p>
            <w:pPr>
              <w:spacing w:after="0"/>
              <w:rPr>
                <w:sz w:val="18"/>
                <w:szCs w:val="18"/>
                <w:color w:val="auto"/>
              </w:rPr>
            </w:pPr>
          </w:p>
        </w:tc>
        <w:tc>
          <w:tcPr>
            <w:tcW w:w="222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09"/>
        </w:trPr>
        <w:tc>
          <w:tcPr>
            <w:tcW w:w="3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227"/>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Date: August 14, 2025</w:t>
            </w:r>
          </w:p>
        </w:tc>
        <w:tc>
          <w:tcPr>
            <w:tcW w:w="222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By:</w:t>
            </w:r>
          </w:p>
        </w:tc>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Eric Hyllengren</w:t>
            </w:r>
          </w:p>
        </w:tc>
      </w:tr>
      <w:tr>
        <w:trPr>
          <w:trHeight w:val="184"/>
        </w:trPr>
        <w:tc>
          <w:tcPr>
            <w:tcW w:w="3220" w:type="dxa"/>
            <w:vAlign w:val="bottom"/>
          </w:tcPr>
          <w:p>
            <w:pPr>
              <w:spacing w:after="0"/>
              <w:rPr>
                <w:sz w:val="15"/>
                <w:szCs w:val="15"/>
                <w:color w:val="auto"/>
              </w:rPr>
            </w:pPr>
          </w:p>
        </w:tc>
        <w:tc>
          <w:tcPr>
            <w:tcW w:w="2220" w:type="dxa"/>
            <w:vAlign w:val="bottom"/>
          </w:tcPr>
          <w:p>
            <w:pPr>
              <w:ind w:left="1720"/>
              <w:spacing w:after="0" w:line="184" w:lineRule="exact"/>
              <w:rPr>
                <w:sz w:val="20"/>
                <w:szCs w:val="20"/>
                <w:color w:val="auto"/>
              </w:rPr>
            </w:pPr>
            <w:r>
              <w:rPr>
                <w:rFonts w:ascii="Times New Roman" w:cs="Times New Roman" w:eastAsia="Times New Roman" w:hAnsi="Times New Roman"/>
                <w:sz w:val="17"/>
                <w:szCs w:val="17"/>
                <w:color w:val="auto"/>
              </w:rPr>
              <w:t>Name:</w:t>
            </w:r>
          </w:p>
        </w:tc>
        <w:tc>
          <w:tcPr>
            <w:tcW w:w="446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Eric Hyllengren</w:t>
            </w:r>
          </w:p>
        </w:tc>
      </w:tr>
      <w:tr>
        <w:trPr>
          <w:trHeight w:val="209"/>
        </w:trPr>
        <w:tc>
          <w:tcPr>
            <w:tcW w:w="3220" w:type="dxa"/>
            <w:vAlign w:val="bottom"/>
          </w:tcPr>
          <w:p>
            <w:pPr>
              <w:spacing w:after="0"/>
              <w:rPr>
                <w:sz w:val="18"/>
                <w:szCs w:val="18"/>
                <w:color w:val="auto"/>
              </w:rPr>
            </w:pPr>
          </w:p>
        </w:tc>
        <w:tc>
          <w:tcPr>
            <w:tcW w:w="222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7"/>
        </w:trPr>
        <w:tc>
          <w:tcPr>
            <w:tcW w:w="32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tc>
      </w:tr>
      <w:tr>
        <w:trPr>
          <w:trHeight w:val="848"/>
        </w:trPr>
        <w:tc>
          <w:tcPr>
            <w:tcW w:w="3220" w:type="dxa"/>
            <w:vAlign w:val="bottom"/>
          </w:tcPr>
          <w:p>
            <w:pPr>
              <w:spacing w:after="0"/>
              <w:rPr>
                <w:sz w:val="24"/>
                <w:szCs w:val="24"/>
                <w:color w:val="auto"/>
              </w:rPr>
            </w:pPr>
          </w:p>
        </w:tc>
        <w:tc>
          <w:tcPr>
            <w:tcW w:w="2220" w:type="dxa"/>
            <w:vAlign w:val="bottom"/>
          </w:tcPr>
          <w:p>
            <w:pPr>
              <w:ind w:left="1640"/>
              <w:spacing w:after="0"/>
              <w:rPr>
                <w:sz w:val="20"/>
                <w:szCs w:val="20"/>
                <w:color w:val="auto"/>
              </w:rPr>
            </w:pPr>
            <w:r>
              <w:rPr>
                <w:rFonts w:ascii="Times New Roman" w:cs="Times New Roman" w:eastAsia="Times New Roman" w:hAnsi="Times New Roman"/>
                <w:sz w:val="17"/>
                <w:szCs w:val="17"/>
                <w:color w:val="auto"/>
              </w:rPr>
              <w:t>48</w:t>
            </w:r>
          </w:p>
        </w:tc>
        <w:tc>
          <w:tcPr>
            <w:tcW w:w="4460" w:type="dxa"/>
            <w:vAlign w:val="bottom"/>
          </w:tcPr>
          <w:p>
            <w:pPr>
              <w:spacing w:after="0"/>
              <w:rPr>
                <w:sz w:val="24"/>
                <w:szCs w:val="24"/>
                <w:color w:val="auto"/>
              </w:rPr>
            </w:pPr>
          </w:p>
        </w:tc>
      </w:tr>
      <w:tr>
        <w:trPr>
          <w:trHeight w:val="528"/>
        </w:trPr>
        <w:tc>
          <w:tcPr>
            <w:tcW w:w="32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w:t>
      </w:r>
      <w:r>
        <w:rPr>
          <w:rFonts w:ascii="Times New Roman" w:cs="Times New Roman" w:eastAsia="Times New Roman" w:hAnsi="Times New Roman"/>
          <w:sz w:val="11"/>
          <w:szCs w:val="11"/>
          <w:b w:val="1"/>
          <w:bCs w:val="1"/>
          <w:color w:val="auto"/>
        </w:rPr>
        <w:t>ura</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1"/>
          <w:szCs w:val="11"/>
          <w:b w:val="1"/>
          <w:bCs w:val="1"/>
          <w:color w:val="auto"/>
        </w:rPr>
        <w:t>io</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1"/>
          <w:szCs w:val="11"/>
          <w:b w:val="1"/>
          <w:bCs w:val="1"/>
          <w:color w:val="auto"/>
        </w:rPr>
        <w:t>imited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on</w:t>
      </w: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1"/>
          <w:szCs w:val="11"/>
          <w:b w:val="1"/>
          <w:bCs w:val="1"/>
          <w:color w:val="auto"/>
        </w:rPr>
        <w:t>mployee</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irector</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ompensation</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olicy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dopted</w:t>
      </w:r>
      <w:r>
        <w:rPr>
          <w:rFonts w:ascii="Times New Roman" w:cs="Times New Roman" w:eastAsia="Times New Roman" w:hAnsi="Times New Roman"/>
          <w:sz w:val="17"/>
          <w:szCs w:val="17"/>
          <w:b w:val="1"/>
          <w:bCs w:val="1"/>
          <w:color w:val="auto"/>
        </w:rPr>
        <w:t>: A</w:t>
      </w:r>
      <w:r>
        <w:rPr>
          <w:rFonts w:ascii="Times New Roman" w:cs="Times New Roman" w:eastAsia="Times New Roman" w:hAnsi="Times New Roman"/>
          <w:sz w:val="11"/>
          <w:szCs w:val="11"/>
          <w:b w:val="1"/>
          <w:bCs w:val="1"/>
          <w:color w:val="auto"/>
        </w:rPr>
        <w:t>pril</w:t>
      </w:r>
      <w:r>
        <w:rPr>
          <w:rFonts w:ascii="Times New Roman" w:cs="Times New Roman" w:eastAsia="Times New Roman" w:hAnsi="Times New Roman"/>
          <w:sz w:val="17"/>
          <w:szCs w:val="17"/>
          <w:b w:val="1"/>
          <w:bCs w:val="1"/>
          <w:color w:val="auto"/>
        </w:rPr>
        <w:t xml:space="preserve"> 22, 2025</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Each member of the Board of Directors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of Zura Bio Limited, a Cayman Islands exempted company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who is not also serving as an employee of or consultant to the Company or any of its subsidiaries (each such member, an “</w:t>
      </w:r>
      <w:r>
        <w:rPr>
          <w:rFonts w:ascii="Times New Roman" w:cs="Times New Roman" w:eastAsia="Times New Roman" w:hAnsi="Times New Roman"/>
          <w:sz w:val="17"/>
          <w:szCs w:val="17"/>
          <w:b w:val="1"/>
          <w:bCs w:val="1"/>
          <w:i w:val="1"/>
          <w:iCs w:val="1"/>
          <w:color w:val="auto"/>
        </w:rPr>
        <w:t>Eligible Director</w:t>
      </w:r>
      <w:r>
        <w:rPr>
          <w:rFonts w:ascii="Times New Roman" w:cs="Times New Roman" w:eastAsia="Times New Roman" w:hAnsi="Times New Roman"/>
          <w:sz w:val="17"/>
          <w:szCs w:val="17"/>
          <w:color w:val="auto"/>
        </w:rPr>
        <w:t>”), will receive the compensation described in this Non-Employee Director Compensation Policy (this “</w:t>
      </w:r>
      <w:r>
        <w:rPr>
          <w:rFonts w:ascii="Times New Roman" w:cs="Times New Roman" w:eastAsia="Times New Roman" w:hAnsi="Times New Roman"/>
          <w:sz w:val="17"/>
          <w:szCs w:val="17"/>
          <w:b w:val="1"/>
          <w:bCs w:val="1"/>
          <w:i w:val="1"/>
          <w:iCs w:val="1"/>
          <w:color w:val="auto"/>
        </w:rPr>
        <w:t>Policy</w:t>
      </w:r>
      <w:r>
        <w:rPr>
          <w:rFonts w:ascii="Times New Roman" w:cs="Times New Roman" w:eastAsia="Times New Roman" w:hAnsi="Times New Roman"/>
          <w:sz w:val="17"/>
          <w:szCs w:val="17"/>
          <w:color w:val="auto"/>
        </w:rPr>
        <w:t>”) for his or her Board service upon and following April 1, 2025 (the “</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 This Policy will be effective as of the Effective Date and may be amended at any time in the sole discretion of the Board or the Compensation Committee of the Board (the “</w:t>
      </w:r>
      <w:r>
        <w:rPr>
          <w:rFonts w:ascii="Times New Roman" w:cs="Times New Roman" w:eastAsia="Times New Roman" w:hAnsi="Times New Roman"/>
          <w:sz w:val="17"/>
          <w:szCs w:val="17"/>
          <w:b w:val="1"/>
          <w:bCs w:val="1"/>
          <w:i w:val="1"/>
          <w:iCs w:val="1"/>
          <w:color w:val="auto"/>
        </w:rPr>
        <w:t>Compensation Committee</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640" w:hanging="635"/>
        <w:spacing w:after="0"/>
        <w:tabs>
          <w:tab w:leader="none" w:pos="640"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Annual Cash Compensation</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Commencing on the Effective Date, each Eligible Director will receive the cash compensation set forth below for service on the Board. Cash compensation amounts will be paid in equal quarterly installments, payable in arrears on the last day of each fiscal quarter in which the service occurred. If an Eligible Director joins the Board or a committee of the Board other than effective as of the first day of a fiscal quarter, each annual retainer set forth below will be pro-rated based on days served in the applicable fiscal quarter, with the pro-rated amount paid for the first fiscal quarter in which the Eligible Director provides service and regular full quarterly payments thereafter. All annual cash fees are vested upon payment.</w:t>
      </w:r>
    </w:p>
    <w:p>
      <w:pPr>
        <w:spacing w:after="0" w:line="172" w:lineRule="exact"/>
        <w:rPr>
          <w:sz w:val="20"/>
          <w:szCs w:val="20"/>
          <w:color w:val="auto"/>
        </w:rPr>
      </w:pPr>
    </w:p>
    <w:p>
      <w:pPr>
        <w:ind w:left="640" w:hanging="635"/>
        <w:spacing w:after="0"/>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Board Service Retainer</w:t>
      </w:r>
      <w:r>
        <w:rPr>
          <w:rFonts w:ascii="Times New Roman" w:cs="Times New Roman" w:eastAsia="Times New Roman" w:hAnsi="Times New Roman"/>
          <w:sz w:val="17"/>
          <w:szCs w:val="17"/>
          <w:color w:val="auto"/>
        </w:rPr>
        <w:t>:</w:t>
      </w:r>
    </w:p>
    <w:p>
      <w:pPr>
        <w:spacing w:after="0" w:line="31" w:lineRule="exact"/>
        <w:rPr>
          <w:rFonts w:ascii="Times New Roman" w:cs="Times New Roman" w:eastAsia="Times New Roman" w:hAnsi="Times New Roman"/>
          <w:sz w:val="17"/>
          <w:szCs w:val="17"/>
          <w:color w:val="auto"/>
        </w:rPr>
      </w:pPr>
    </w:p>
    <w:p>
      <w:pPr>
        <w:ind w:left="1260" w:hanging="628"/>
        <w:spacing w:after="0"/>
        <w:tabs>
          <w:tab w:leader="none" w:pos="12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Eligible Directors: US$40,000</w:t>
      </w:r>
    </w:p>
    <w:p>
      <w:pPr>
        <w:spacing w:after="0" w:line="13" w:lineRule="exact"/>
        <w:rPr>
          <w:rFonts w:ascii="Times New Roman" w:cs="Times New Roman" w:eastAsia="Times New Roman" w:hAnsi="Times New Roman"/>
          <w:sz w:val="17"/>
          <w:szCs w:val="17"/>
          <w:color w:val="auto"/>
        </w:rPr>
      </w:pPr>
    </w:p>
    <w:p>
      <w:pPr>
        <w:ind w:left="1260" w:hanging="628"/>
        <w:spacing w:after="0"/>
        <w:tabs>
          <w:tab w:leader="none" w:pos="12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Non-Executive Chair of the Board (in addition to Eligible Director Annual Board Service Retainer): US$25,000</w:t>
      </w:r>
    </w:p>
    <w:p>
      <w:pPr>
        <w:spacing w:after="0" w:line="204"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Committee Chair Service Retainer</w:t>
      </w:r>
      <w:r>
        <w:rPr>
          <w:rFonts w:ascii="Times New Roman" w:cs="Times New Roman" w:eastAsia="Times New Roman" w:hAnsi="Times New Roman"/>
          <w:sz w:val="17"/>
          <w:szCs w:val="17"/>
          <w:color w:val="auto"/>
        </w:rPr>
        <w:t>:</w:t>
      </w:r>
    </w:p>
    <w:p>
      <w:pPr>
        <w:spacing w:after="0" w:line="31" w:lineRule="exact"/>
        <w:rPr>
          <w:rFonts w:ascii="Times New Roman" w:cs="Times New Roman" w:eastAsia="Times New Roman" w:hAnsi="Times New Roman"/>
          <w:sz w:val="17"/>
          <w:szCs w:val="17"/>
          <w:color w:val="auto"/>
        </w:rPr>
      </w:pPr>
    </w:p>
    <w:p>
      <w:pPr>
        <w:ind w:left="1260" w:hanging="628"/>
        <w:spacing w:after="0"/>
        <w:tabs>
          <w:tab w:leader="none" w:pos="12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Chair of the Audit Committee: US$16,000</w:t>
      </w:r>
    </w:p>
    <w:p>
      <w:pPr>
        <w:spacing w:after="0" w:line="13" w:lineRule="exact"/>
        <w:rPr>
          <w:rFonts w:ascii="Times New Roman" w:cs="Times New Roman" w:eastAsia="Times New Roman" w:hAnsi="Times New Roman"/>
          <w:sz w:val="17"/>
          <w:szCs w:val="17"/>
          <w:color w:val="auto"/>
        </w:rPr>
      </w:pPr>
    </w:p>
    <w:p>
      <w:pPr>
        <w:ind w:left="1260" w:hanging="628"/>
        <w:spacing w:after="0"/>
        <w:tabs>
          <w:tab w:leader="none" w:pos="12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Chair of the Compensation Committee: US$12,000</w:t>
      </w:r>
    </w:p>
    <w:p>
      <w:pPr>
        <w:spacing w:after="0" w:line="13" w:lineRule="exact"/>
        <w:rPr>
          <w:rFonts w:ascii="Times New Roman" w:cs="Times New Roman" w:eastAsia="Times New Roman" w:hAnsi="Times New Roman"/>
          <w:sz w:val="17"/>
          <w:szCs w:val="17"/>
          <w:color w:val="auto"/>
        </w:rPr>
      </w:pPr>
    </w:p>
    <w:p>
      <w:pPr>
        <w:ind w:left="1260" w:hanging="628"/>
        <w:spacing w:after="0"/>
        <w:tabs>
          <w:tab w:leader="none" w:pos="12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Chair of the Nominating and Corporate Governance Committee: US$10,000</w:t>
      </w:r>
    </w:p>
    <w:p>
      <w:pPr>
        <w:spacing w:after="0" w:line="204"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Committee Member Compensation (not applicable to Committee Chairs)</w:t>
      </w:r>
      <w:r>
        <w:rPr>
          <w:rFonts w:ascii="Times New Roman" w:cs="Times New Roman" w:eastAsia="Times New Roman" w:hAnsi="Times New Roman"/>
          <w:sz w:val="17"/>
          <w:szCs w:val="17"/>
          <w:color w:val="auto"/>
        </w:rPr>
        <w:t>:</w:t>
      </w:r>
    </w:p>
    <w:p>
      <w:pPr>
        <w:spacing w:after="0" w:line="31" w:lineRule="exact"/>
        <w:rPr>
          <w:rFonts w:ascii="Times New Roman" w:cs="Times New Roman" w:eastAsia="Times New Roman" w:hAnsi="Times New Roman"/>
          <w:sz w:val="17"/>
          <w:szCs w:val="17"/>
          <w:color w:val="auto"/>
        </w:rPr>
      </w:pPr>
    </w:p>
    <w:p>
      <w:pPr>
        <w:ind w:left="1260" w:hanging="628"/>
        <w:spacing w:after="0"/>
        <w:tabs>
          <w:tab w:leader="none" w:pos="12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Audit Committee: US$8,000</w:t>
      </w:r>
    </w:p>
    <w:p>
      <w:pPr>
        <w:spacing w:after="0" w:line="13" w:lineRule="exact"/>
        <w:rPr>
          <w:rFonts w:ascii="Times New Roman" w:cs="Times New Roman" w:eastAsia="Times New Roman" w:hAnsi="Times New Roman"/>
          <w:sz w:val="17"/>
          <w:szCs w:val="17"/>
          <w:color w:val="auto"/>
        </w:rPr>
      </w:pPr>
    </w:p>
    <w:p>
      <w:pPr>
        <w:ind w:left="1260" w:hanging="628"/>
        <w:spacing w:after="0"/>
        <w:tabs>
          <w:tab w:leader="none" w:pos="12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Compensation Committee: US$6,000</w:t>
      </w:r>
    </w:p>
    <w:p>
      <w:pPr>
        <w:spacing w:after="0" w:line="13" w:lineRule="exact"/>
        <w:rPr>
          <w:rFonts w:ascii="Times New Roman" w:cs="Times New Roman" w:eastAsia="Times New Roman" w:hAnsi="Times New Roman"/>
          <w:sz w:val="17"/>
          <w:szCs w:val="17"/>
          <w:color w:val="auto"/>
        </w:rPr>
      </w:pPr>
    </w:p>
    <w:p>
      <w:pPr>
        <w:ind w:left="1260" w:hanging="628"/>
        <w:spacing w:after="0"/>
        <w:tabs>
          <w:tab w:leader="none" w:pos="12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Nominating and Corporate Governance Committee: US$6,000</w:t>
      </w:r>
    </w:p>
    <w:p>
      <w:pPr>
        <w:spacing w:after="0" w:line="202" w:lineRule="exact"/>
        <w:rPr>
          <w:sz w:val="20"/>
          <w:szCs w:val="20"/>
          <w:color w:val="auto"/>
        </w:rPr>
      </w:pPr>
    </w:p>
    <w:p>
      <w:pPr>
        <w:ind w:left="640" w:hanging="635"/>
        <w:spacing w:after="0"/>
        <w:tabs>
          <w:tab w:leader="none" w:pos="640"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Equity Compensation</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Equity awards will be granted under the Company’s 2023 Equity Incentive Plan, as may be amended from time to time, or any successor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All equity awards granted pursuant to this Policy will be Nonqualified Stock Options (as defined in the Plan) to purchase Class A ordinary shares of the Company (the “</w:t>
      </w:r>
      <w:r>
        <w:rPr>
          <w:rFonts w:ascii="Times New Roman" w:cs="Times New Roman" w:eastAsia="Times New Roman" w:hAnsi="Times New Roman"/>
          <w:sz w:val="17"/>
          <w:szCs w:val="17"/>
          <w:b w:val="1"/>
          <w:bCs w:val="1"/>
          <w:i w:val="1"/>
          <w:iCs w:val="1"/>
          <w:color w:val="auto"/>
        </w:rPr>
        <w:t>Class A Ordinary Shares</w:t>
      </w:r>
      <w:r>
        <w:rPr>
          <w:rFonts w:ascii="Times New Roman" w:cs="Times New Roman" w:eastAsia="Times New Roman" w:hAnsi="Times New Roman"/>
          <w:sz w:val="17"/>
          <w:szCs w:val="17"/>
          <w:color w:val="auto"/>
        </w:rPr>
        <w:t>”). Nonqualified Stock Options will have an exercise price per share equal to 100% of the Fair Market Value (as defined in the Plan) of the underlying Class A Ordinary Shares on the date of grant and a term of ten years from</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24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color w:val="auto"/>
        </w:rPr>
        <w:t>the date of grant (subject to earlier termination in connection with a termination of service as provided in the Plan).</w:t>
      </w:r>
    </w:p>
    <w:p>
      <w:pPr>
        <w:spacing w:after="0" w:line="220" w:lineRule="exact"/>
        <w:rPr>
          <w:sz w:val="20"/>
          <w:szCs w:val="20"/>
          <w:color w:val="auto"/>
        </w:rPr>
      </w:pPr>
    </w:p>
    <w:p>
      <w:pPr>
        <w:ind w:left="1260" w:hanging="628"/>
        <w:spacing w:after="0"/>
        <w:tabs>
          <w:tab w:leader="none" w:pos="1260" w:val="left"/>
        </w:tabs>
        <w:numPr>
          <w:ilvl w:val="1"/>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Automatic Equity Grants.</w:t>
      </w:r>
    </w:p>
    <w:p>
      <w:pPr>
        <w:spacing w:after="0" w:line="222" w:lineRule="exact"/>
        <w:rPr>
          <w:rFonts w:ascii="Times New Roman" w:cs="Times New Roman" w:eastAsia="Times New Roman" w:hAnsi="Times New Roman"/>
          <w:sz w:val="17"/>
          <w:szCs w:val="17"/>
          <w:b w:val="1"/>
          <w:bCs w:val="1"/>
          <w:color w:val="auto"/>
        </w:rPr>
      </w:pPr>
    </w:p>
    <w:p>
      <w:pPr>
        <w:jc w:val="both"/>
        <w:ind w:firstLine="1258"/>
        <w:spacing w:after="0" w:line="263" w:lineRule="auto"/>
        <w:tabs>
          <w:tab w:leader="none" w:pos="1880" w:val="left"/>
        </w:tabs>
        <w:numPr>
          <w:ilvl w:val="2"/>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Initial Grant. </w:t>
      </w:r>
      <w:r>
        <w:rPr>
          <w:rFonts w:ascii="Times New Roman" w:cs="Times New Roman" w:eastAsia="Times New Roman" w:hAnsi="Times New Roman"/>
          <w:sz w:val="17"/>
          <w:szCs w:val="17"/>
          <w:color w:val="auto"/>
        </w:rPr>
        <w:t>Subject to approval of the Board or Compensation Committee, each person who, after the Effective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 is elected or appointed for the first time to be an Eligible Director will, upon the date of his or her initial election or appointment to be an Eligible Director (or, if such date is not a market trading day, the first market trading day thereafter), be granted a stock option to purchase the lesser of (i) 51,000 Class A Ordinary Shares and (ii) the maximum number of Class A Ordinary Shares that would result in the option having an Option Value of not more than $200,000 (the “</w:t>
      </w:r>
      <w:r>
        <w:rPr>
          <w:rFonts w:ascii="Times New Roman" w:cs="Times New Roman" w:eastAsia="Times New Roman" w:hAnsi="Times New Roman"/>
          <w:sz w:val="17"/>
          <w:szCs w:val="17"/>
          <w:b w:val="1"/>
          <w:bCs w:val="1"/>
          <w:i w:val="1"/>
          <w:iCs w:val="1"/>
          <w:color w:val="auto"/>
        </w:rPr>
        <w:t>Initial Option Grant</w:t>
      </w:r>
      <w:r>
        <w:rPr>
          <w:rFonts w:ascii="Times New Roman" w:cs="Times New Roman" w:eastAsia="Times New Roman" w:hAnsi="Times New Roman"/>
          <w:sz w:val="17"/>
          <w:szCs w:val="17"/>
          <w:color w:val="auto"/>
        </w:rPr>
        <w:t xml:space="preserve">”). Each Initial Option Grant will vest in a series of 12 successive substantially equal monthly installments over the one-year period measured from the date of grant;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any remaining unvested portion of the Initial Option Grant will vest as of the day immediately preceding the next Annual Meeting.</w:t>
      </w:r>
    </w:p>
    <w:p>
      <w:pPr>
        <w:spacing w:after="0" w:line="171" w:lineRule="exact"/>
        <w:rPr>
          <w:rFonts w:ascii="Times New Roman" w:cs="Times New Roman" w:eastAsia="Times New Roman" w:hAnsi="Times New Roman"/>
          <w:sz w:val="17"/>
          <w:szCs w:val="17"/>
          <w:b w:val="1"/>
          <w:bCs w:val="1"/>
          <w:color w:val="auto"/>
        </w:rPr>
      </w:pPr>
    </w:p>
    <w:p>
      <w:pPr>
        <w:jc w:val="both"/>
        <w:ind w:firstLine="1258"/>
        <w:spacing w:after="0" w:line="264" w:lineRule="auto"/>
        <w:tabs>
          <w:tab w:leader="none" w:pos="1880" w:val="left"/>
        </w:tabs>
        <w:numPr>
          <w:ilvl w:val="2"/>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Annual Grant. </w:t>
      </w:r>
      <w:r>
        <w:rPr>
          <w:rFonts w:ascii="Times New Roman" w:cs="Times New Roman" w:eastAsia="Times New Roman" w:hAnsi="Times New Roman"/>
          <w:sz w:val="17"/>
          <w:szCs w:val="17"/>
          <w:color w:val="auto"/>
        </w:rPr>
        <w:t>Without any further action of the Board or Compensation Committee, at the close of business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date of each annual general meeting of shareholders of the Company (an “</w:t>
      </w:r>
      <w:r>
        <w:rPr>
          <w:rFonts w:ascii="Times New Roman" w:cs="Times New Roman" w:eastAsia="Times New Roman" w:hAnsi="Times New Roman"/>
          <w:sz w:val="17"/>
          <w:szCs w:val="17"/>
          <w:b w:val="1"/>
          <w:bCs w:val="1"/>
          <w:i w:val="1"/>
          <w:iCs w:val="1"/>
          <w:color w:val="auto"/>
        </w:rPr>
        <w:t>Annual Meeting</w:t>
      </w:r>
      <w:r>
        <w:rPr>
          <w:rFonts w:ascii="Times New Roman" w:cs="Times New Roman" w:eastAsia="Times New Roman" w:hAnsi="Times New Roman"/>
          <w:sz w:val="17"/>
          <w:szCs w:val="17"/>
          <w:color w:val="auto"/>
        </w:rPr>
        <w:t>”) following the Effective Date, each person who is then an Eligible Director will automatically be granted a stock option to purchase the lesser of (i) 51,000 Class A Ordinary Shares and</w:t>
      </w:r>
    </w:p>
    <w:p>
      <w:pPr>
        <w:spacing w:after="0" w:line="1" w:lineRule="exact"/>
        <w:rPr>
          <w:rFonts w:ascii="Times New Roman" w:cs="Times New Roman" w:eastAsia="Times New Roman" w:hAnsi="Times New Roman"/>
          <w:sz w:val="17"/>
          <w:szCs w:val="17"/>
          <w:b w:val="1"/>
          <w:bCs w:val="1"/>
          <w:color w:val="auto"/>
        </w:rPr>
      </w:pPr>
    </w:p>
    <w:p>
      <w:pPr>
        <w:jc w:val="both"/>
        <w:ind w:firstLine="5"/>
        <w:spacing w:after="0" w:line="259" w:lineRule="auto"/>
        <w:tabs>
          <w:tab w:leader="none" w:pos="26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number of Class A Ordinary Shares that would result in the option having an Option Value of not more than $200,000 (the “</w:t>
      </w:r>
      <w:r>
        <w:rPr>
          <w:rFonts w:ascii="Times New Roman" w:cs="Times New Roman" w:eastAsia="Times New Roman" w:hAnsi="Times New Roman"/>
          <w:sz w:val="17"/>
          <w:szCs w:val="17"/>
          <w:b w:val="1"/>
          <w:bCs w:val="1"/>
          <w:i w:val="1"/>
          <w:iCs w:val="1"/>
          <w:color w:val="auto"/>
        </w:rPr>
        <w:t>Annual Option Grant</w:t>
      </w:r>
      <w:r>
        <w:rPr>
          <w:rFonts w:ascii="Times New Roman" w:cs="Times New Roman" w:eastAsia="Times New Roman" w:hAnsi="Times New Roman"/>
          <w:sz w:val="17"/>
          <w:szCs w:val="17"/>
          <w:color w:val="auto"/>
        </w:rPr>
        <w:t xml:space="preserve">”). Each Annual Option Grant will vest in a series of 12 successive substantially equal monthly installments over the one-year period measured from the date of grant;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any remaining unvested portion of the Annual Option Grant will vest as of the day immediately preceding the next Annual Meeting. Each Annual Option Grant will be prorated for each Eligible Director who was first elected or appointed to the Board less than one year prior to the applicable Annual Meeting, as follows: the number of shares underlying each Annual Option Grant shall be multiplied by a fraction, the numerator of which is the number of days between commencement of service as an Eligible Director and the date of such Annual Meeting, and the denominator of which is 365.</w:t>
      </w:r>
    </w:p>
    <w:p>
      <w:pPr>
        <w:spacing w:after="0" w:line="17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 foregoing share amounts shall be automatically adjusted in the event of any share split, reverse share split, share dividend, recapitalization, combination of shares, reclassification of shares, spin-off or other similar change in capitalization or event effecting our Class A Ordinary Shares, or any distribution to holders of our Class A Ordinary Shares other than an ordinary cash dividend.</w:t>
      </w:r>
    </w:p>
    <w:p>
      <w:pPr>
        <w:spacing w:after="0" w:line="159" w:lineRule="exact"/>
        <w:rPr>
          <w:sz w:val="20"/>
          <w:szCs w:val="20"/>
          <w:color w:val="auto"/>
        </w:rPr>
      </w:pPr>
    </w:p>
    <w:p>
      <w:pPr>
        <w:jc w:val="both"/>
        <w:ind w:firstLine="632"/>
        <w:spacing w:after="0" w:line="278" w:lineRule="auto"/>
        <w:tabs>
          <w:tab w:leader="none" w:pos="1253"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Option Value.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i w:val="1"/>
          <w:iCs w:val="1"/>
          <w:color w:val="auto"/>
        </w:rPr>
        <w:t>Option Value</w:t>
      </w:r>
      <w:r>
        <w:rPr>
          <w:rFonts w:ascii="Times New Roman" w:cs="Times New Roman" w:eastAsia="Times New Roman" w:hAnsi="Times New Roman"/>
          <w:sz w:val="17"/>
          <w:szCs w:val="17"/>
          <w:color w:val="auto"/>
        </w:rPr>
        <w:t>” of a stock option to be granted under this Policy will be determined using the same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method the Company uses to calculate the grant date fair value of stock options in its financial statements and shall be calculated on the date of grant.</w:t>
      </w:r>
    </w:p>
    <w:p>
      <w:pPr>
        <w:spacing w:after="0" w:line="156" w:lineRule="exact"/>
        <w:rPr>
          <w:rFonts w:ascii="Times New Roman" w:cs="Times New Roman" w:eastAsia="Times New Roman" w:hAnsi="Times New Roman"/>
          <w:sz w:val="17"/>
          <w:szCs w:val="17"/>
          <w:b w:val="1"/>
          <w:bCs w:val="1"/>
          <w:color w:val="auto"/>
        </w:rPr>
      </w:pPr>
    </w:p>
    <w:p>
      <w:pPr>
        <w:jc w:val="both"/>
        <w:ind w:firstLine="632"/>
        <w:spacing w:after="0" w:line="270" w:lineRule="auto"/>
        <w:tabs>
          <w:tab w:leader="none" w:pos="1253"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Vesting; Change in Control. </w:t>
      </w:r>
      <w:r>
        <w:rPr>
          <w:rFonts w:ascii="Times New Roman" w:cs="Times New Roman" w:eastAsia="Times New Roman" w:hAnsi="Times New Roman"/>
          <w:sz w:val="17"/>
          <w:szCs w:val="17"/>
          <w:color w:val="auto"/>
        </w:rPr>
        <w:t>All vesting is subject to the Eligible Director not having experienced a “</w:t>
      </w:r>
      <w:r>
        <w:rPr>
          <w:rFonts w:ascii="Times New Roman" w:cs="Times New Roman" w:eastAsia="Times New Roman" w:hAnsi="Times New Roman"/>
          <w:sz w:val="17"/>
          <w:szCs w:val="17"/>
          <w:b w:val="1"/>
          <w:bCs w:val="1"/>
          <w:i w:val="1"/>
          <w:iCs w:val="1"/>
          <w:color w:val="auto"/>
        </w:rPr>
        <w:t>Termination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Employment</w:t>
      </w:r>
      <w:r>
        <w:rPr>
          <w:rFonts w:ascii="Times New Roman" w:cs="Times New Roman" w:eastAsia="Times New Roman" w:hAnsi="Times New Roman"/>
          <w:sz w:val="17"/>
          <w:szCs w:val="17"/>
          <w:color w:val="auto"/>
        </w:rPr>
        <w:t>” (as defined in the Plan) on each applicable vesting date. Notwithstanding the foregoing vesting schedules, for each Eligible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 who has not experienced a Termination of Employment as of immediately prior to the closing of a “</w:t>
      </w:r>
      <w:r>
        <w:rPr>
          <w:rFonts w:ascii="Times New Roman" w:cs="Times New Roman" w:eastAsia="Times New Roman" w:hAnsi="Times New Roman"/>
          <w:sz w:val="17"/>
          <w:szCs w:val="17"/>
          <w:b w:val="1"/>
          <w:bCs w:val="1"/>
          <w:i w:val="1"/>
          <w:iCs w:val="1"/>
          <w:color w:val="auto"/>
        </w:rPr>
        <w:t>Change in Control</w:t>
      </w:r>
      <w:r>
        <w:rPr>
          <w:rFonts w:ascii="Times New Roman" w:cs="Times New Roman" w:eastAsia="Times New Roman" w:hAnsi="Times New Roman"/>
          <w:sz w:val="17"/>
          <w:szCs w:val="17"/>
          <w:color w:val="auto"/>
        </w:rPr>
        <w:t>” (as defined in the Plan), the shares subject to his or her then-outstanding equity awards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24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color w:val="auto"/>
        </w:rPr>
        <w:t>that were granted pursuant to this Policy or otherwise will become fully vested immediately prior to the closing of such Change in Control.</w:t>
      </w:r>
    </w:p>
    <w:p>
      <w:pPr>
        <w:spacing w:after="0" w:line="220" w:lineRule="exact"/>
        <w:rPr>
          <w:sz w:val="20"/>
          <w:szCs w:val="20"/>
          <w:color w:val="auto"/>
        </w:rPr>
      </w:pPr>
    </w:p>
    <w:p>
      <w:pPr>
        <w:ind w:firstLine="632"/>
        <w:spacing w:after="0" w:line="297" w:lineRule="auto"/>
        <w:tabs>
          <w:tab w:leader="none" w:pos="1253" w:val="left"/>
        </w:tabs>
        <w:numPr>
          <w:ilvl w:val="1"/>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Remaining Terms. </w:t>
      </w:r>
      <w:r>
        <w:rPr>
          <w:rFonts w:ascii="Times New Roman" w:cs="Times New Roman" w:eastAsia="Times New Roman" w:hAnsi="Times New Roman"/>
          <w:sz w:val="17"/>
          <w:szCs w:val="17"/>
          <w:color w:val="auto"/>
        </w:rPr>
        <w:t>The remaining terms and conditions of each award, including transferability, will be as set forth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award agreements under the Plan in the forms adopted from time to time by the Board or the Compensation Committee.</w:t>
      </w:r>
    </w:p>
    <w:p>
      <w:pPr>
        <w:spacing w:after="0" w:line="142" w:lineRule="exact"/>
        <w:rPr>
          <w:rFonts w:ascii="Times New Roman" w:cs="Times New Roman" w:eastAsia="Times New Roman" w:hAnsi="Times New Roman"/>
          <w:sz w:val="17"/>
          <w:szCs w:val="17"/>
          <w:b w:val="1"/>
          <w:bCs w:val="1"/>
          <w:color w:val="auto"/>
        </w:rPr>
      </w:pPr>
    </w:p>
    <w:p>
      <w:pPr>
        <w:ind w:left="640" w:hanging="635"/>
        <w:spacing w:after="0"/>
        <w:tabs>
          <w:tab w:leader="none" w:pos="640"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Expenses</w:t>
      </w:r>
    </w:p>
    <w:p>
      <w:pPr>
        <w:spacing w:after="0" w:line="2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The Company will reimburse an Eligible Director for ordinary, necessary and reasonable out-of-pocket travel expenses to cover in-person attendance at and participation in Board and committee meetings;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such Eligible Director timely submit to the Company appropriate documentation substantiating such expenses in accordance with the Company’s travel and expense policy, as in effect from time to time.</w:t>
      </w:r>
    </w:p>
    <w:p>
      <w:pPr>
        <w:spacing w:after="0" w:line="166" w:lineRule="exact"/>
        <w:rPr>
          <w:sz w:val="20"/>
          <w:szCs w:val="20"/>
          <w:color w:val="auto"/>
        </w:rPr>
      </w:pPr>
    </w:p>
    <w:p>
      <w:pPr>
        <w:ind w:left="640" w:hanging="635"/>
        <w:spacing w:after="0"/>
        <w:tabs>
          <w:tab w:leader="none" w:pos="64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Non-Employee Director Compensation Limit</w:t>
      </w:r>
    </w:p>
    <w:p>
      <w:pPr>
        <w:spacing w:after="0" w:line="22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Notwithstanding the foregoing, the aggregate value of all compensation granted or paid, as applicable, to any individual for service as a non-employee director shall in no event exceed the limits set forth in Section 5(f) of the Plan.</w:t>
      </w:r>
    </w:p>
    <w:p>
      <w:pPr>
        <w:spacing w:after="0" w:line="144" w:lineRule="exact"/>
        <w:rPr>
          <w:sz w:val="20"/>
          <w:szCs w:val="20"/>
          <w:color w:val="auto"/>
        </w:rPr>
      </w:pPr>
    </w:p>
    <w:p>
      <w:pPr>
        <w:ind w:left="640" w:hanging="635"/>
        <w:spacing w:after="0"/>
        <w:tabs>
          <w:tab w:leader="none" w:pos="640"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Ability to Decline Compensation</w:t>
      </w:r>
    </w:p>
    <w:p>
      <w:pPr>
        <w:spacing w:after="0" w:line="22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An Eligible Director who elects not to accept compensation pursuant to this Policy or who is not permitted to accept compensation in an individual capacity per other contractual arrangements may decline all or any portion of his or her compensation by giving notice to the Company prior to the date cash may be paid or equity awards are to be granted, as the case may be.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247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2" w:lineRule="exact"/>
        <w:rPr>
          <w:sz w:val="20"/>
          <w:szCs w:val="20"/>
          <w:color w:val="auto"/>
        </w:rPr>
      </w:pPr>
    </w:p>
    <w:p>
      <w:pPr>
        <w:jc w:val="center"/>
        <w:spacing w:after="0" w:line="277" w:lineRule="auto"/>
        <w:rPr>
          <w:sz w:val="20"/>
          <w:szCs w:val="20"/>
          <w:color w:val="auto"/>
        </w:rPr>
      </w:pPr>
      <w:r>
        <w:rPr>
          <w:rFonts w:ascii="Times New Roman" w:cs="Times New Roman" w:eastAsia="Times New Roman" w:hAnsi="Times New Roman"/>
          <w:sz w:val="17"/>
          <w:szCs w:val="17"/>
          <w:b w:val="1"/>
          <w:bCs w:val="1"/>
          <w:color w:val="auto"/>
        </w:rPr>
        <w:t>CERTIFICATION OF CHIEF EXECUTIVE OFFICER PURSUANT TO RULE 13A-14(A) UNDER THE SECURITIES EXCHANGE ACT OF 1934, AS ADOPTED PURSUANT TO SECTION 302 OF THE SARBANES-OXLEY ACT OF 2002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Robert Lisicki, certify that:</w:t>
      </w:r>
    </w:p>
    <w:p>
      <w:pPr>
        <w:spacing w:after="0" w:line="222" w:lineRule="exact"/>
        <w:rPr>
          <w:sz w:val="20"/>
          <w:szCs w:val="20"/>
          <w:color w:val="auto"/>
        </w:rPr>
      </w:pPr>
    </w:p>
    <w:p>
      <w:pPr>
        <w:ind w:left="640" w:hanging="635"/>
        <w:spacing w:after="0"/>
        <w:tabs>
          <w:tab w:leader="none" w:pos="6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Zura Bio Limited;</w:t>
      </w:r>
    </w:p>
    <w:p>
      <w:pPr>
        <w:spacing w:after="0" w:line="222" w:lineRule="exact"/>
        <w:rPr>
          <w:rFonts w:ascii="Times New Roman" w:cs="Times New Roman" w:eastAsia="Times New Roman" w:hAnsi="Times New Roman"/>
          <w:sz w:val="17"/>
          <w:szCs w:val="17"/>
          <w:color w:val="auto"/>
        </w:rPr>
      </w:pPr>
    </w:p>
    <w:p>
      <w:pPr>
        <w:jc w:val="both"/>
        <w:ind w:left="640" w:hanging="635"/>
        <w:spacing w:after="0" w:line="275" w:lineRule="auto"/>
        <w:tabs>
          <w:tab w:leader="none" w:pos="6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7"/>
          <w:szCs w:val="17"/>
          <w:color w:val="auto"/>
        </w:rPr>
      </w:pPr>
    </w:p>
    <w:p>
      <w:pPr>
        <w:jc w:val="both"/>
        <w:ind w:left="640" w:hanging="635"/>
        <w:spacing w:after="0" w:line="287" w:lineRule="auto"/>
        <w:tabs>
          <w:tab w:leader="none" w:pos="6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7" w:lineRule="exact"/>
        <w:rPr>
          <w:rFonts w:ascii="Times New Roman" w:cs="Times New Roman" w:eastAsia="Times New Roman" w:hAnsi="Times New Roman"/>
          <w:sz w:val="17"/>
          <w:szCs w:val="17"/>
          <w:color w:val="auto"/>
        </w:rPr>
      </w:pPr>
    </w:p>
    <w:p>
      <w:pPr>
        <w:jc w:val="both"/>
        <w:ind w:left="640" w:right="20" w:hanging="635"/>
        <w:spacing w:after="0" w:line="275" w:lineRule="auto"/>
        <w:tabs>
          <w:tab w:leader="none" w:pos="6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7"/>
          <w:szCs w:val="17"/>
          <w:color w:val="auto"/>
        </w:rPr>
      </w:pPr>
    </w:p>
    <w:p>
      <w:pPr>
        <w:jc w:val="both"/>
        <w:ind w:left="1260" w:right="20" w:hanging="628"/>
        <w:spacing w:after="0" w:line="275" w:lineRule="auto"/>
        <w:tabs>
          <w:tab w:leader="none" w:pos="126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Times New Roman" w:cs="Times New Roman" w:eastAsia="Times New Roman" w:hAnsi="Times New Roman"/>
          <w:sz w:val="17"/>
          <w:szCs w:val="17"/>
          <w:color w:val="auto"/>
        </w:rPr>
      </w:pPr>
    </w:p>
    <w:p>
      <w:pPr>
        <w:jc w:val="both"/>
        <w:ind w:left="1260" w:right="20" w:hanging="628"/>
        <w:spacing w:after="0" w:line="275" w:lineRule="auto"/>
        <w:tabs>
          <w:tab w:leader="none" w:pos="126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7"/>
          <w:szCs w:val="17"/>
          <w:color w:val="auto"/>
        </w:rPr>
      </w:pPr>
    </w:p>
    <w:p>
      <w:pPr>
        <w:jc w:val="both"/>
        <w:ind w:left="1260" w:hanging="628"/>
        <w:spacing w:after="0" w:line="275" w:lineRule="auto"/>
        <w:tabs>
          <w:tab w:leader="none" w:pos="126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7"/>
          <w:szCs w:val="17"/>
          <w:color w:val="auto"/>
        </w:rPr>
      </w:pPr>
    </w:p>
    <w:p>
      <w:pPr>
        <w:jc w:val="both"/>
        <w:ind w:left="1260" w:hanging="628"/>
        <w:spacing w:after="0" w:line="275" w:lineRule="auto"/>
        <w:tabs>
          <w:tab w:leader="none" w:pos="126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7"/>
          <w:szCs w:val="17"/>
          <w:color w:val="auto"/>
        </w:rPr>
      </w:pPr>
    </w:p>
    <w:p>
      <w:pPr>
        <w:jc w:val="both"/>
        <w:ind w:left="640" w:hanging="635"/>
        <w:spacing w:after="0" w:line="275" w:lineRule="auto"/>
        <w:tabs>
          <w:tab w:leader="none" w:pos="6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7"/>
          <w:szCs w:val="17"/>
          <w:color w:val="auto"/>
        </w:rPr>
      </w:pPr>
    </w:p>
    <w:p>
      <w:pPr>
        <w:jc w:val="both"/>
        <w:ind w:left="1260" w:hanging="628"/>
        <w:spacing w:after="0" w:line="275" w:lineRule="auto"/>
        <w:tabs>
          <w:tab w:leader="none" w:pos="126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sz w:val="20"/>
          <w:szCs w:val="20"/>
          <w:color w:val="auto"/>
        </w:rPr>
      </w:pPr>
    </w:p>
    <w:p>
      <w:pPr>
        <w:ind w:left="1240" w:hanging="595"/>
        <w:spacing w:after="0" w:line="295"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20320</wp:posOffset>
            </wp:positionV>
            <wp:extent cx="14338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20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/s/ Robert Lisicki</w:t>
      </w:r>
    </w:p>
    <w:p>
      <w:pPr>
        <w:spacing w:after="0" w:line="3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Robert Lisicki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-123190</wp:posOffset>
            </wp:positionV>
            <wp:extent cx="30505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3050540" cy="8255"/>
                    </a:xfrm>
                    <a:prstGeom prst="rect">
                      <a:avLst/>
                    </a:prstGeom>
                    <a:noFill/>
                  </pic:spPr>
                </pic:pic>
              </a:graphicData>
            </a:graphic>
          </wp:anchor>
        </w:drawing>
      </w:r>
    </w:p>
    <w:p>
      <w:pPr>
        <w:spacing w:after="0" w:line="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1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473075</wp:posOffset>
            </wp:positionV>
            <wp:extent cx="6291580" cy="24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2" w:lineRule="exact"/>
        <w:rPr>
          <w:sz w:val="20"/>
          <w:szCs w:val="20"/>
          <w:color w:val="auto"/>
        </w:rPr>
      </w:pPr>
    </w:p>
    <w:p>
      <w:pPr>
        <w:jc w:val="center"/>
        <w:spacing w:after="0" w:line="277" w:lineRule="auto"/>
        <w:rPr>
          <w:sz w:val="20"/>
          <w:szCs w:val="20"/>
          <w:color w:val="auto"/>
        </w:rPr>
      </w:pPr>
      <w:r>
        <w:rPr>
          <w:rFonts w:ascii="Times New Roman" w:cs="Times New Roman" w:eastAsia="Times New Roman" w:hAnsi="Times New Roman"/>
          <w:sz w:val="17"/>
          <w:szCs w:val="17"/>
          <w:b w:val="1"/>
          <w:bCs w:val="1"/>
          <w:color w:val="auto"/>
        </w:rPr>
        <w:t>CERTIFICATION OF CHIEF FINANCIAL OFFICER PURSUANT TO RULE 13A-14(A) UNDER THE SECURITIES EXCHANGE ACT OF 1934, AS ADOPTED PURSUANT TO SECTION 302 OF THE SARBANES-OXLEY ACT OF 2002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Eric Hyllengren, certify that:</w:t>
      </w:r>
    </w:p>
    <w:p>
      <w:pPr>
        <w:spacing w:after="0" w:line="222" w:lineRule="exact"/>
        <w:rPr>
          <w:sz w:val="20"/>
          <w:szCs w:val="20"/>
          <w:color w:val="auto"/>
        </w:rPr>
      </w:pPr>
    </w:p>
    <w:p>
      <w:pPr>
        <w:ind w:left="640" w:hanging="635"/>
        <w:spacing w:after="0"/>
        <w:tabs>
          <w:tab w:leader="none" w:pos="6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Zura Bio Limited;</w:t>
      </w:r>
    </w:p>
    <w:p>
      <w:pPr>
        <w:spacing w:after="0" w:line="222" w:lineRule="exact"/>
        <w:rPr>
          <w:rFonts w:ascii="Times New Roman" w:cs="Times New Roman" w:eastAsia="Times New Roman" w:hAnsi="Times New Roman"/>
          <w:sz w:val="17"/>
          <w:szCs w:val="17"/>
          <w:color w:val="auto"/>
        </w:rPr>
      </w:pPr>
    </w:p>
    <w:p>
      <w:pPr>
        <w:jc w:val="both"/>
        <w:ind w:left="640" w:hanging="635"/>
        <w:spacing w:after="0" w:line="275" w:lineRule="auto"/>
        <w:tabs>
          <w:tab w:leader="none" w:pos="6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7"/>
          <w:szCs w:val="17"/>
          <w:color w:val="auto"/>
        </w:rPr>
      </w:pPr>
    </w:p>
    <w:p>
      <w:pPr>
        <w:jc w:val="both"/>
        <w:ind w:left="640" w:hanging="635"/>
        <w:spacing w:after="0" w:line="287" w:lineRule="auto"/>
        <w:tabs>
          <w:tab w:leader="none" w:pos="6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7" w:lineRule="exact"/>
        <w:rPr>
          <w:rFonts w:ascii="Times New Roman" w:cs="Times New Roman" w:eastAsia="Times New Roman" w:hAnsi="Times New Roman"/>
          <w:sz w:val="17"/>
          <w:szCs w:val="17"/>
          <w:color w:val="auto"/>
        </w:rPr>
      </w:pPr>
    </w:p>
    <w:p>
      <w:pPr>
        <w:jc w:val="both"/>
        <w:ind w:left="640" w:right="20" w:hanging="635"/>
        <w:spacing w:after="0" w:line="275" w:lineRule="auto"/>
        <w:tabs>
          <w:tab w:leader="none" w:pos="6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7"/>
          <w:szCs w:val="17"/>
          <w:color w:val="auto"/>
        </w:rPr>
      </w:pPr>
    </w:p>
    <w:p>
      <w:pPr>
        <w:jc w:val="both"/>
        <w:ind w:left="1260" w:right="20" w:hanging="628"/>
        <w:spacing w:after="0" w:line="275" w:lineRule="auto"/>
        <w:tabs>
          <w:tab w:leader="none" w:pos="126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Times New Roman" w:cs="Times New Roman" w:eastAsia="Times New Roman" w:hAnsi="Times New Roman"/>
          <w:sz w:val="17"/>
          <w:szCs w:val="17"/>
          <w:color w:val="auto"/>
        </w:rPr>
      </w:pPr>
    </w:p>
    <w:p>
      <w:pPr>
        <w:jc w:val="both"/>
        <w:ind w:left="1260" w:right="20" w:hanging="628"/>
        <w:spacing w:after="0" w:line="275" w:lineRule="auto"/>
        <w:tabs>
          <w:tab w:leader="none" w:pos="126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7"/>
          <w:szCs w:val="17"/>
          <w:color w:val="auto"/>
        </w:rPr>
      </w:pPr>
    </w:p>
    <w:p>
      <w:pPr>
        <w:jc w:val="both"/>
        <w:ind w:left="1260" w:hanging="628"/>
        <w:spacing w:after="0" w:line="275" w:lineRule="auto"/>
        <w:tabs>
          <w:tab w:leader="none" w:pos="126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7"/>
          <w:szCs w:val="17"/>
          <w:color w:val="auto"/>
        </w:rPr>
      </w:pPr>
    </w:p>
    <w:p>
      <w:pPr>
        <w:jc w:val="both"/>
        <w:ind w:left="1260" w:hanging="628"/>
        <w:spacing w:after="0" w:line="275" w:lineRule="auto"/>
        <w:tabs>
          <w:tab w:leader="none" w:pos="126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7"/>
          <w:szCs w:val="17"/>
          <w:color w:val="auto"/>
        </w:rPr>
      </w:pPr>
    </w:p>
    <w:p>
      <w:pPr>
        <w:jc w:val="both"/>
        <w:ind w:left="640" w:hanging="635"/>
        <w:spacing w:after="0" w:line="275" w:lineRule="auto"/>
        <w:tabs>
          <w:tab w:leader="none" w:pos="6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7"/>
          <w:szCs w:val="17"/>
          <w:color w:val="auto"/>
        </w:rPr>
      </w:pPr>
    </w:p>
    <w:p>
      <w:pPr>
        <w:jc w:val="both"/>
        <w:ind w:left="1260" w:hanging="628"/>
        <w:spacing w:after="0" w:line="275" w:lineRule="auto"/>
        <w:tabs>
          <w:tab w:leader="none" w:pos="126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sz w:val="20"/>
          <w:szCs w:val="20"/>
          <w:color w:val="auto"/>
        </w:rPr>
      </w:pPr>
    </w:p>
    <w:p>
      <w:pPr>
        <w:ind w:left="1240" w:hanging="595"/>
        <w:spacing w:after="0" w:line="295" w:lineRule="auto"/>
        <w:tabs>
          <w:tab w:leader="none" w:pos="1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20320</wp:posOffset>
            </wp:positionV>
            <wp:extent cx="14338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20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/s/ Eric Hyllengren</w:t>
      </w:r>
    </w:p>
    <w:p>
      <w:pPr>
        <w:spacing w:after="0" w:line="3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Eric Hyllengren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-123190</wp:posOffset>
            </wp:positionV>
            <wp:extent cx="30086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(Principal Financial Officer and</w:t>
      </w:r>
    </w:p>
    <w:p>
      <w:pPr>
        <w:spacing w:after="0" w:line="1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473075</wp:posOffset>
            </wp:positionV>
            <wp:extent cx="6291580" cy="247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In connection with the Quarterly Report of Zura Bio Limited (the “Company”) on Form 10-Q for the quarterly period ended June 30, 2025, as filed with the Securities and Exchange Commission (the “Report”), I, Robert Lisicki, Chief Executive Officer of the Company, certify, pursuant to 18 U.S.C. §1350, as adopted pursuant to §906 of the Sarbanes-Oxley Act of 2002, that, to the best of my knowledge:</w:t>
      </w:r>
    </w:p>
    <w:p>
      <w:pPr>
        <w:spacing w:after="0" w:line="163" w:lineRule="exact"/>
        <w:rPr>
          <w:sz w:val="20"/>
          <w:szCs w:val="20"/>
          <w:color w:val="auto"/>
        </w:rPr>
      </w:pPr>
    </w:p>
    <w:p>
      <w:pPr>
        <w:ind w:left="640" w:hanging="321"/>
        <w:spacing w:after="0"/>
        <w:tabs>
          <w:tab w:leader="none" w:pos="6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Section 15(d) of the Securities Exchange Act of 1934; and</w:t>
      </w:r>
    </w:p>
    <w:p>
      <w:pPr>
        <w:spacing w:after="0" w:line="222" w:lineRule="exact"/>
        <w:rPr>
          <w:rFonts w:ascii="Times New Roman" w:cs="Times New Roman" w:eastAsia="Times New Roman" w:hAnsi="Times New Roman"/>
          <w:sz w:val="17"/>
          <w:szCs w:val="17"/>
          <w:color w:val="auto"/>
        </w:rPr>
      </w:pPr>
    </w:p>
    <w:p>
      <w:pPr>
        <w:ind w:left="640" w:right="20" w:hanging="321"/>
        <w:spacing w:after="0" w:line="295" w:lineRule="auto"/>
        <w:tabs>
          <w:tab w:leader="none" w:pos="6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August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20320</wp:posOffset>
            </wp:positionV>
            <wp:extent cx="14090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1409065" cy="8255"/>
                    </a:xfrm>
                    <a:prstGeom prst="rect">
                      <a:avLst/>
                    </a:prstGeom>
                    <a:noFill/>
                  </pic:spPr>
                </pic:pic>
              </a:graphicData>
            </a:graphic>
          </wp:anchor>
        </w:drawing>
      </w:r>
    </w:p>
    <w:p>
      <w:pPr>
        <w:spacing w:after="0" w:line="20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/s/ Robert Lisicki</w:t>
      </w:r>
    </w:p>
    <w:p>
      <w:pPr>
        <w:spacing w:after="0" w:line="3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Robert Lisicki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-123190</wp:posOffset>
            </wp:positionV>
            <wp:extent cx="30422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3042285" cy="8255"/>
                    </a:xfrm>
                    <a:prstGeom prst="rect">
                      <a:avLst/>
                    </a:prstGeom>
                    <a:noFill/>
                  </pic:spPr>
                </pic:pic>
              </a:graphicData>
            </a:graphic>
          </wp:anchor>
        </w:drawing>
      </w:r>
    </w:p>
    <w:p>
      <w:pPr>
        <w:spacing w:after="0" w:line="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1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317500</wp:posOffset>
            </wp:positionV>
            <wp:extent cx="6291580" cy="247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In connection with the Quarterly Report of Zura Bio Limited (the “Company”) on Form 10-Q for the quarterly period ended June 30, 2025, as filed with the Securities and Exchange Commission (the “Report”), I, Eric Hyllengren, Chief Financial Officer of the Company, certify, pursuant to 18 U.S.C. §1350, as adopted pursuant to §906 of the Sarbanes-Oxley Act of 2002, that, to the best of my knowledge:</w:t>
      </w:r>
    </w:p>
    <w:p>
      <w:pPr>
        <w:spacing w:after="0" w:line="163" w:lineRule="exact"/>
        <w:rPr>
          <w:sz w:val="20"/>
          <w:szCs w:val="20"/>
          <w:color w:val="auto"/>
        </w:rPr>
      </w:pPr>
    </w:p>
    <w:p>
      <w:pPr>
        <w:ind w:left="640" w:hanging="321"/>
        <w:spacing w:after="0"/>
        <w:tabs>
          <w:tab w:leader="none" w:pos="6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Section 15(d) of the Securities Exchange Act of 1934; and</w:t>
      </w:r>
    </w:p>
    <w:p>
      <w:pPr>
        <w:spacing w:after="0" w:line="222" w:lineRule="exact"/>
        <w:rPr>
          <w:rFonts w:ascii="Times New Roman" w:cs="Times New Roman" w:eastAsia="Times New Roman" w:hAnsi="Times New Roman"/>
          <w:sz w:val="17"/>
          <w:szCs w:val="17"/>
          <w:color w:val="auto"/>
        </w:rPr>
      </w:pPr>
    </w:p>
    <w:p>
      <w:pPr>
        <w:ind w:left="640" w:right="20" w:hanging="321"/>
        <w:spacing w:after="0" w:line="295" w:lineRule="auto"/>
        <w:tabs>
          <w:tab w:leader="none" w:pos="6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August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20320</wp:posOffset>
            </wp:positionV>
            <wp:extent cx="13595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20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/s/ Eric Hyllengren</w:t>
      </w:r>
    </w:p>
    <w:p>
      <w:pPr>
        <w:spacing w:after="0" w:line="3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Eric Hyllengren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-123190</wp:posOffset>
            </wp:positionV>
            <wp:extent cx="30587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3058795" cy="8255"/>
                    </a:xfrm>
                    <a:prstGeom prst="rect">
                      <a:avLst/>
                    </a:prstGeom>
                    <a:noFill/>
                  </pic:spPr>
                </pic:pic>
              </a:graphicData>
            </a:graphic>
          </wp:anchor>
        </w:drawing>
      </w:r>
    </w:p>
    <w:p>
      <w:pPr>
        <w:spacing w:after="0" w:line="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p>
      <w:pPr>
        <w:spacing w:after="0" w:line="20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317500</wp:posOffset>
            </wp:positionV>
            <wp:extent cx="6291580" cy="247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sectPr>
      <w:pgSz w:w="11900" w:h="16838" w:orient="portrait"/>
      <w:cols w:equalWidth="0" w:num="1">
        <w:col w:w="9920"/>
      </w:cols>
      <w:pgMar w:left="980" w:top="11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decimal"/>
      <w:start w:val="2"/>
    </w:lvl>
  </w:abstractNum>
  <w:abstractNum w:abstractNumId="8">
    <w:nsid w:val="189A769B"/>
    <w:multiLevelType w:val="hybridMultilevel"/>
    <w:lvl w:ilvl="0">
      <w:lvlJc w:val="left"/>
      <w:lvlText w:val="%1."/>
      <w:numFmt w:val="decimal"/>
      <w:start w:val="3"/>
    </w:lvl>
  </w:abstractNum>
  <w:abstractNum w:abstractNumId="9">
    <w:nsid w:val="54E49EB4"/>
    <w:multiLevelType w:val="hybridMultilevel"/>
    <w:lvl w:ilvl="0">
      <w:lvlJc w:val="left"/>
      <w:lvlText w:val="%1."/>
      <w:numFmt w:val="decimal"/>
      <w:start w:val="4"/>
    </w:lvl>
  </w:abstractNum>
  <w:abstractNum w:abstractNumId="10">
    <w:nsid w:val="71F32454"/>
    <w:multiLevelType w:val="hybridMultilevel"/>
    <w:lvl w:ilvl="0">
      <w:lvlJc w:val="left"/>
      <w:lvlText w:val="%1."/>
      <w:numFmt w:val="decimal"/>
      <w:start w:val="5"/>
    </w:lvl>
  </w:abstractNum>
  <w:abstractNum w:abstractNumId="11">
    <w:nsid w:val="2CA88611"/>
    <w:multiLevelType w:val="hybridMultilevel"/>
    <w:lvl w:ilvl="0">
      <w:lvlJc w:val="left"/>
      <w:lvlText w:val="%1."/>
      <w:numFmt w:val="decimal"/>
      <w:start w:val="6"/>
    </w:lvl>
  </w:abstractNum>
  <w:abstractNum w:abstractNumId="12">
    <w:nsid w:val="836C40E"/>
    <w:multiLevelType w:val="hybridMultilevel"/>
    <w:lvl w:ilvl="0">
      <w:lvlJc w:val="left"/>
      <w:lvlText w:val="%1."/>
      <w:numFmt w:val="decimal"/>
      <w:start w:val="7"/>
    </w:lvl>
  </w:abstractNum>
  <w:abstractNum w:abstractNumId="13">
    <w:nsid w:val="2901D82"/>
    <w:multiLevelType w:val="hybridMultilevel"/>
    <w:lvl w:ilvl="0">
      <w:lvlJc w:val="left"/>
      <w:lvlText w:val="%1."/>
      <w:numFmt w:val="decimal"/>
      <w:start w:val="8"/>
    </w:lvl>
  </w:abstractNum>
  <w:abstractNum w:abstractNumId="14">
    <w:nsid w:val="3A95F874"/>
    <w:multiLevelType w:val="hybridMultilevel"/>
    <w:lvl w:ilvl="0">
      <w:lvlJc w:val="left"/>
      <w:lvlText w:val="%1."/>
      <w:numFmt w:val="decimal"/>
      <w:start w:val="9"/>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lowerRoman"/>
      <w:start w:val="3"/>
    </w:lvl>
  </w:abstractNum>
  <w:abstractNum w:abstractNumId="18">
    <w:nsid w:val="737B8DDC"/>
    <w:multiLevelType w:val="hybridMultilevel"/>
    <w:lvl w:ilvl="0">
      <w:lvlJc w:val="left"/>
      <w:lvlText w:val="%1"/>
      <w:numFmt w:val="upperLetter"/>
      <w:start w:val="35"/>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decimal"/>
      <w:start w:val="104"/>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upperLetter"/>
      <w:start w:val="1"/>
    </w:lvl>
  </w:abstractNum>
  <w:abstractNum w:abstractNumId="29">
    <w:nsid w:val="77465F01"/>
    <w:multiLevelType w:val="hybridMultilevel"/>
    <w:lvl w:ilvl="0">
      <w:lvlJc w:val="left"/>
      <w:lvlText w:val="%1."/>
      <w:numFmt w:val="decimal"/>
      <w:start w:val="1"/>
    </w:lvl>
    <w:lvl w:ilvl="1">
      <w:lvlJc w:val="left"/>
      <w:lvlText w:val="%2."/>
      <w:numFmt w:val="lowerLetter"/>
      <w:start w:val="1"/>
    </w:lvl>
  </w:abstractNum>
  <w:abstractNum w:abstractNumId="30">
    <w:nsid w:val="7724C67E"/>
    <w:multiLevelType w:val="hybridMultilevel"/>
    <w:lvl w:ilvl="0">
      <w:lvlJc w:val="left"/>
      <w:lvlText w:val="%1."/>
      <w:numFmt w:val="upperLetter"/>
      <w:start w:val="2"/>
    </w:lvl>
  </w:abstractNum>
  <w:abstractNum w:abstractNumId="31">
    <w:nsid w:val="5C482A9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2">
    <w:nsid w:val="2463B9EA"/>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33">
    <w:nsid w:val="5E884ADC"/>
    <w:multiLevelType w:val="hybridMultilevel"/>
    <w:lvl w:ilvl="0">
      <w:lvlJc w:val="left"/>
      <w:lvlText w:val="(%1)"/>
      <w:numFmt w:val="lowerLetter"/>
      <w:start w:val="2"/>
    </w:lvl>
  </w:abstractNum>
  <w:abstractNum w:abstractNumId="34">
    <w:nsid w:val="51EAD36B"/>
    <w:multiLevelType w:val="hybridMultilevel"/>
    <w:lvl w:ilvl="0">
      <w:lvlJc w:val="left"/>
      <w:lvlText w:val="%1"/>
      <w:numFmt w:val="upperLetter"/>
      <w:start w:val="1"/>
    </w:lvl>
    <w:lvl w:ilvl="1">
      <w:lvlJc w:val="left"/>
      <w:lvlText w:val="(%2)"/>
      <w:numFmt w:val="lowerLetter"/>
      <w:start w:val="4"/>
    </w:lvl>
  </w:abstractNum>
  <w:abstractNum w:abstractNumId="35">
    <w:nsid w:val="2D517796"/>
    <w:multiLevelType w:val="hybridMultilevel"/>
    <w:lvl w:ilvl="0">
      <w:lvlJc w:val="left"/>
      <w:lvlText w:val="%1."/>
      <w:numFmt w:val="upperLetter"/>
      <w:start w:val="3"/>
    </w:lvl>
    <w:lvl w:ilvl="1">
      <w:lvlJc w:val="left"/>
      <w:lvlText w:val="%2"/>
      <w:numFmt w:val="lowerLetter"/>
      <w:start w:val="1"/>
    </w:lvl>
  </w:abstractNum>
  <w:abstractNum w:abstractNumId="36">
    <w:nsid w:val="580BD78F"/>
    <w:multiLevelType w:val="hybridMultilevel"/>
    <w:lvl w:ilvl="0">
      <w:lvlJc w:val="left"/>
      <w:lvlText w:val="%1."/>
      <w:numFmt w:val="upperLetter"/>
      <w:start w:val="4"/>
    </w:lvl>
  </w:abstractNum>
  <w:abstractNum w:abstractNumId="37">
    <w:nsid w:val="153EA438"/>
    <w:multiLevelType w:val="hybridMultilevel"/>
    <w:lvl w:ilvl="0">
      <w:lvlJc w:val="left"/>
      <w:lvlText w:val="%1."/>
      <w:numFmt w:val="upperLetter"/>
      <w:start w:val="5"/>
    </w:lvl>
  </w:abstractNum>
  <w:abstractNum w:abstractNumId="38">
    <w:nsid w:val="3855585C"/>
    <w:multiLevelType w:val="hybridMultilevel"/>
    <w:lvl w:ilvl="0">
      <w:lvlJc w:val="left"/>
      <w:lvlText w:val="%1."/>
      <w:numFmt w:val="decimal"/>
      <w:start w:val="1"/>
    </w:lvl>
    <w:lvl w:ilvl="1">
      <w:lvlJc w:val="left"/>
      <w:lvlText w:val="(%2)"/>
      <w:numFmt w:val="lowerLetter"/>
      <w:start w:val="1"/>
    </w:lvl>
  </w:abstractNum>
  <w:abstractNum w:abstractNumId="39">
    <w:nsid w:val="70A64E2A"/>
    <w:multiLevelType w:val="hybridMultilevel"/>
    <w:lvl w:ilvl="0">
      <w:lvlJc w:val="left"/>
      <w:lvlText w:val="(%1)"/>
      <w:numFmt w:val="lowerLetter"/>
      <w:start w:val="2"/>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lowerLetter"/>
      <w:start w:val="2"/>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69" Type="http://schemas.openxmlformats.org/officeDocument/2006/relationships/hyperlink" Target="https://www.sec.gov/Archives/edgar/data/1855644/000110465923005068/tm233516d1_ex2-1.htm" TargetMode="External"/><Relationship Id="rId70" Type="http://schemas.openxmlformats.org/officeDocument/2006/relationships/hyperlink" Target="https://www.sec.gov/Archives/edgar/data/1855644/000110465923036697/tm2310353d1_ex3-1.htm" TargetMode="External"/><Relationship Id="rId71" Type="http://schemas.openxmlformats.org/officeDocument/2006/relationships/hyperlink" Target="https://www.sec.gov/Archives/edgar/data/1855644/000110465922093035/jatt-20220630xex4d6.htm" TargetMode="External"/><Relationship Id="rId72" Type="http://schemas.openxmlformats.org/officeDocument/2006/relationships/hyperlink" Target="https://www.sec.gov/Archives/edgar/data/1855644/000110465923055196/tm2314291d1_ex4-1.htm" TargetMode="External"/><Relationship Id="rId73" Type="http://schemas.openxmlformats.org/officeDocument/2006/relationships/hyperlink" Target="https://www.sec.gov/Archives/edgar/data/1855644/000110465924050169/tm2412407d1_ex4-1.htm" TargetMode="External"/><Relationship Id="rId74" Type="http://schemas.openxmlformats.org/officeDocument/2006/relationships/hyperlink" Target="https://www.sec.gov/Archives/edgar/data/1855644/000110465924091602/tm2422174d1_ex4-1.htm" TargetMode="External"/><Relationship Id="rId75" Type="http://schemas.openxmlformats.org/officeDocument/2006/relationships/hyperlink" Target="https://www.sec.gov/Archives/edgar/data/1855644/000110465925036057/tm2512482d1_ex4-1.htm" TargetMode="External"/><Relationship Id="rId76" Type="http://schemas.openxmlformats.org/officeDocument/2006/relationships/hyperlink" Target="https://www.sec.gov/Archives/edgar/data/1855644/000110465925064427/tm2519325d1_ex10-1.htm" TargetMode="External"/><Relationship Id="rId77" Type="http://schemas.openxmlformats.org/officeDocument/2006/relationships/hyperlink" Target="https://www.sec.gov/Archives/edgar/data/1855644/000110465925064427/tm2519325d1_ex10-2.htm" TargetMode="External"/><Relationship Id="rId78" Type="http://schemas.openxmlformats.org/officeDocument/2006/relationships/hyperlink" Target="https://www.sec.gov/Archives/edgar/data/1855644/000110465925036057/tm2512482d1_ex10-1.htm" TargetMode="External"/><Relationship Id="rId79" Type="http://schemas.openxmlformats.org/officeDocument/2006/relationships/hyperlink" Target="https://www.sec.gov/Archives/edgar/data/1855644/000110465925036057/tm2512482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2025-08-14T07:29:32Z</dcterms:created>
  <dcterms:modified xsi:type="dcterms:W3CDTF">2025-08-14T07:29:32Z</dcterms:modified>
</cp:coreProperties>
</file>