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zura-20230930x10q.htm"/>
        <w:bookmarkStart w:id="1" w:name="kszura2023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bookmarkStart w:id="2" w:name="_23381713_d2ea_44b6_b7d4_d15074402a57"/>
      <w:bookmarkEnd w:id="2"/>
      <w:r>
        <w:rPr/>
        <w:t>​</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UNITED STATES</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60"/>
        <w:ind w:left="0" w:right="0" w:hanging="0"/>
        <w:jc w:val="both"/>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bidi w:val="0"/>
        <w:spacing w:before="0" w:after="60"/>
        <w:ind w:left="0" w:right="0" w:hanging="0"/>
        <w:jc w:val="center"/>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(Mark One)</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3" w:name="Tc_Vyq5WUmpWkmzx8RC9j0ICg_2_1"/>
      <w:bookmarkStart w:id="4" w:name="_586b5a43_a625_4a4e_972f_8ae424206286"/>
      <w:bookmarkStart w:id="5" w:name="Tc_Vyq5WUmpWkmzx8RC9j0ICg_2_1"/>
      <w:bookmarkStart w:id="6" w:name="_586b5a43_a625_4a4e_972f_8ae424206286"/>
      <w:bookmarkEnd w:id="5"/>
      <w:bookmarkEnd w:id="6"/>
    </w:p>
    <w:tbl>
      <w:tblPr>
        <w:tblW w:w="9797" w:type="dxa"/>
        <w:jc w:val="left"/>
        <w:tblInd w:w="0" w:type="dxa"/>
        <w:tblLayout w:type="fixed"/>
        <w:tblCellMar>
          <w:top w:w="0" w:type="dxa"/>
          <w:left w:w="0" w:type="dxa"/>
          <w:bottom w:w="0" w:type="dxa"/>
          <w:right w:w="0" w:type="dxa"/>
        </w:tblCellMar>
      </w:tblPr>
      <w:tblGrid>
        <w:gridCol w:w="331"/>
        <w:gridCol w:w="946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466"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46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46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QUARTERLY REPORT PURSUANT TO SECTION 13 OR 15(d) OF THE SECURITIES EXCHANGE ACT OF 1934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September 30, 2023</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7" w:name="Tc_tgDk-4BAXkOK6_RcPxynHA_2_1"/>
      <w:bookmarkStart w:id="8" w:name="_7603c0d5_8132_44eb_ac99_1d6809753408"/>
      <w:bookmarkStart w:id="9" w:name="Tc_tgDk-4BAXkOK6_RcPxynHA_2_1"/>
      <w:bookmarkStart w:id="10" w:name="_7603c0d5_8132_44eb_ac99_1d6809753408"/>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 FOR THE TRANSITION PERIOD FROM               TO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001-40598</w:t>
      </w:r>
    </w:p>
    <w:p>
      <w:pPr>
        <w:pStyle w:val="TextBody"/>
        <w:bidi w:val="0"/>
        <w:spacing w:before="0" w:after="0"/>
        <w:ind w:left="0" w:right="0" w:hanging="0"/>
        <w:jc w:val="center"/>
        <w:rPr>
          <w:rFonts w:ascii="Times New Roman;Times;serif" w:hAnsi="Times New Roman;Times;serif"/>
          <w:b/>
          <w:sz w:val="38"/>
        </w:rPr>
      </w:pPr>
      <w:r>
        <w:rPr>
          <w:rFonts w:ascii="Times New Roman;Times;serif" w:hAnsi="Times New Roman;Times;serif"/>
          <w:b/>
          <w:sz w:val="38"/>
        </w:rPr>
        <w:t>ZURA BIO LIMITED</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1" w:name="Tc_dxtRSrzrekWNKhkYMuMmUg_4_1"/>
      <w:bookmarkStart w:id="12" w:name="Tc_tP55XTGY4kyC9yRQMW-gLA_4_0"/>
      <w:bookmarkStart w:id="13" w:name="Tc_QCyXe3jztESJOuJ3aQxS9g_3_0"/>
      <w:bookmarkStart w:id="14" w:name="Tc_u6TJKHY6Hkic_X_6oEgYNw_2_1"/>
      <w:bookmarkStart w:id="15" w:name="Tc_AK6rJv6gCUu3x8TL49AqPw_2_0"/>
      <w:bookmarkStart w:id="16" w:name="_634bf6b4_744c_43c5_afe3_e42dad2b94c6"/>
      <w:bookmarkStart w:id="17" w:name="Tc_dxtRSrzrekWNKhkYMuMmUg_4_1"/>
      <w:bookmarkStart w:id="18" w:name="Tc_tP55XTGY4kyC9yRQMW-gLA_4_0"/>
      <w:bookmarkStart w:id="19" w:name="Tc_QCyXe3jztESJOuJ3aQxS9g_3_0"/>
      <w:bookmarkStart w:id="20" w:name="Tc_u6TJKHY6Hkic_X_6oEgYNw_2_1"/>
      <w:bookmarkStart w:id="21" w:name="Tc_AK6rJv6gCUu3x8TL49AqPw_2_0"/>
      <w:bookmarkStart w:id="22" w:name="_634bf6b4_744c_43c5_afe3_e42dad2b94c6"/>
      <w:bookmarkEnd w:id="17"/>
      <w:bookmarkEnd w:id="18"/>
      <w:bookmarkEnd w:id="19"/>
      <w:bookmarkEnd w:id="20"/>
      <w:bookmarkEnd w:id="21"/>
      <w:bookmarkEnd w:id="22"/>
    </w:p>
    <w:tbl>
      <w:tblPr>
        <w:tblW w:w="4637" w:type="dxa"/>
        <w:jc w:val="left"/>
        <w:tblInd w:w="0" w:type="dxa"/>
        <w:tblLayout w:type="fixed"/>
        <w:tblCellMar>
          <w:top w:w="0" w:type="dxa"/>
          <w:left w:w="0" w:type="dxa"/>
          <w:bottom w:w="0" w:type="dxa"/>
          <w:right w:w="0" w:type="dxa"/>
        </w:tblCellMar>
      </w:tblPr>
      <w:tblGrid>
        <w:gridCol w:w="3076"/>
        <w:gridCol w:w="1561"/>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Cayman Islands</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98-1725736</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 of</w:t>
            </w:r>
          </w:p>
          <w:p>
            <w:pPr>
              <w:pStyle w:val="TableContents"/>
              <w:bidi w:val="0"/>
              <w:spacing w:before="0" w:after="15"/>
              <w:ind w:left="0" w:right="0" w:hanging="0"/>
              <w:jc w:val="center"/>
              <w:rPr>
                <w:rFonts w:ascii="Times New Roman;Times;serif" w:hAnsi="Times New Roman;Times;serif"/>
                <w:b/>
                <w:sz w:val="18"/>
              </w:rPr>
            </w:pPr>
            <w:r>
              <w:rPr>
                <w:rFonts w:ascii="Times New Roman;Times;serif" w:hAnsi="Times New Roman;Times;serif"/>
                <w:b/>
                <w:sz w:val="18"/>
              </w:rPr>
              <w:t>incorporation or organization)</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Identification No.)</w:t>
            </w:r>
          </w:p>
        </w:tc>
      </w:tr>
      <w:tr>
        <w:trPr/>
        <w:tc>
          <w:tcPr>
            <w:tcW w:w="3076" w:type="dxa"/>
            <w:tcBorders/>
            <w:vAlign w:val="center"/>
          </w:tcPr>
          <w:p>
            <w:pPr>
              <w:pStyle w:val="TableContents"/>
              <w:bidi w:val="0"/>
              <w:spacing w:before="0" w:after="15"/>
              <w:ind w:left="0" w:right="0" w:hanging="0"/>
              <w:jc w:val="center"/>
              <w:rPr>
                <w:rFonts w:ascii="Times New Roman;Times;serif" w:hAnsi="Times New Roman;Times;serif"/>
                <w:b/>
                <w:sz w:val="18"/>
              </w:rPr>
            </w:pPr>
            <w:r>
              <w:rPr>
                <w:rFonts w:ascii="Times New Roman;Times;serif" w:hAnsi="Times New Roman;Times;serif"/>
                <w:b/>
                <w:sz w:val="18"/>
              </w:rPr>
              <w:t>1489 W. Warm Springs Rd. #110</w:t>
            </w:r>
          </w:p>
          <w:p>
            <w:pPr>
              <w:pStyle w:val="TableContents"/>
              <w:bidi w:val="0"/>
              <w:spacing w:before="0" w:after="15"/>
              <w:ind w:left="0" w:right="0" w:hanging="0"/>
              <w:jc w:val="center"/>
              <w:rPr>
                <w:rFonts w:ascii="Times New Roman;Times;serif" w:hAnsi="Times New Roman;Times;serif"/>
                <w:b/>
                <w:sz w:val="18"/>
              </w:rPr>
            </w:pPr>
            <w:r>
              <w:rPr>
                <w:rFonts w:ascii="Times New Roman;Times;serif" w:hAnsi="Times New Roman;Times;serif"/>
                <w:b/>
                <w:sz w:val="18"/>
              </w:rPr>
              <w:t>Henderson, NV</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89014</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(Zip Code)</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 (702) 757-6133</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23" w:name="Tc_QS5G39xl60iiykY91wsAwQ_4_4"/>
      <w:bookmarkStart w:id="24" w:name="Tc_b-KjbMVPs0eDkWihxf8-5A_3_4"/>
      <w:bookmarkStart w:id="25" w:name="Tc_SRNkXtx21EGwmd-yAtDl4g_2_4"/>
      <w:bookmarkStart w:id="26" w:name="Tc_g3jUa0zamUKe27Yr2JDjPg_2_2"/>
      <w:bookmarkStart w:id="27" w:name="Tc_QkxsTAMvOUqNk-RHKp65XQ_2_0"/>
      <w:bookmarkStart w:id="28" w:name="_65536a39_a34b_4cd0_8f43_3e0b530ddaaf"/>
      <w:bookmarkStart w:id="29" w:name="Tc_QS5G39xl60iiykY91wsAwQ_4_4"/>
      <w:bookmarkStart w:id="30" w:name="Tc_b-KjbMVPs0eDkWihxf8-5A_3_4"/>
      <w:bookmarkStart w:id="31" w:name="Tc_SRNkXtx21EGwmd-yAtDl4g_2_4"/>
      <w:bookmarkStart w:id="32" w:name="Tc_g3jUa0zamUKe27Yr2JDjPg_2_2"/>
      <w:bookmarkStart w:id="33" w:name="Tc_QkxsTAMvOUqNk-RHKp65XQ_2_0"/>
      <w:bookmarkStart w:id="34" w:name="_65536a39_a34b_4cd0_8f43_3e0b530ddaaf"/>
      <w:bookmarkEnd w:id="29"/>
      <w:bookmarkEnd w:id="30"/>
      <w:bookmarkEnd w:id="31"/>
      <w:bookmarkEnd w:id="32"/>
      <w:bookmarkEnd w:id="33"/>
      <w:bookmarkEnd w:id="34"/>
    </w:p>
    <w:tbl>
      <w:tblPr>
        <w:tblW w:w="6715" w:type="dxa"/>
        <w:jc w:val="left"/>
        <w:tblInd w:w="0" w:type="dxa"/>
        <w:tblLayout w:type="fixed"/>
        <w:tblCellMar>
          <w:top w:w="0" w:type="dxa"/>
          <w:left w:w="0" w:type="dxa"/>
          <w:bottom w:w="0" w:type="dxa"/>
          <w:right w:w="0" w:type="dxa"/>
        </w:tblCellMar>
      </w:tblPr>
      <w:tblGrid>
        <w:gridCol w:w="1921"/>
        <w:gridCol w:w="326"/>
        <w:gridCol w:w="826"/>
        <w:gridCol w:w="326"/>
        <w:gridCol w:w="3316"/>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283"/>
              <w:ind w:left="0" w:right="0" w:hanging="0"/>
              <w:jc w:val="left"/>
              <w:rPr>
                <w:sz w:val="4"/>
                <w:szCs w:val="4"/>
              </w:rPr>
            </w:pPr>
            <w:r>
              <w:rPr>
                <w:sz w:val="4"/>
                <w:szCs w:val="4"/>
              </w:rPr>
            </w:r>
          </w:p>
        </w:tc>
      </w:tr>
      <w:tr>
        <w:trPr/>
        <w:tc>
          <w:tcPr>
            <w:tcW w:w="192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283"/>
              <w:ind w:left="0" w:right="0" w:hanging="0"/>
              <w:jc w:val="left"/>
              <w:rPr>
                <w:sz w:val="4"/>
                <w:szCs w:val="4"/>
              </w:rPr>
            </w:pPr>
            <w:r>
              <w:rPr>
                <w:sz w:val="4"/>
                <w:szCs w:val="4"/>
              </w:rPr>
            </w:r>
          </w:p>
        </w:tc>
      </w:tr>
      <w:tr>
        <w:trPr/>
        <w:tc>
          <w:tcPr>
            <w:tcW w:w="19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vAlign w:val="center"/>
          </w:tcPr>
          <w:p>
            <w:pPr>
              <w:pStyle w:val="TableContents"/>
              <w:bidi w:val="0"/>
              <w:spacing w:before="0" w:after="0"/>
              <w:ind w:left="0" w:right="0" w:hanging="0"/>
              <w:jc w:val="center"/>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Symbol(s)</w:t>
            </w:r>
          </w:p>
        </w:tc>
        <w:tc>
          <w:tcPr>
            <w:tcW w:w="326" w:type="dxa"/>
            <w:tcBorders/>
            <w:vAlign w:val="center"/>
          </w:tcPr>
          <w:p>
            <w:pPr>
              <w:pStyle w:val="TableContents"/>
              <w:bidi w:val="0"/>
              <w:spacing w:before="0" w:after="0"/>
              <w:ind w:left="0" w:right="0" w:hanging="0"/>
              <w:jc w:val="center"/>
              <w:rPr/>
            </w:pPr>
            <w:r>
              <w:rPr/>
              <w:t>    </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9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Ordinary Shares</w:t>
            </w:r>
          </w:p>
        </w:tc>
        <w:tc>
          <w:tcPr>
            <w:tcW w:w="326" w:type="dxa"/>
            <w:tcBorders/>
            <w:vAlign w:val="center"/>
          </w:tcPr>
          <w:p>
            <w:pPr>
              <w:pStyle w:val="TableContents"/>
              <w:bidi w:val="0"/>
              <w:spacing w:before="0" w:after="0"/>
              <w:ind w:left="0" w:right="0" w:hanging="0"/>
              <w:jc w:val="center"/>
              <w:rPr/>
            </w:pPr>
            <w:r>
              <w:rPr/>
              <w:t>​</w:t>
            </w:r>
          </w:p>
        </w:tc>
        <w:tc>
          <w:tcPr>
            <w:tcW w:w="8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ZURA</w:t>
            </w:r>
          </w:p>
        </w:tc>
        <w:tc>
          <w:tcPr>
            <w:tcW w:w="326" w:type="dxa"/>
            <w:tcBorders/>
            <w:vAlign w:val="center"/>
          </w:tcPr>
          <w:p>
            <w:pPr>
              <w:pStyle w:val="TableContents"/>
              <w:bidi w:val="0"/>
              <w:spacing w:before="0" w:after="0"/>
              <w:ind w:left="0" w:right="0" w:hanging="0"/>
              <w:jc w:val="center"/>
              <w:rPr/>
            </w:pPr>
            <w:r>
              <w:rPr/>
              <w:t>​</w:t>
            </w:r>
          </w:p>
        </w:tc>
        <w:tc>
          <w:tcPr>
            <w:tcW w:w="33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The Nasdaq</w:t>
            </w:r>
            <w:r>
              <w:rPr>
                <w:rFonts w:ascii="Times New Roman;Times;serif" w:hAnsi="Times New Roman;Times;serif"/>
                <w:sz w:val="20"/>
              </w:rPr>
              <w:t xml:space="preserve"> </w:t>
            </w:r>
            <w:r>
              <w:rPr>
                <w:rFonts w:ascii="Times New Roman;Times;serif" w:hAnsi="Times New Roman;Times;serif"/>
                <w:b/>
                <w:sz w:val="16"/>
              </w:rPr>
              <w:t>Stock Market LLC</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Nasdaq Capital Market)</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ZURAW</w:t>
            </w:r>
          </w:p>
        </w:tc>
        <w:tc>
          <w:tcPr>
            <w:tcW w:w="32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The Nasdaq</w:t>
            </w:r>
            <w:r>
              <w:rPr>
                <w:rFonts w:ascii="Times New Roman;Times;serif" w:hAnsi="Times New Roman;Times;serif"/>
                <w:sz w:val="20"/>
              </w:rPr>
              <w:t xml:space="preserve"> </w:t>
            </w:r>
            <w:r>
              <w:rPr>
                <w:rFonts w:ascii="Times New Roman;Times;serif" w:hAnsi="Times New Roman;Times;serif"/>
                <w:b/>
                <w:sz w:val="16"/>
              </w:rPr>
              <w:t>Stock Market LLC</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Nasdaq Capital Market)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35" w:name="Tc_Va8HJVnPHEGEpSJxOKIeAQ_6_0"/>
      <w:bookmarkStart w:id="36" w:name="Tc_vb6EOZmdhk2yU_FFDtbRUw_4_4"/>
      <w:bookmarkStart w:id="37" w:name="Tc_kucJCr8SEEmidSsT8lTZgQ_4_2"/>
      <w:bookmarkStart w:id="38" w:name="Tc_yh_JOOEglEewEGjiHe6bWQ_2_6"/>
      <w:bookmarkStart w:id="39" w:name="Tc_-0ZyOhenPEmXQORp3BmeFw_2_4"/>
      <w:bookmarkStart w:id="40" w:name="Tc_gD11oKf7h0WgWeuewmG6Lw_2_2"/>
      <w:bookmarkStart w:id="41" w:name="Tc_du_0rgaYOEyFmkHmm3vZxw_2_0"/>
      <w:bookmarkStart w:id="42" w:name="_4ea28bd2_7387_4d15_a160_d0f74642b602"/>
      <w:bookmarkStart w:id="43" w:name="Tc_Va8HJVnPHEGEpSJxOKIeAQ_6_0"/>
      <w:bookmarkStart w:id="44" w:name="Tc_vb6EOZmdhk2yU_FFDtbRUw_4_4"/>
      <w:bookmarkStart w:id="45" w:name="Tc_kucJCr8SEEmidSsT8lTZgQ_4_2"/>
      <w:bookmarkStart w:id="46" w:name="Tc_yh_JOOEglEewEGjiHe6bWQ_2_6"/>
      <w:bookmarkStart w:id="47" w:name="Tc_-0ZyOhenPEmXQORp3BmeFw_2_4"/>
      <w:bookmarkStart w:id="48" w:name="Tc_gD11oKf7h0WgWeuewmG6Lw_2_2"/>
      <w:bookmarkStart w:id="49" w:name="Tc_du_0rgaYOEyFmkHmm3vZxw_2_0"/>
      <w:bookmarkStart w:id="50" w:name="_4ea28bd2_7387_4d15_a160_d0f74642b602"/>
      <w:bookmarkEnd w:id="43"/>
      <w:bookmarkEnd w:id="44"/>
      <w:bookmarkEnd w:id="45"/>
      <w:bookmarkEnd w:id="46"/>
      <w:bookmarkEnd w:id="47"/>
      <w:bookmarkEnd w:id="48"/>
      <w:bookmarkEnd w:id="49"/>
      <w:bookmarkEnd w:id="50"/>
    </w:p>
    <w:tbl>
      <w:tblPr>
        <w:tblW w:w="5056" w:type="dxa"/>
        <w:jc w:val="left"/>
        <w:tblInd w:w="0" w:type="dxa"/>
        <w:tblLayout w:type="fixed"/>
        <w:tblCellMar>
          <w:top w:w="0" w:type="dxa"/>
          <w:left w:w="0" w:type="dxa"/>
          <w:bottom w:w="0" w:type="dxa"/>
          <w:right w:w="0" w:type="dxa"/>
        </w:tblCellMar>
      </w:tblPr>
      <w:tblGrid>
        <w:gridCol w:w="2041"/>
        <w:gridCol w:w="109"/>
        <w:gridCol w:w="316"/>
        <w:gridCol w:w="109"/>
        <w:gridCol w:w="2011"/>
        <w:gridCol w:w="109"/>
        <w:gridCol w:w="361"/>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109"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pPr>
            <w:r>
              <w:rPr/>
              <w:t>​</w:t>
            </w:r>
          </w:p>
        </w:tc>
        <w:tc>
          <w:tcPr>
            <w:tcW w:w="425" w:type="dxa"/>
            <w:gridSpan w:val="2"/>
            <w:tcBorders/>
            <w:vAlign w:val="center"/>
          </w:tcPr>
          <w:p>
            <w:pPr>
              <w:pStyle w:val="TableContents"/>
              <w:bidi w:val="0"/>
              <w:spacing w:before="0" w:after="0"/>
              <w:ind w:left="0" w:right="0" w:hanging="0"/>
              <w:jc w:val="left"/>
              <w:rPr/>
            </w:pPr>
            <w:r>
              <w:rPr/>
              <w:t>​</w:t>
            </w:r>
          </w:p>
        </w:tc>
        <w:tc>
          <w:tcPr>
            <w:tcW w:w="2120" w:type="dxa"/>
            <w:gridSpan w:val="2"/>
            <w:tcBorders/>
            <w:vAlign w:val="center"/>
          </w:tcPr>
          <w:p>
            <w:pPr>
              <w:pStyle w:val="TableContents"/>
              <w:bidi w:val="0"/>
              <w:spacing w:before="0" w:after="0"/>
              <w:ind w:left="0" w:right="0" w:hanging="0"/>
              <w:jc w:val="left"/>
              <w:rPr/>
            </w:pPr>
            <w:r>
              <w:rPr/>
              <w:t>​</w:t>
            </w:r>
          </w:p>
        </w:tc>
        <w:tc>
          <w:tcPr>
            <w:tcW w:w="470" w:type="dxa"/>
            <w:gridSpan w:val="2"/>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109"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109"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As of November 13, 2023, the registrant had 43,593,678 Class A Ordinary Shares and 6,899,996 Public Warrants outstanding.</w:t>
      </w:r>
    </w:p>
    <w:p>
      <w:pPr>
        <w:pStyle w:val="TextBody"/>
        <w:bidi w:val="0"/>
        <w:spacing w:before="0" w:after="0"/>
        <w:ind w:left="0" w:right="0" w:hanging="0"/>
        <w:jc w:val="both"/>
        <w:rPr/>
      </w:pPr>
      <w:r>
        <w:rPr/>
        <w:t>​</w:t>
      </w:r>
    </w:p>
    <w:p>
      <w:pPr>
        <w:pStyle w:val="TextBody"/>
        <w:pBdr>
          <w:top w:val="single" w:sz="8" w:space="1" w:color="000000"/>
          <w:bottom w:val="single" w:sz="24" w:space="1" w:color="000000"/>
        </w:pBdr>
        <w:bidi w:val="0"/>
        <w:spacing w:before="0" w:after="0"/>
        <w:ind w:left="0" w:right="0" w:hanging="0"/>
        <w:jc w:val="center"/>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1" w:name="_0e90de44_d962_4062_bcf6_0c50b54872ba"/>
      <w:bookmarkStart w:id="52" w:name="TOC"/>
      <w:bookmarkEnd w:id="51"/>
      <w:bookmarkEnd w:id="5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976"/>
        <w:gridCol w:w="8392"/>
        <w:gridCol w:w="326"/>
        <w:gridCol w:w="511"/>
      </w:tblGrid>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8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328920" cy="29210"/>
                      <wp:effectExtent l="0" t="0" r="0" b="0"/>
                      <wp:wrapNone/>
                      <wp:docPr id="1" name="Frame1"/>
                      <a:graphic xmlns:a="http://schemas.openxmlformats.org/drawingml/2006/main">
                        <a:graphicData uri="http://schemas.microsoft.com/office/word/2010/wordprocessingShape">
                          <wps:wsp>
                            <wps:cNvSpPr txBox="1"/>
                            <wps:spPr>
                              <a:xfrm>
                                <a:off x="0" y="0"/>
                                <a:ext cx="53289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324485" cy="29210"/>
                      <wp:effectExtent l="0" t="0" r="0" b="0"/>
                      <wp:wrapNone/>
                      <wp:docPr id="2" name="Frame2"/>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83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76" w:type="dxa"/>
            <w:tcBorders/>
            <w:vAlign w:val="center"/>
          </w:tcPr>
          <w:p>
            <w:pPr>
              <w:pStyle w:val="TableContents"/>
              <w:bidi w:val="0"/>
              <w:spacing w:before="0" w:after="0"/>
              <w:ind w:left="0" w:right="0" w:hanging="0"/>
              <w:jc w:val="left"/>
              <w:rPr/>
            </w:pPr>
            <w:hyperlink w:anchor="PARTIFINANCIALINFORMATION_184627">
              <w:r>
                <w:rPr>
                  <w:rStyle w:val="InternetLink"/>
                  <w:rFonts w:ascii="Times New Roman;Times;serif" w:hAnsi="Times New Roman;Times;serif"/>
                  <w:b/>
                  <w:i w:val="false"/>
                  <w:caps w:val="false"/>
                  <w:smallCaps w:val="false"/>
                  <w:sz w:val="20"/>
                </w:rPr>
                <w:t>PART I</w:t>
              </w:r>
            </w:hyperlink>
          </w:p>
        </w:tc>
        <w:tc>
          <w:tcPr>
            <w:tcW w:w="8392" w:type="dxa"/>
            <w:tcBorders/>
            <w:vAlign w:val="center"/>
          </w:tcPr>
          <w:p>
            <w:pPr>
              <w:pStyle w:val="TableContents"/>
              <w:bidi w:val="0"/>
              <w:spacing w:before="0" w:after="0"/>
              <w:ind w:left="0" w:right="0" w:hanging="0"/>
              <w:jc w:val="left"/>
              <w:rPr/>
            </w:pPr>
            <w:hyperlink w:anchor="PARTIFINANCIALINFORMATION_184627">
              <w:r>
                <w:rPr>
                  <w:rStyle w:val="InternetLink"/>
                  <w:rFonts w:ascii="Times New Roman;Times;serif" w:hAnsi="Times New Roman;Times;serif"/>
                  <w:b w:val="false"/>
                  <w:i w:val="false"/>
                  <w:caps w:val="false"/>
                  <w:smallCaps w:val="false"/>
                  <w:sz w:val="20"/>
                </w:rPr>
                <w:t>FINANCIAL INFORMATION</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hyperlink w:anchor="Item1FinancialStatements_99631">
              <w:r>
                <w:rPr>
                  <w:rStyle w:val="InternetLink"/>
                  <w:rFonts w:ascii="Times New Roman;Times;serif" w:hAnsi="Times New Roman;Times;serif"/>
                  <w:b w:val="false"/>
                  <w:i w:val="false"/>
                  <w:caps w:val="false"/>
                  <w:smallCaps w:val="false"/>
                  <w:sz w:val="20"/>
                </w:rPr>
                <w:t>Item 1.</w:t>
              </w:r>
            </w:hyperlink>
          </w:p>
        </w:tc>
        <w:tc>
          <w:tcPr>
            <w:tcW w:w="8392" w:type="dxa"/>
            <w:tcBorders/>
            <w:vAlign w:val="center"/>
          </w:tcPr>
          <w:p>
            <w:pPr>
              <w:pStyle w:val="TableContents"/>
              <w:bidi w:val="0"/>
              <w:spacing w:before="0" w:after="0"/>
              <w:ind w:left="0" w:right="0" w:hanging="0"/>
              <w:jc w:val="left"/>
              <w:rPr/>
            </w:pPr>
            <w:hyperlink w:anchor="Item1FinancialStatements_99631">
              <w:r>
                <w:rPr>
                  <w:rStyle w:val="InternetLink"/>
                  <w:rFonts w:ascii="Times New Roman;Times;serif" w:hAnsi="Times New Roman;Times;serif"/>
                  <w:b w:val="false"/>
                  <w:i w:val="false"/>
                  <w:caps w:val="false"/>
                  <w:smallCaps w:val="false"/>
                  <w:sz w:val="20"/>
                </w:rPr>
                <w:t xml:space="preserve">Financial Statements </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8392" w:type="dxa"/>
            <w:tcBorders/>
            <w:vAlign w:val="center"/>
          </w:tcPr>
          <w:p>
            <w:pPr>
              <w:pStyle w:val="TableContents"/>
              <w:bidi w:val="0"/>
              <w:spacing w:before="0" w:after="0"/>
              <w:ind w:left="0" w:right="0" w:hanging="0"/>
              <w:jc w:val="left"/>
              <w:rPr/>
            </w:pPr>
            <w:hyperlink w:anchor="CondensedConsolidatedBalanceSheets_20331">
              <w:r>
                <w:rPr>
                  <w:rStyle w:val="InternetLink"/>
                  <w:rFonts w:ascii="Times New Roman;Times;serif" w:hAnsi="Times New Roman;Times;serif"/>
                  <w:b w:val="false"/>
                  <w:i w:val="false"/>
                  <w:caps w:val="false"/>
                  <w:smallCaps w:val="false"/>
                  <w:sz w:val="20"/>
                </w:rPr>
                <w:t>Condensed Consolidated Balance Sheets</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8392" w:type="dxa"/>
            <w:tcBorders/>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 xml:space="preserve">Condensed Consolidated Statements of Operations </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76" w:type="dxa"/>
            <w:tcBorders/>
            <w:vAlign w:val="center"/>
          </w:tcPr>
          <w:p>
            <w:pPr>
              <w:pStyle w:val="TableContents"/>
              <w:bidi w:val="0"/>
              <w:spacing w:before="0" w:after="0"/>
              <w:ind w:left="0" w:right="0" w:hanging="0"/>
              <w:jc w:val="left"/>
              <w:rPr/>
            </w:pPr>
            <w:r>
              <w:rPr/>
              <w:t>​</w:t>
            </w:r>
          </w:p>
        </w:tc>
        <w:tc>
          <w:tcPr>
            <w:tcW w:w="8392" w:type="dxa"/>
            <w:tcBorders/>
            <w:vAlign w:val="center"/>
          </w:tcPr>
          <w:p>
            <w:pPr>
              <w:pStyle w:val="TableContents"/>
              <w:bidi w:val="0"/>
              <w:spacing w:before="0" w:after="0"/>
              <w:ind w:left="0" w:right="0" w:hanging="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Convertible Preferred Shares, Redeemable Noncontrolling Interest and Shareholders’ Equity (Deficit)</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76" w:type="dxa"/>
            <w:tcBorders/>
            <w:vAlign w:val="center"/>
          </w:tcPr>
          <w:p>
            <w:pPr>
              <w:pStyle w:val="TableContents"/>
              <w:bidi w:val="0"/>
              <w:spacing w:before="0" w:after="0"/>
              <w:ind w:left="0" w:right="0" w:hanging="0"/>
              <w:jc w:val="left"/>
              <w:rPr/>
            </w:pPr>
            <w:r>
              <w:rPr/>
              <w:t>​</w:t>
            </w:r>
          </w:p>
        </w:tc>
        <w:tc>
          <w:tcPr>
            <w:tcW w:w="8392"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976" w:type="dxa"/>
            <w:tcBorders/>
            <w:vAlign w:val="center"/>
          </w:tcPr>
          <w:p>
            <w:pPr>
              <w:pStyle w:val="TableContents"/>
              <w:bidi w:val="0"/>
              <w:spacing w:before="0" w:after="0"/>
              <w:ind w:left="0" w:right="0" w:hanging="0"/>
              <w:jc w:val="left"/>
              <w:rPr/>
            </w:pPr>
            <w:r>
              <w:rPr/>
              <w:t>​</w:t>
            </w:r>
          </w:p>
        </w:tc>
        <w:tc>
          <w:tcPr>
            <w:tcW w:w="8392" w:type="dxa"/>
            <w:tcBorders/>
            <w:vAlign w:val="center"/>
          </w:tcPr>
          <w:p>
            <w:pPr>
              <w:pStyle w:val="TableContents"/>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7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392"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7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392"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76" w:type="dxa"/>
            <w:tcBorders/>
            <w:vAlign w:val="center"/>
          </w:tcPr>
          <w:p>
            <w:pPr>
              <w:pStyle w:val="TableContents"/>
              <w:bidi w:val="0"/>
              <w:spacing w:before="0" w:after="0"/>
              <w:ind w:left="0" w:right="0" w:hanging="0"/>
              <w:jc w:val="left"/>
              <w:rPr/>
            </w:pPr>
            <w:hyperlink w:anchor="Item4ControlsandProcedures_48500">
              <w:r>
                <w:rPr>
                  <w:rStyle w:val="InternetLink"/>
                  <w:rFonts w:ascii="Times New Roman;Times;serif" w:hAnsi="Times New Roman;Times;serif"/>
                  <w:b w:val="false"/>
                  <w:i w:val="false"/>
                  <w:caps w:val="false"/>
                  <w:smallCaps w:val="false"/>
                  <w:sz w:val="20"/>
                </w:rPr>
                <w:t>Item 4.</w:t>
              </w:r>
            </w:hyperlink>
          </w:p>
        </w:tc>
        <w:tc>
          <w:tcPr>
            <w:tcW w:w="8392" w:type="dxa"/>
            <w:tcBorders/>
            <w:vAlign w:val="center"/>
          </w:tcPr>
          <w:p>
            <w:pPr>
              <w:pStyle w:val="TableContents"/>
              <w:bidi w:val="0"/>
              <w:spacing w:before="0" w:after="0"/>
              <w:ind w:left="0" w:right="0" w:hanging="0"/>
              <w:jc w:val="left"/>
              <w:rPr/>
            </w:pPr>
            <w:hyperlink w:anchor="Item4ControlsandProcedures_48500">
              <w:r>
                <w:rPr>
                  <w:rStyle w:val="InternetLink"/>
                  <w:rFonts w:ascii="Times New Roman;Times;serif" w:hAnsi="Times New Roman;Times;serif"/>
                  <w:b w:val="false"/>
                  <w:i w:val="false"/>
                  <w:caps w:val="false"/>
                  <w:smallCaps w:val="false"/>
                  <w:sz w:val="20"/>
                </w:rPr>
                <w:t>Controls and Procedures</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76" w:type="dxa"/>
            <w:tcBorders/>
            <w:vAlign w:val="center"/>
          </w:tcPr>
          <w:p>
            <w:pPr>
              <w:pStyle w:val="TableContents"/>
              <w:bidi w:val="0"/>
              <w:spacing w:before="0" w:after="0"/>
              <w:ind w:left="0" w:right="0" w:hanging="0"/>
              <w:jc w:val="left"/>
              <w:rPr/>
            </w:pPr>
            <w:r>
              <w:rPr/>
              <w:t>​</w:t>
            </w:r>
          </w:p>
        </w:tc>
        <w:tc>
          <w:tcPr>
            <w:tcW w:w="83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hyperlink w:anchor="PARTII_892047">
              <w:r>
                <w:rPr>
                  <w:rStyle w:val="InternetLink"/>
                  <w:rFonts w:ascii="Times New Roman;Times;serif" w:hAnsi="Times New Roman;Times;serif"/>
                  <w:b/>
                  <w:i w:val="false"/>
                  <w:caps w:val="false"/>
                  <w:smallCaps w:val="false"/>
                  <w:sz w:val="20"/>
                </w:rPr>
                <w:t>PART II</w:t>
              </w:r>
            </w:hyperlink>
          </w:p>
        </w:tc>
        <w:tc>
          <w:tcPr>
            <w:tcW w:w="8392" w:type="dxa"/>
            <w:tcBorders/>
            <w:vAlign w:val="center"/>
          </w:tcPr>
          <w:p>
            <w:pPr>
              <w:pStyle w:val="TableContents"/>
              <w:bidi w:val="0"/>
              <w:spacing w:before="0" w:after="0"/>
              <w:ind w:left="0" w:right="0" w:hanging="0"/>
              <w:jc w:val="left"/>
              <w:rPr/>
            </w:pPr>
            <w:hyperlink w:anchor="PARTII_892047">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76" w:type="dxa"/>
            <w:tcBorders/>
            <w:vAlign w:val="center"/>
          </w:tcPr>
          <w:p>
            <w:pPr>
              <w:pStyle w:val="TableContents"/>
              <w:bidi w:val="0"/>
              <w:spacing w:before="0" w:after="0"/>
              <w:ind w:left="0" w:right="0" w:hanging="0"/>
              <w:jc w:val="left"/>
              <w:rPr/>
            </w:pPr>
            <w:r>
              <w:rPr/>
              <w:t>​</w:t>
            </w:r>
          </w:p>
        </w:tc>
        <w:tc>
          <w:tcPr>
            <w:tcW w:w="83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hyperlink w:anchor="Item1LegalProceedings_42633">
              <w:r>
                <w:rPr>
                  <w:rStyle w:val="InternetLink"/>
                  <w:rFonts w:ascii="Times New Roman;Times;serif" w:hAnsi="Times New Roman;Times;serif"/>
                  <w:b w:val="false"/>
                  <w:i w:val="false"/>
                  <w:caps w:val="false"/>
                  <w:smallCaps w:val="false"/>
                  <w:sz w:val="20"/>
                </w:rPr>
                <w:t xml:space="preserve">Item 1. </w:t>
              </w:r>
            </w:hyperlink>
          </w:p>
        </w:tc>
        <w:tc>
          <w:tcPr>
            <w:tcW w:w="8392" w:type="dxa"/>
            <w:tcBorders/>
            <w:vAlign w:val="center"/>
          </w:tcPr>
          <w:p>
            <w:pPr>
              <w:pStyle w:val="TableContents"/>
              <w:bidi w:val="0"/>
              <w:spacing w:before="0" w:after="0"/>
              <w:ind w:left="0" w:right="0" w:hanging="0"/>
              <w:jc w:val="left"/>
              <w:rPr/>
            </w:pPr>
            <w:hyperlink w:anchor="Item1LegalProceedings_42633">
              <w:r>
                <w:rPr>
                  <w:rStyle w:val="InternetLink"/>
                  <w:rFonts w:ascii="Times New Roman;Times;serif" w:hAnsi="Times New Roman;Times;serif"/>
                  <w:b w:val="false"/>
                  <w:i w:val="false"/>
                  <w:caps w:val="false"/>
                  <w:smallCaps w:val="false"/>
                  <w:sz w:val="20"/>
                </w:rPr>
                <w:t>Legal Proceedings</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76" w:type="dxa"/>
            <w:tcBorders/>
            <w:vAlign w:val="center"/>
          </w:tcPr>
          <w:p>
            <w:pPr>
              <w:pStyle w:val="TableContents"/>
              <w:bidi w:val="0"/>
              <w:spacing w:before="0" w:after="0"/>
              <w:ind w:left="0" w:right="0" w:hanging="0"/>
              <w:jc w:val="left"/>
              <w:rPr/>
            </w:pPr>
            <w:hyperlink w:anchor="Item1ARiskFactors_452234">
              <w:r>
                <w:rPr>
                  <w:rStyle w:val="InternetLink"/>
                  <w:rFonts w:ascii="Times New Roman;Times;serif" w:hAnsi="Times New Roman;Times;serif"/>
                  <w:b w:val="false"/>
                  <w:i w:val="false"/>
                  <w:caps w:val="false"/>
                  <w:smallCaps w:val="false"/>
                  <w:sz w:val="20"/>
                </w:rPr>
                <w:t>Item 1A.</w:t>
              </w:r>
            </w:hyperlink>
          </w:p>
        </w:tc>
        <w:tc>
          <w:tcPr>
            <w:tcW w:w="8392" w:type="dxa"/>
            <w:tcBorders/>
            <w:vAlign w:val="center"/>
          </w:tcPr>
          <w:p>
            <w:pPr>
              <w:pStyle w:val="TableContents"/>
              <w:bidi w:val="0"/>
              <w:spacing w:before="0" w:after="0"/>
              <w:ind w:left="0" w:right="0" w:hanging="0"/>
              <w:jc w:val="left"/>
              <w:rPr/>
            </w:pPr>
            <w:hyperlink w:anchor="Item1ARiskFactors_452234">
              <w:r>
                <w:rPr>
                  <w:rStyle w:val="InternetLink"/>
                  <w:rFonts w:ascii="Times New Roman;Times;serif" w:hAnsi="Times New Roman;Times;serif"/>
                  <w:b w:val="false"/>
                  <w:i w:val="false"/>
                  <w:caps w:val="false"/>
                  <w:smallCaps w:val="false"/>
                  <w:sz w:val="20"/>
                </w:rPr>
                <w:t>Risk Factors</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7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392"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76" w:type="dxa"/>
            <w:tcBorders/>
            <w:vAlign w:val="center"/>
          </w:tcPr>
          <w:p>
            <w:pPr>
              <w:pStyle w:val="TableContents"/>
              <w:bidi w:val="0"/>
              <w:spacing w:before="0" w:after="0"/>
              <w:ind w:left="0" w:right="0" w:hanging="0"/>
              <w:jc w:val="left"/>
              <w:rPr/>
            </w:pPr>
            <w:hyperlink w:anchor="Item3DefaultsuponSeniorSecurities_116074">
              <w:r>
                <w:rPr>
                  <w:rStyle w:val="InternetLink"/>
                  <w:rFonts w:ascii="Times New Roman;Times;serif" w:hAnsi="Times New Roman;Times;serif"/>
                  <w:b w:val="false"/>
                  <w:i w:val="false"/>
                  <w:caps w:val="false"/>
                  <w:smallCaps w:val="false"/>
                  <w:sz w:val="20"/>
                </w:rPr>
                <w:t>Item 3.</w:t>
              </w:r>
            </w:hyperlink>
          </w:p>
        </w:tc>
        <w:tc>
          <w:tcPr>
            <w:tcW w:w="8392" w:type="dxa"/>
            <w:tcBorders/>
            <w:vAlign w:val="center"/>
          </w:tcPr>
          <w:p>
            <w:pPr>
              <w:pStyle w:val="TableContents"/>
              <w:bidi w:val="0"/>
              <w:spacing w:before="0" w:after="0"/>
              <w:ind w:left="0" w:right="0" w:hanging="0"/>
              <w:jc w:val="left"/>
              <w:rPr/>
            </w:pPr>
            <w:hyperlink w:anchor="Item3DefaultsuponSeniorSecurities_116074">
              <w:r>
                <w:rPr>
                  <w:rStyle w:val="InternetLink"/>
                  <w:rFonts w:ascii="Times New Roman;Times;serif" w:hAnsi="Times New Roman;Times;serif"/>
                  <w:b w:val="false"/>
                  <w:i w:val="false"/>
                  <w:caps w:val="false"/>
                  <w:smallCaps w:val="false"/>
                  <w:sz w:val="20"/>
                </w:rPr>
                <w:t>Defaults Upon Senior Securities</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76" w:type="dxa"/>
            <w:tcBorders/>
            <w:vAlign w:val="center"/>
          </w:tcPr>
          <w:p>
            <w:pPr>
              <w:pStyle w:val="TableContents"/>
              <w:bidi w:val="0"/>
              <w:spacing w:before="0" w:after="0"/>
              <w:ind w:left="0" w:right="0" w:hanging="0"/>
              <w:jc w:val="left"/>
              <w:rPr/>
            </w:pPr>
            <w:hyperlink w:anchor="Item4MineSafetyDisclosures_196648">
              <w:r>
                <w:rPr>
                  <w:rStyle w:val="InternetLink"/>
                  <w:rFonts w:ascii="Times New Roman;Times;serif" w:hAnsi="Times New Roman;Times;serif"/>
                  <w:b w:val="false"/>
                  <w:i w:val="false"/>
                  <w:caps w:val="false"/>
                  <w:smallCaps w:val="false"/>
                  <w:sz w:val="20"/>
                </w:rPr>
                <w:t>Item 4.</w:t>
              </w:r>
            </w:hyperlink>
          </w:p>
        </w:tc>
        <w:tc>
          <w:tcPr>
            <w:tcW w:w="8392" w:type="dxa"/>
            <w:tcBorders/>
            <w:vAlign w:val="center"/>
          </w:tcPr>
          <w:p>
            <w:pPr>
              <w:pStyle w:val="TableContents"/>
              <w:bidi w:val="0"/>
              <w:spacing w:before="0" w:after="0"/>
              <w:ind w:left="0" w:right="0" w:hanging="0"/>
              <w:jc w:val="left"/>
              <w:rPr/>
            </w:pPr>
            <w:hyperlink w:anchor="Item4MineSafetyDisclosures_196648">
              <w:r>
                <w:rPr>
                  <w:rStyle w:val="InternetLink"/>
                  <w:rFonts w:ascii="Times New Roman;Times;serif" w:hAnsi="Times New Roman;Times;serif"/>
                  <w:b w:val="false"/>
                  <w:i w:val="false"/>
                  <w:caps w:val="false"/>
                  <w:smallCaps w:val="false"/>
                  <w:sz w:val="20"/>
                </w:rPr>
                <w:t>Mine Safety Disclosures</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76" w:type="dxa"/>
            <w:tcBorders/>
            <w:vAlign w:val="center"/>
          </w:tcPr>
          <w:p>
            <w:pPr>
              <w:pStyle w:val="TableContents"/>
              <w:bidi w:val="0"/>
              <w:spacing w:before="0" w:after="0"/>
              <w:ind w:left="0" w:right="0" w:hanging="0"/>
              <w:jc w:val="left"/>
              <w:rPr/>
            </w:pPr>
            <w:hyperlink w:anchor="Item5OtherInformation_48447">
              <w:r>
                <w:rPr>
                  <w:rStyle w:val="InternetLink"/>
                  <w:rFonts w:ascii="Times New Roman;Times;serif" w:hAnsi="Times New Roman;Times;serif"/>
                  <w:b w:val="false"/>
                  <w:i w:val="false"/>
                  <w:caps w:val="false"/>
                  <w:smallCaps w:val="false"/>
                  <w:sz w:val="20"/>
                </w:rPr>
                <w:t>Item 5.</w:t>
              </w:r>
            </w:hyperlink>
          </w:p>
        </w:tc>
        <w:tc>
          <w:tcPr>
            <w:tcW w:w="8392" w:type="dxa"/>
            <w:tcBorders/>
            <w:vAlign w:val="center"/>
          </w:tcPr>
          <w:p>
            <w:pPr>
              <w:pStyle w:val="TableContents"/>
              <w:bidi w:val="0"/>
              <w:spacing w:before="0" w:after="0"/>
              <w:ind w:left="0" w:right="0" w:hanging="0"/>
              <w:jc w:val="left"/>
              <w:rPr/>
            </w:pPr>
            <w:hyperlink w:anchor="Item5OtherInformation_48447">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76" w:type="dxa"/>
            <w:tcBorders/>
            <w:vAlign w:val="center"/>
          </w:tcPr>
          <w:p>
            <w:pPr>
              <w:pStyle w:val="TableContents"/>
              <w:bidi w:val="0"/>
              <w:spacing w:before="0" w:after="0"/>
              <w:ind w:left="0" w:right="0" w:hanging="0"/>
              <w:jc w:val="left"/>
              <w:rPr/>
            </w:pPr>
            <w:hyperlink w:anchor="Item6Exhibits_285515">
              <w:r>
                <w:rPr>
                  <w:rStyle w:val="InternetLink"/>
                  <w:rFonts w:ascii="Times New Roman;Times;serif" w:hAnsi="Times New Roman;Times;serif"/>
                  <w:b w:val="false"/>
                  <w:i w:val="false"/>
                  <w:caps w:val="false"/>
                  <w:smallCaps w:val="false"/>
                  <w:sz w:val="20"/>
                </w:rPr>
                <w:t>Item 6.</w:t>
              </w:r>
            </w:hyperlink>
          </w:p>
        </w:tc>
        <w:tc>
          <w:tcPr>
            <w:tcW w:w="8392" w:type="dxa"/>
            <w:tcBorders/>
            <w:vAlign w:val="center"/>
          </w:tcPr>
          <w:p>
            <w:pPr>
              <w:pStyle w:val="TableContents"/>
              <w:bidi w:val="0"/>
              <w:spacing w:before="0" w:after="0"/>
              <w:ind w:left="0" w:right="0" w:hanging="0"/>
              <w:jc w:val="left"/>
              <w:rPr/>
            </w:pPr>
            <w:hyperlink w:anchor="Item6Exhibits_285515">
              <w:r>
                <w:rPr>
                  <w:rStyle w:val="InternetLink"/>
                  <w:rFonts w:ascii="Times New Roman;Times;serif" w:hAnsi="Times New Roman;Times;serif"/>
                  <w:b w:val="false"/>
                  <w:i w:val="false"/>
                  <w:caps w:val="false"/>
                  <w:smallCaps w:val="false"/>
                  <w:sz w:val="20"/>
                </w:rPr>
                <w:t>Exhibits</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976" w:type="dxa"/>
            <w:tcBorders/>
            <w:vAlign w:val="center"/>
          </w:tcPr>
          <w:p>
            <w:pPr>
              <w:pStyle w:val="TableContents"/>
              <w:bidi w:val="0"/>
              <w:spacing w:before="0" w:after="0"/>
              <w:ind w:left="0" w:right="0" w:hanging="0"/>
              <w:jc w:val="left"/>
              <w:rPr/>
            </w:pPr>
            <w:hyperlink w:anchor="SIGNATURES_847521">
              <w:r>
                <w:rPr>
                  <w:rStyle w:val="InternetLink"/>
                  <w:rFonts w:ascii="Times New Roman;Times;serif" w:hAnsi="Times New Roman;Times;serif"/>
                  <w:b w:val="false"/>
                  <w:i w:val="false"/>
                  <w:caps w:val="false"/>
                  <w:smallCaps w:val="false"/>
                  <w:sz w:val="20"/>
                </w:rPr>
                <w:t>Signatures</w:t>
              </w:r>
            </w:hyperlink>
          </w:p>
        </w:tc>
        <w:tc>
          <w:tcPr>
            <w:tcW w:w="8392" w:type="dxa"/>
            <w:tcBorders/>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right"/>
              <w:rPr/>
            </w:pPr>
            <w:r>
              <w:rPr/>
              <w:t>​</w:t>
            </w:r>
          </w:p>
        </w:tc>
        <w:tc>
          <w:tcPr>
            <w:tcW w:w="51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3" w:name="_87609a8d_d07e_4ec3_8a88_96db04bf59fd"/>
      <w:bookmarkEnd w:id="53"/>
      <w:r>
        <w:rPr>
          <w:rFonts w:ascii="Times New Roman;Times;serif" w:hAnsi="Times New Roman;Times;serif"/>
          <w:b/>
          <w:sz w:val="20"/>
        </w:rPr>
        <w:t>CAUTIONARY NOTE REGARDING FORWARD-LOOKING STATEMENTS</w:t>
      </w:r>
    </w:p>
    <w:p>
      <w:pPr>
        <w:pStyle w:val="TextBody"/>
        <w:bidi w:val="0"/>
        <w:spacing w:before="0" w:after="240"/>
        <w:ind w:left="0" w:right="0" w:firstLine="399"/>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the safe harbor provisions of the Private Securities Litigation Reform Act of 1995.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 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Quarterly Report on Form 10-Q may include, for example, statements about: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 Bio Limited (“Zura” , or “the Company”)’s success in retaining or recruiting, or changes required in, its officers, key employees or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relating to the business, operations and financial performance of Zura, including, but not limited to Zura’s limited operating history;</w:t>
            </w:r>
          </w:p>
        </w:tc>
      </w:tr>
    </w:tbl>
    <w:tbl>
      <w:tblPr>
        <w:tblW w:w="9096" w:type="dxa"/>
        <w:jc w:val="left"/>
        <w:tblInd w:w="0" w:type="dxa"/>
        <w:tblLayout w:type="fixed"/>
        <w:tblCellMar>
          <w:top w:w="28" w:type="dxa"/>
          <w:left w:w="28" w:type="dxa"/>
          <w:bottom w:w="28" w:type="dxa"/>
          <w:right w:w="28" w:type="dxa"/>
        </w:tblCellMar>
      </w:tblPr>
      <w:tblGrid>
        <w:gridCol w:w="124"/>
        <w:gridCol w:w="256"/>
        <w:gridCol w:w="8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Zura has not completed any clinical trials, and has no products approved for commercial sale;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Zura has incurred significant losses since inception, and it expects to incur significant losses for the foreseeable future and may not be able to achieve or sustain profitability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Zura requires substantial additional capital to finance its operations, and if it is unable to raise such capital when needed or on acceptable terms, it may be forced to delay, reduce, and/or eliminate one or more of its development programs or future commercialization efforts;</w:t>
            </w:r>
          </w:p>
        </w:tc>
      </w:tr>
    </w:tbl>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Zura’s ability to renew existing contracts;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Zura’s ability to obtain regulatory approval for its products, and any related restrictions or limitations of any approved products;</w:t>
            </w:r>
          </w:p>
        </w:tc>
      </w:tr>
    </w:tbl>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Zura’s ability to respond to general economic conditions;</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Zura’s ability to manage its growth effectively;</w:t>
            </w:r>
          </w:p>
        </w:tc>
      </w:tr>
    </w:tbl>
    <w:tbl>
      <w:tblPr>
        <w:tblW w:w="3711" w:type="dxa"/>
        <w:jc w:val="left"/>
        <w:tblInd w:w="0" w:type="dxa"/>
        <w:tblLayout w:type="fixed"/>
        <w:tblCellMar>
          <w:top w:w="28" w:type="dxa"/>
          <w:left w:w="28" w:type="dxa"/>
          <w:bottom w:w="28" w:type="dxa"/>
          <w:right w:w="28" w:type="dxa"/>
        </w:tblCellMar>
      </w:tblPr>
      <w:tblGrid>
        <w:gridCol w:w="124"/>
        <w:gridCol w:w="256"/>
        <w:gridCol w:w="3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COVID-19 pandemic;</w:t>
            </w:r>
          </w:p>
        </w:tc>
      </w:tr>
    </w:tbl>
    <w:tbl>
      <w:tblPr>
        <w:tblW w:w="10011" w:type="dxa"/>
        <w:jc w:val="left"/>
        <w:tblInd w:w="0" w:type="dxa"/>
        <w:tblLayout w:type="fixed"/>
        <w:tblCellMar>
          <w:top w:w="28" w:type="dxa"/>
          <w:left w:w="28" w:type="dxa"/>
          <w:bottom w:w="28" w:type="dxa"/>
          <w:right w:w="28" w:type="dxa"/>
        </w:tblCellMar>
      </w:tblPr>
      <w:tblGrid>
        <w:gridCol w:w="124"/>
        <w:gridCol w:w="256"/>
        <w:gridCol w:w="9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and competitive pressures from other companies worldwide in the industries in which Zura operates; and</w:t>
            </w:r>
          </w:p>
        </w:tc>
      </w:tr>
    </w:tbl>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and the ability to adequately protect Zura’s intellectual property rights.</w:t>
            </w:r>
          </w:p>
        </w:tc>
      </w:tr>
    </w:tbl>
    <w:p>
      <w:pPr>
        <w:pStyle w:val="TextBody"/>
        <w:bidi w:val="0"/>
        <w:spacing w:before="0" w:after="240"/>
        <w:ind w:left="0" w:right="0" w:firstLine="399"/>
        <w:jc w:val="both"/>
        <w:rPr>
          <w:rFonts w:ascii="Times New Roman;Times;serif" w:hAnsi="Times New Roman;Times;serif"/>
          <w:sz w:val="20"/>
        </w:rPr>
      </w:pPr>
      <w:r>
        <w:rPr>
          <w:rFonts w:ascii="Times New Roman;Times;serif" w:hAnsi="Times New Roman;Times;serif"/>
          <w:sz w:val="20"/>
        </w:rPr>
        <w:t>These and other factors that could cause actual results to differ from those implied by the forward- looking statements in this Quarterly Report on Form 10-Q are more fully described under the heading “</w:t>
      </w:r>
      <w:r>
        <w:rPr>
          <w:rFonts w:ascii="Times New Roman;Times;serif" w:hAnsi="Times New Roman;Times;serif"/>
          <w:i/>
          <w:sz w:val="20"/>
        </w:rPr>
        <w:t>Risk Factors</w:t>
      </w:r>
      <w:r>
        <w:rPr>
          <w:rFonts w:ascii="Times New Roman;Times;serif" w:hAnsi="Times New Roman;Times;serif"/>
          <w:sz w:val="20"/>
        </w:rPr>
        <w:t>” in the Company’s Registration Statement on Form S-4/A filed with the SEC on February 23, 2023. New risk factors emerge from time to time and it is not possible to predict all such risk factors, nor can Zura assess the impact of all such risk factors on the business of Zura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Zura or persons acting on its behalf are expressly qualified in their entirety by the foregoing cautionary statements. Zura undertakes no obligations to update or revise publicly any forward-looking statements, whether as a result of new information, future events or otherwise, except as required by law.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firstLine="403"/>
        <w:jc w:val="both"/>
        <w:rPr>
          <w:rFonts w:ascii="Times New Roman;Times;serif" w:hAnsi="Times New Roman;Times;serif"/>
          <w:sz w:val="20"/>
        </w:rPr>
      </w:pPr>
      <w:r>
        <w:rPr>
          <w:rFonts w:ascii="Times New Roman;Times;serif" w:hAnsi="Times New Roman;Times;serif"/>
          <w:sz w:val="20"/>
        </w:rPr>
        <w:t>In addition, statements of belief and similar statements reflect the beliefs and opinions of Zura on the relevant subject. These statements are based upon information available to Zura as of the date of this Quarterly Report on Form 10-Q, and while Zura believes such information forms a reasonable basis for such statements, such information may be limited or incomplete, and statements should not be read to indicate that Zura has conducted an exhaustive inquiry into, or review of, all potentially available relevant information. These statements are inherently uncertain and you should not put undue reliance on these statements, including, for example, statements about:</w:t>
      </w:r>
    </w:p>
    <w:tbl>
      <w:tblPr>
        <w:tblW w:w="2721" w:type="dxa"/>
        <w:jc w:val="left"/>
        <w:tblInd w:w="0" w:type="dxa"/>
        <w:tblLayout w:type="fixed"/>
        <w:tblCellMar>
          <w:top w:w="28" w:type="dxa"/>
          <w:left w:w="28" w:type="dxa"/>
          <w:bottom w:w="28" w:type="dxa"/>
          <w:right w:w="28" w:type="dxa"/>
        </w:tblCellMar>
      </w:tblPr>
      <w:tblGrid>
        <w:gridCol w:w="124"/>
        <w:gridCol w:w="256"/>
        <w:gridCol w:w="2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Zura’s market opportunity;</w:t>
            </w:r>
          </w:p>
        </w:tc>
      </w:tr>
    </w:tbl>
    <w:tbl>
      <w:tblPr>
        <w:tblW w:w="5061" w:type="dxa"/>
        <w:jc w:val="left"/>
        <w:tblInd w:w="0" w:type="dxa"/>
        <w:tblLayout w:type="fixed"/>
        <w:tblCellMar>
          <w:top w:w="28" w:type="dxa"/>
          <w:left w:w="28" w:type="dxa"/>
          <w:bottom w:w="28" w:type="dxa"/>
          <w:right w:w="28" w:type="dxa"/>
        </w:tblCellMar>
      </w:tblPr>
      <w:tblGrid>
        <w:gridCol w:w="124"/>
        <w:gridCol w:w="256"/>
        <w:gridCol w:w="4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Zura’s public securities’ potential liquidity and trading;</w:t>
            </w:r>
          </w:p>
        </w:tc>
      </w:tr>
    </w:tbl>
    <w:tbl>
      <w:tblPr>
        <w:tblW w:w="4176" w:type="dxa"/>
        <w:jc w:val="left"/>
        <w:tblInd w:w="0" w:type="dxa"/>
        <w:tblLayout w:type="fixed"/>
        <w:tblCellMar>
          <w:top w:w="28" w:type="dxa"/>
          <w:left w:w="28" w:type="dxa"/>
          <w:bottom w:w="28" w:type="dxa"/>
          <w:right w:w="28" w:type="dxa"/>
        </w:tblCellMar>
      </w:tblPr>
      <w:tblGrid>
        <w:gridCol w:w="124"/>
        <w:gridCol w:w="256"/>
        <w:gridCol w:w="3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Zura’s ability to raise financing in the future;</w:t>
            </w:r>
          </w:p>
        </w:tc>
      </w:tr>
    </w:tbl>
    <w:tbl>
      <w:tblPr>
        <w:tblW w:w="8346" w:type="dxa"/>
        <w:jc w:val="left"/>
        <w:tblInd w:w="0" w:type="dxa"/>
        <w:tblLayout w:type="fixed"/>
        <w:tblCellMar>
          <w:top w:w="28" w:type="dxa"/>
          <w:left w:w="28" w:type="dxa"/>
          <w:bottom w:w="28" w:type="dxa"/>
          <w:right w:w="28" w:type="dxa"/>
        </w:tblCellMar>
      </w:tblPr>
      <w:tblGrid>
        <w:gridCol w:w="124"/>
        <w:gridCol w:w="25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attraction and retention of qualified directors, officers, employees and key personnel of Zura;</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Zura to compete effectively in a highly competitive market;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competition from larger pharmaceutical and biotechnology companies that have greater resources, technology, relationships and/or expertise;</w:t>
            </w:r>
          </w:p>
        </w:tc>
      </w:tr>
    </w:tbl>
    <w:tbl>
      <w:tblPr>
        <w:tblW w:w="6426" w:type="dxa"/>
        <w:jc w:val="left"/>
        <w:tblInd w:w="0" w:type="dxa"/>
        <w:tblLayout w:type="fixed"/>
        <w:tblCellMar>
          <w:top w:w="28" w:type="dxa"/>
          <w:left w:w="28" w:type="dxa"/>
          <w:bottom w:w="28" w:type="dxa"/>
          <w:right w:w="28" w:type="dxa"/>
        </w:tblCellMar>
      </w:tblPr>
      <w:tblGrid>
        <w:gridCol w:w="124"/>
        <w:gridCol w:w="25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protect and enhance Zura’s corporate reputation and brand;</w:t>
            </w:r>
          </w:p>
        </w:tc>
      </w:tr>
    </w:tbl>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from future regulatory, judicial, and legislative changes in Zura’s industry;</w:t>
            </w:r>
          </w:p>
        </w:tc>
      </w:tr>
    </w:tbl>
    <w:tbl>
      <w:tblPr>
        <w:tblW w:w="7821" w:type="dxa"/>
        <w:jc w:val="left"/>
        <w:tblInd w:w="0" w:type="dxa"/>
        <w:tblLayout w:type="fixed"/>
        <w:tblCellMar>
          <w:top w:w="28" w:type="dxa"/>
          <w:left w:w="28" w:type="dxa"/>
          <w:bottom w:w="28" w:type="dxa"/>
          <w:right w:w="28" w:type="dxa"/>
        </w:tblCellMar>
      </w:tblPr>
      <w:tblGrid>
        <w:gridCol w:w="124"/>
        <w:gridCol w:w="25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Zura’s ability to obtain and maintain regulatory approval of any of its product candidates;</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Zura’s ability to research, discover and develop additional product candidates;</w:t>
            </w:r>
          </w:p>
        </w:tc>
      </w:tr>
    </w:tbl>
    <w:tbl>
      <w:tblPr>
        <w:tblW w:w="4836" w:type="dxa"/>
        <w:jc w:val="left"/>
        <w:tblInd w:w="0" w:type="dxa"/>
        <w:tblLayout w:type="fixed"/>
        <w:tblCellMar>
          <w:top w:w="28" w:type="dxa"/>
          <w:left w:w="28" w:type="dxa"/>
          <w:bottom w:w="28" w:type="dxa"/>
          <w:right w:w="28" w:type="dxa"/>
        </w:tblCellMar>
      </w:tblPr>
      <w:tblGrid>
        <w:gridCol w:w="124"/>
        <w:gridCol w:w="256"/>
        <w:gridCol w:w="4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Zura’s ability to grow and manage growth profitably;</w:t>
            </w:r>
          </w:p>
        </w:tc>
      </w:tr>
    </w:tbl>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Zura’s ability to obtain and maintain intellectual property protection and not infringe on the rights of others;</w:t>
            </w:r>
          </w:p>
        </w:tc>
      </w:tr>
    </w:tbl>
    <w:tbl>
      <w:tblPr>
        <w:tblW w:w="5061" w:type="dxa"/>
        <w:jc w:val="left"/>
        <w:tblInd w:w="0" w:type="dxa"/>
        <w:tblLayout w:type="fixed"/>
        <w:tblCellMar>
          <w:top w:w="28" w:type="dxa"/>
          <w:left w:w="28" w:type="dxa"/>
          <w:bottom w:w="28" w:type="dxa"/>
          <w:right w:w="28" w:type="dxa"/>
        </w:tblCellMar>
      </w:tblPr>
      <w:tblGrid>
        <w:gridCol w:w="124"/>
        <w:gridCol w:w="256"/>
        <w:gridCol w:w="4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Zura’s ability to execute its business plans and strategy;</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COVID-19 pandemic and other similar disruptions in the future; and</w:t>
            </w:r>
          </w:p>
        </w:tc>
      </w:tr>
    </w:tbl>
    <w:tbl>
      <w:tblPr>
        <w:tblW w:w="9471" w:type="dxa"/>
        <w:jc w:val="left"/>
        <w:tblInd w:w="0" w:type="dxa"/>
        <w:tblLayout w:type="fixed"/>
        <w:tblCellMar>
          <w:top w:w="28" w:type="dxa"/>
          <w:left w:w="28" w:type="dxa"/>
          <w:bottom w:w="28" w:type="dxa"/>
          <w:right w:w="28" w:type="dxa"/>
        </w:tblCellMar>
      </w:tblPr>
      <w:tblGrid>
        <w:gridCol w:w="124"/>
        <w:gridCol w:w="256"/>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factors set forth in documents of Zura or JATT Acquisition Corp. (“JATT”) filed, or to be filed, with SEC.</w:t>
            </w:r>
          </w:p>
        </w:tc>
      </w:tr>
    </w:tbl>
    <w:p>
      <w:pPr>
        <w:pStyle w:val="TextBody"/>
        <w:bidi w:val="0"/>
        <w:spacing w:before="0" w:after="240"/>
        <w:ind w:left="0" w:right="0" w:firstLine="399"/>
        <w:jc w:val="both"/>
        <w:rPr>
          <w:rFonts w:ascii="Times New Roman;Times;serif" w:hAnsi="Times New Roman;Times;serif"/>
          <w:sz w:val="20"/>
        </w:rPr>
      </w:pPr>
      <w:r>
        <w:rPr>
          <w:rFonts w:ascii="Times New Roman;Times;serif" w:hAnsi="Times New Roman;Times;serif"/>
          <w:sz w:val="20"/>
        </w:rPr>
        <w:t>Should one or more of these risks or uncertainties materialize or should any of the assumptions made by the management of Zura prove incorrect, actual results may vary in material respects from those projected in these forward-looking statements.</w:t>
      </w:r>
    </w:p>
    <w:p>
      <w:pPr>
        <w:pStyle w:val="TextBody"/>
        <w:bidi w:val="0"/>
        <w:spacing w:before="0" w:after="240"/>
        <w:ind w:left="0" w:right="0" w:firstLine="399"/>
        <w:jc w:val="both"/>
        <w:rPr>
          <w:rFonts w:ascii="Times New Roman;Times;serif" w:hAnsi="Times New Roman;Times;serif"/>
          <w:sz w:val="20"/>
        </w:rPr>
      </w:pPr>
      <w:r>
        <w:rPr>
          <w:rFonts w:ascii="Times New Roman;Times;serif" w:hAnsi="Times New Roman;Times;serif"/>
          <w:sz w:val="20"/>
        </w:rPr>
        <w:t>All subsequent written and oral forward-looking statements concerning Zura or other matters addressed in this Quarterly Report on Form 10-Q and attributable to Zura or any person acting on their behalf are expressly qualified in their entirety by the cautionary statements contained or referred to in this Quarterly Report on Form 10-Q. Except to the extent required by applicable law or regulations, Zura undertakes no obligation to update these forward-looking statements to reflect events or circumstances after the date of this Quarterly Report on Form 10-Q or to reflect the occurrence of unanticipated events.</w:t>
      </w:r>
    </w:p>
    <w:p>
      <w:pPr>
        <w:pStyle w:val="TextBody"/>
        <w:bidi w:val="0"/>
        <w:spacing w:before="0" w:after="240"/>
        <w:ind w:left="0" w:right="0" w:hanging="0"/>
        <w:jc w:val="both"/>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54" w:name="PARTIFINANCIALINFORMATION_184627"/>
      <w:bookmarkStart w:id="55" w:name="_9084557c_7a18_4f5a_b83c_52f60f8729e3"/>
      <w:bookmarkEnd w:id="54"/>
      <w:bookmarkEnd w:id="55"/>
      <w:r>
        <w:rPr>
          <w:rFonts w:ascii="Times New Roman;Times;serif" w:hAnsi="Times New Roman;Times;serif"/>
          <w:b/>
          <w:sz w:val="20"/>
        </w:rPr>
        <w:t>PART I—FINANCIAL INFORMATION</w:t>
      </w:r>
    </w:p>
    <w:p>
      <w:pPr>
        <w:pStyle w:val="TextBody"/>
        <w:bidi w:val="0"/>
        <w:spacing w:before="0" w:after="240"/>
        <w:ind w:left="0" w:right="0" w:hanging="0"/>
        <w:jc w:val="both"/>
        <w:rPr>
          <w:rFonts w:ascii="Times New Roman;Times;serif" w:hAnsi="Times New Roman;Times;serif"/>
          <w:b/>
          <w:sz w:val="20"/>
        </w:rPr>
      </w:pPr>
      <w:bookmarkStart w:id="56" w:name="Item1FinancialStatements_99631"/>
      <w:bookmarkEnd w:id="56"/>
      <w:r>
        <w:rPr>
          <w:rFonts w:ascii="Times New Roman;Times;serif" w:hAnsi="Times New Roman;Times;serif"/>
          <w:b/>
          <w:sz w:val="20"/>
        </w:rPr>
        <w:t>Item 1. Financial Statements.</w:t>
      </w:r>
    </w:p>
    <w:p>
      <w:pPr>
        <w:pStyle w:val="TextBody"/>
        <w:bidi w:val="0"/>
        <w:spacing w:before="0" w:after="240"/>
        <w:ind w:left="0" w:right="0" w:firstLine="360"/>
        <w:jc w:val="center"/>
        <w:rPr>
          <w:rFonts w:ascii="Times New Roman;Times;serif" w:hAnsi="Times New Roman;Times;serif"/>
          <w:b/>
          <w:sz w:val="20"/>
        </w:rPr>
      </w:pPr>
      <w:r>
        <w:rPr>
          <w:rFonts w:ascii="Times New Roman;Times;serif" w:hAnsi="Times New Roman;Times;serif"/>
          <w:b/>
          <w:sz w:val="20"/>
        </w:rPr>
        <w:t>Zura Bio Limited</w:t>
      </w:r>
    </w:p>
    <w:p>
      <w:pPr>
        <w:pStyle w:val="TextBody"/>
        <w:bidi w:val="0"/>
        <w:spacing w:before="0" w:after="0"/>
        <w:ind w:left="0" w:right="0" w:firstLine="360"/>
        <w:jc w:val="center"/>
        <w:rPr>
          <w:rFonts w:ascii="Times New Roman;Times;serif" w:hAnsi="Times New Roman;Times;serif"/>
          <w:b/>
          <w:sz w:val="20"/>
        </w:rPr>
      </w:pPr>
      <w:bookmarkStart w:id="57" w:name="CondensedConsolidatedBalanceSheets_20331"/>
      <w:bookmarkEnd w:id="57"/>
      <w:r>
        <w:rPr>
          <w:rFonts w:ascii="Times New Roman;Times;serif" w:hAnsi="Times New Roman;Times;serif"/>
          <w:b/>
          <w:sz w:val="20"/>
        </w:rPr>
        <w:t>Condensed 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Normal"/>
        <w:bidi w:val="0"/>
        <w:spacing w:before="0" w:after="0"/>
        <w:jc w:val="left"/>
        <w:rPr>
          <w:sz w:val="4"/>
          <w:szCs w:val="4"/>
        </w:rPr>
      </w:pPr>
      <w:r>
        <w:rPr>
          <w:sz w:val="4"/>
          <w:szCs w:val="4"/>
        </w:rPr>
      </w:r>
      <w:bookmarkStart w:id="58" w:name="Tc_FHXFhWL2f0aTOf8TCl1c3g_36_5"/>
      <w:bookmarkStart w:id="59" w:name="Tc_aUzrSnnNREaABfEicqtXkQ_36_2"/>
      <w:bookmarkStart w:id="60" w:name="Tc_f6fOc3KJKU6X0FNzgRjNOA_36_0"/>
      <w:bookmarkStart w:id="61" w:name="Tc_Fgud2gDZPECo05EL2kkN7w_35_0"/>
      <w:bookmarkStart w:id="62" w:name="Tc_a5hZrIiM8EqKd8Ex8B2jvA_34_6"/>
      <w:bookmarkStart w:id="63" w:name="Tc_2AWHxmK3ZkSia8umslJteQ_34_0"/>
      <w:bookmarkStart w:id="64" w:name="Tc_RU9W7TmuZUq00Dx3AG29vQ_33_0"/>
      <w:bookmarkStart w:id="65" w:name="Tc_o6XPlCIcekWb5S0FtYbDFg_32_0"/>
      <w:bookmarkStart w:id="66" w:name="Tc_fT8IQYKw0kKSBkEagBBjgg_31_6"/>
      <w:bookmarkStart w:id="67" w:name="Tc_THX8hxO8qkqfxsMGmI4rBA_31_0"/>
      <w:bookmarkStart w:id="68" w:name="Tc_kfiKjkgI1Eab2E_8x8wiFQ_30_6"/>
      <w:bookmarkStart w:id="69" w:name="Tc_WBYd1II8LEC0kvuBcB9g8Q_30_0"/>
      <w:bookmarkStart w:id="70" w:name="_3ad64334_4528_4aa7_963a_278e1b3aeecd_3"/>
      <w:bookmarkStart w:id="71" w:name="_3ad64334_4528_4aa7_963a_278e1b3aeecd_2"/>
      <w:bookmarkStart w:id="72" w:name="_3ad64334_4528_4aa7_963a_278e1b3aeecd"/>
      <w:bookmarkStart w:id="73" w:name="Tc_gFCoVh4ZjU6NWY3cy7mYcg_29_0"/>
      <w:bookmarkStart w:id="74" w:name="Tc_fRtE8iTpJUaLgFh-I9V6Ag_28_0"/>
      <w:bookmarkStart w:id="75" w:name="Tc_pbFUZ1z2AE2cujbTUzpCWQ_26_0"/>
      <w:bookmarkStart w:id="76" w:name="Tc_UzByeXhEUUOyb9OlR2DBWQ_24_3"/>
      <w:bookmarkStart w:id="77" w:name="Tc_l4gzcJ1DIkSA1hp3x7Bn9w_24_0"/>
      <w:bookmarkStart w:id="78" w:name="Tc_uf6fFIVGmUSrYjE2cZaN1w_23_0"/>
      <w:bookmarkStart w:id="79" w:name="Tc_ifaM0a3k206aGJZvmkxqkw_21_0"/>
      <w:bookmarkStart w:id="80" w:name="Tc_4WoFnqnTBkeUz3OVGgIsaw_19_0"/>
      <w:bookmarkStart w:id="81" w:name="Tc_DVUQIPiCkUivpArTRNRdFw_18_6"/>
      <w:bookmarkStart w:id="82" w:name="Tc_wOpHiqb_T0WYAHZyG7BIQw_18_0"/>
      <w:bookmarkStart w:id="83" w:name="Tc__d5ZSYqDHEOviipvwtefpw_17_0"/>
      <w:bookmarkStart w:id="84" w:name="Tc_J0LQoba9Z02p3btPPuSseQ_16_3"/>
      <w:bookmarkStart w:id="85" w:name="Tc_NTsZIYziokCtl0FXdEH5rw_16_0"/>
      <w:bookmarkStart w:id="86" w:name="Tc_JyJ6is2b102ptMsDK2MumA_15_3"/>
      <w:bookmarkStart w:id="87" w:name="Tc_rOhHuvucsUiHpqHvj-4JUg_15_0"/>
      <w:bookmarkStart w:id="88" w:name="Tc_qeADGaIk5ECXr9sEHC7zsw_14_5"/>
      <w:bookmarkStart w:id="89" w:name="Tc_l2ZmBoiG9kmDg0f31KnK7g_14_2"/>
      <w:bookmarkStart w:id="90" w:name="Tc_fNu5SY0Po0KzAOeXfpZSLA_14_0"/>
      <w:bookmarkStart w:id="91" w:name="Tc_CpD4HdfhYUOcRLnMyVKAfg_13_0"/>
      <w:bookmarkStart w:id="92" w:name="Tc_gmiqzlRPh0eOxzvs_AbKbw_12_0"/>
      <w:bookmarkStart w:id="93" w:name="Tc_kEF5cketCUal9yKRHs8lFw_10_5"/>
      <w:bookmarkStart w:id="94" w:name="Tc_3uCz5c7Hd0qw8Au-A1JPhQ_10_2"/>
      <w:bookmarkStart w:id="95" w:name="Tc__2AkgA0u30SwEl4jC01atg_10_0"/>
      <w:bookmarkStart w:id="96" w:name="Tc_bKvGvDORj0Chxg7JcHO2Tw_9_3"/>
      <w:bookmarkStart w:id="97" w:name="Tc_FwmZwelHZESkpSVJ-7yefQ_9_0"/>
      <w:bookmarkStart w:id="98" w:name="Tc_gTOwpl4j5kG0BLtzLq8SXQ_8_0"/>
      <w:bookmarkStart w:id="99" w:name="Tc_WHkbBRFdf0KgZopbImSRmA_7_0"/>
      <w:bookmarkStart w:id="100" w:name="Tc_Vwv3ikC0K0eSBwuAHBi8RA_6_5"/>
      <w:bookmarkStart w:id="101" w:name="Tc_1W3qFyx-xk2GLiWm5Sbb3Q_6_2"/>
      <w:bookmarkStart w:id="102" w:name="Tc_JffGXzH9ZEq9qZt9bE_yOg_6_0"/>
      <w:bookmarkStart w:id="103" w:name="Tc_BZR3x-TFgkKE2yI4KBiYcg_5_0"/>
      <w:bookmarkStart w:id="104" w:name="Tc_W0XB0M3aXkWpDEsy3qvQTA_4_0"/>
      <w:bookmarkStart w:id="105" w:name="Tc_C1uFwtrjv0aXi79Pdu4_9A_3_2"/>
      <w:bookmarkStart w:id="106" w:name="Tc_8VMjDqJCokWpE0tIrtjrTw_2_5"/>
      <w:bookmarkStart w:id="107" w:name="Tc_pHkV1GbQSkiUN-K4quGvkw_2_2"/>
      <w:bookmarkStart w:id="108" w:name="Tc_Jc1ri_ZwEE6Gu_FAsr3NYw_1_5"/>
      <w:bookmarkStart w:id="109" w:name="Tc_nbjVtXA_xUSCRCe0IXKgNQ_1_2"/>
      <w:bookmarkStart w:id="110" w:name="_e5f7411f_6674_4a27_98db_fd0d471e8f4b"/>
      <w:bookmarkStart w:id="111" w:name="Tc_FHXFhWL2f0aTOf8TCl1c3g_36_5"/>
      <w:bookmarkStart w:id="112" w:name="Tc_aUzrSnnNREaABfEicqtXkQ_36_2"/>
      <w:bookmarkStart w:id="113" w:name="Tc_f6fOc3KJKU6X0FNzgRjNOA_36_0"/>
      <w:bookmarkStart w:id="114" w:name="Tc_Fgud2gDZPECo05EL2kkN7w_35_0"/>
      <w:bookmarkStart w:id="115" w:name="Tc_a5hZrIiM8EqKd8Ex8B2jvA_34_6"/>
      <w:bookmarkStart w:id="116" w:name="Tc_2AWHxmK3ZkSia8umslJteQ_34_0"/>
      <w:bookmarkStart w:id="117" w:name="Tc_RU9W7TmuZUq00Dx3AG29vQ_33_0"/>
      <w:bookmarkStart w:id="118" w:name="Tc_o6XPlCIcekWb5S0FtYbDFg_32_0"/>
      <w:bookmarkStart w:id="119" w:name="Tc_fT8IQYKw0kKSBkEagBBjgg_31_6"/>
      <w:bookmarkStart w:id="120" w:name="Tc_THX8hxO8qkqfxsMGmI4rBA_31_0"/>
      <w:bookmarkStart w:id="121" w:name="Tc_kfiKjkgI1Eab2E_8x8wiFQ_30_6"/>
      <w:bookmarkStart w:id="122" w:name="Tc_WBYd1II8LEC0kvuBcB9g8Q_30_0"/>
      <w:bookmarkStart w:id="123" w:name="_3ad64334_4528_4aa7_963a_278e1b3aeecd_3"/>
      <w:bookmarkStart w:id="124" w:name="_3ad64334_4528_4aa7_963a_278e1b3aeecd_2"/>
      <w:bookmarkStart w:id="125" w:name="_3ad64334_4528_4aa7_963a_278e1b3aeecd"/>
      <w:bookmarkStart w:id="126" w:name="Tc_gFCoVh4ZjU6NWY3cy7mYcg_29_0"/>
      <w:bookmarkStart w:id="127" w:name="Tc_fRtE8iTpJUaLgFh-I9V6Ag_28_0"/>
      <w:bookmarkStart w:id="128" w:name="Tc_pbFUZ1z2AE2cujbTUzpCWQ_26_0"/>
      <w:bookmarkStart w:id="129" w:name="Tc_UzByeXhEUUOyb9OlR2DBWQ_24_3"/>
      <w:bookmarkStart w:id="130" w:name="Tc_l4gzcJ1DIkSA1hp3x7Bn9w_24_0"/>
      <w:bookmarkStart w:id="131" w:name="Tc_uf6fFIVGmUSrYjE2cZaN1w_23_0"/>
      <w:bookmarkStart w:id="132" w:name="Tc_ifaM0a3k206aGJZvmkxqkw_21_0"/>
      <w:bookmarkStart w:id="133" w:name="Tc_4WoFnqnTBkeUz3OVGgIsaw_19_0"/>
      <w:bookmarkStart w:id="134" w:name="Tc_DVUQIPiCkUivpArTRNRdFw_18_6"/>
      <w:bookmarkStart w:id="135" w:name="Tc_wOpHiqb_T0WYAHZyG7BIQw_18_0"/>
      <w:bookmarkStart w:id="136" w:name="Tc__d5ZSYqDHEOviipvwtefpw_17_0"/>
      <w:bookmarkStart w:id="137" w:name="Tc_J0LQoba9Z02p3btPPuSseQ_16_3"/>
      <w:bookmarkStart w:id="138" w:name="Tc_NTsZIYziokCtl0FXdEH5rw_16_0"/>
      <w:bookmarkStart w:id="139" w:name="Tc_JyJ6is2b102ptMsDK2MumA_15_3"/>
      <w:bookmarkStart w:id="140" w:name="Tc_rOhHuvucsUiHpqHvj-4JUg_15_0"/>
      <w:bookmarkStart w:id="141" w:name="Tc_qeADGaIk5ECXr9sEHC7zsw_14_5"/>
      <w:bookmarkStart w:id="142" w:name="Tc_l2ZmBoiG9kmDg0f31KnK7g_14_2"/>
      <w:bookmarkStart w:id="143" w:name="Tc_fNu5SY0Po0KzAOeXfpZSLA_14_0"/>
      <w:bookmarkStart w:id="144" w:name="Tc_CpD4HdfhYUOcRLnMyVKAfg_13_0"/>
      <w:bookmarkStart w:id="145" w:name="Tc_gmiqzlRPh0eOxzvs_AbKbw_12_0"/>
      <w:bookmarkStart w:id="146" w:name="Tc_kEF5cketCUal9yKRHs8lFw_10_5"/>
      <w:bookmarkStart w:id="147" w:name="Tc_3uCz5c7Hd0qw8Au-A1JPhQ_10_2"/>
      <w:bookmarkStart w:id="148" w:name="Tc__2AkgA0u30SwEl4jC01atg_10_0"/>
      <w:bookmarkStart w:id="149" w:name="Tc_bKvGvDORj0Chxg7JcHO2Tw_9_3"/>
      <w:bookmarkStart w:id="150" w:name="Tc_FwmZwelHZESkpSVJ-7yefQ_9_0"/>
      <w:bookmarkStart w:id="151" w:name="Tc_gTOwpl4j5kG0BLtzLq8SXQ_8_0"/>
      <w:bookmarkStart w:id="152" w:name="Tc_WHkbBRFdf0KgZopbImSRmA_7_0"/>
      <w:bookmarkStart w:id="153" w:name="Tc_Vwv3ikC0K0eSBwuAHBi8RA_6_5"/>
      <w:bookmarkStart w:id="154" w:name="Tc_1W3qFyx-xk2GLiWm5Sbb3Q_6_2"/>
      <w:bookmarkStart w:id="155" w:name="Tc_JffGXzH9ZEq9qZt9bE_yOg_6_0"/>
      <w:bookmarkStart w:id="156" w:name="Tc_BZR3x-TFgkKE2yI4KBiYcg_5_0"/>
      <w:bookmarkStart w:id="157" w:name="Tc_W0XB0M3aXkWpDEsy3qvQTA_4_0"/>
      <w:bookmarkStart w:id="158" w:name="Tc_C1uFwtrjv0aXi79Pdu4_9A_3_2"/>
      <w:bookmarkStart w:id="159" w:name="Tc_8VMjDqJCokWpE0tIrtjrTw_2_5"/>
      <w:bookmarkStart w:id="160" w:name="Tc_pHkV1GbQSkiUN-K4quGvkw_2_2"/>
      <w:bookmarkStart w:id="161" w:name="Tc_Jc1ri_ZwEE6Gu_FAsr3NYw_1_5"/>
      <w:bookmarkStart w:id="162" w:name="Tc_nbjVtXA_xUSCRCe0IXKgNQ_1_2"/>
      <w:bookmarkStart w:id="163" w:name="_e5f7411f_6674_4a27_98db_fd0d471e8f4b"/>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tbl>
      <w:tblPr>
        <w:tblW w:w="10205" w:type="dxa"/>
        <w:jc w:val="left"/>
        <w:tblInd w:w="0" w:type="dxa"/>
        <w:tblLayout w:type="fixed"/>
        <w:tblCellMar>
          <w:top w:w="0" w:type="dxa"/>
          <w:left w:w="0" w:type="dxa"/>
          <w:bottom w:w="0" w:type="dxa"/>
          <w:right w:w="0" w:type="dxa"/>
        </w:tblCellMar>
      </w:tblPr>
      <w:tblGrid>
        <w:gridCol w:w="7375"/>
        <w:gridCol w:w="326"/>
        <w:gridCol w:w="240"/>
        <w:gridCol w:w="889"/>
        <w:gridCol w:w="326"/>
        <w:gridCol w:w="217"/>
        <w:gridCol w:w="832"/>
      </w:tblGrid>
      <w:tr>
        <w:trPr/>
        <w:tc>
          <w:tcPr>
            <w:tcW w:w="7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683125" cy="175260"/>
                      <wp:effectExtent l="0" t="0" r="0" b="0"/>
                      <wp:wrapNone/>
                      <wp:docPr id="3" name="Frame3"/>
                      <a:graphic xmlns:a="http://schemas.openxmlformats.org/drawingml/2006/main">
                        <a:graphicData uri="http://schemas.microsoft.com/office/word/2010/wordprocessingShape">
                          <wps:wsp>
                            <wps:cNvSpPr txBox="1"/>
                            <wps:spPr>
                              <a:xfrm>
                                <a:off x="0" y="0"/>
                                <a:ext cx="4683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52400" cy="175260"/>
                      <wp:effectExtent l="0" t="0" r="0" b="0"/>
                      <wp:wrapNone/>
                      <wp:docPr id="5" name="Frame5"/>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64515" cy="175260"/>
                      <wp:effectExtent l="0" t="0" r="0" b="0"/>
                      <wp:wrapNone/>
                      <wp:docPr id="6" name="Frame6"/>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7795" cy="175260"/>
                      <wp:effectExtent l="0" t="0" r="0" b="0"/>
                      <wp:wrapNone/>
                      <wp:docPr id="8" name="Frame8"/>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28320" cy="175260"/>
                      <wp:effectExtent l="0" t="0" r="0" b="0"/>
                      <wp:wrapNone/>
                      <wp:docPr id="9" name="Frame9"/>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7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12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center"/>
              <w:rPr/>
            </w:pPr>
            <w:r>
              <w:rPr/>
              <w:t>    </w:t>
            </w:r>
          </w:p>
        </w:tc>
        <w:tc>
          <w:tcPr>
            <w:tcW w:w="104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37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10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37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2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1"/>
              <w:ind w:left="0" w:right="0" w:hanging="0"/>
              <w:jc w:val="center"/>
              <w:rPr/>
            </w:pPr>
            <w:r>
              <w:rPr/>
              <w:t>​</w:t>
            </w:r>
          </w:p>
        </w:tc>
        <w:tc>
          <w:tcPr>
            <w:tcW w:w="217" w:type="dxa"/>
            <w:tcBorders/>
            <w:vAlign w:val="center"/>
          </w:tcPr>
          <w:p>
            <w:pPr>
              <w:pStyle w:val="TableContents"/>
              <w:bidi w:val="0"/>
              <w:spacing w:before="0" w:after="1"/>
              <w:ind w:left="0" w:right="0" w:hanging="0"/>
              <w:jc w:val="center"/>
              <w:rPr/>
            </w:pPr>
            <w:r>
              <w:rPr/>
              <w:t>​</w:t>
            </w:r>
          </w:p>
        </w:tc>
        <w:tc>
          <w:tcPr>
            <w:tcW w:w="832" w:type="dxa"/>
            <w:tcBorders/>
            <w:vAlign w:val="center"/>
          </w:tcPr>
          <w:p>
            <w:pPr>
              <w:pStyle w:val="TableContents"/>
              <w:bidi w:val="0"/>
              <w:spacing w:before="0" w:after="1"/>
              <w:ind w:left="0" w:right="0" w:hanging="0"/>
              <w:jc w:val="center"/>
              <w:rPr/>
            </w:pPr>
            <w:r>
              <w:rPr/>
              <w:t>​</w:t>
            </w:r>
          </w:p>
        </w:tc>
      </w:tr>
      <w:tr>
        <w:trPr/>
        <w:tc>
          <w:tcPr>
            <w:tcW w:w="737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center"/>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7" w:type="dxa"/>
            <w:tcBorders/>
            <w:shd w:fill="CCEEFF" w:val="clear"/>
            <w:vAlign w:val="center"/>
          </w:tcPr>
          <w:p>
            <w:pPr>
              <w:pStyle w:val="TableContents"/>
              <w:bidi w:val="0"/>
              <w:spacing w:before="0" w:after="1"/>
              <w:ind w:left="0" w:right="0" w:hanging="0"/>
              <w:jc w:val="center"/>
              <w:rPr/>
            </w:pPr>
            <w:r>
              <w:rPr/>
              <w:t>​</w:t>
            </w:r>
          </w:p>
        </w:tc>
        <w:tc>
          <w:tcPr>
            <w:tcW w:w="832" w:type="dxa"/>
            <w:tcBorders/>
            <w:shd w:fill="CCEEFF" w:val="clear"/>
            <w:vAlign w:val="center"/>
          </w:tcPr>
          <w:p>
            <w:pPr>
              <w:pStyle w:val="TableContents"/>
              <w:bidi w:val="0"/>
              <w:spacing w:before="0" w:after="1"/>
              <w:ind w:left="0" w:right="0" w:hanging="0"/>
              <w:jc w:val="left"/>
              <w:rPr/>
            </w:pPr>
            <w:r>
              <w:rPr/>
              <w:t>​</w:t>
            </w:r>
          </w:p>
        </w:tc>
      </w:tr>
      <w:tr>
        <w:trPr/>
        <w:tc>
          <w:tcPr>
            <w:tcW w:w="73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1"/>
              <w:ind w:left="0" w:right="0" w:hanging="0"/>
              <w:jc w:val="left"/>
              <w:rPr/>
            </w:pPr>
            <w:r>
              <w:rPr/>
              <w:t> </w:t>
            </w:r>
          </w:p>
        </w:tc>
        <w:tc>
          <w:tcPr>
            <w:tcW w:w="240"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pPr>
            <w:r>
              <w:rPr/>
              <w:t>  </w:t>
            </w:r>
          </w:p>
        </w:tc>
      </w:tr>
      <w:tr>
        <w:trPr/>
        <w:tc>
          <w:tcPr>
            <w:tcW w:w="73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103,859</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1,567</w:t>
            </w:r>
          </w:p>
        </w:tc>
      </w:tr>
      <w:tr>
        <w:trPr/>
        <w:tc>
          <w:tcPr>
            <w:tcW w:w="73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w:t>
            </w:r>
          </w:p>
        </w:tc>
      </w:tr>
      <w:tr>
        <w:trPr/>
        <w:tc>
          <w:tcPr>
            <w:tcW w:w="73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104,592</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1,776</w:t>
            </w:r>
          </w:p>
        </w:tc>
      </w:tr>
      <w:tr>
        <w:trPr/>
        <w:tc>
          <w:tcPr>
            <w:tcW w:w="73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offering costs</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3,486</w:t>
            </w:r>
          </w:p>
        </w:tc>
      </w:tr>
      <w:tr>
        <w:trPr/>
        <w:tc>
          <w:tcPr>
            <w:tcW w:w="737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104,592</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5,262</w:t>
            </w:r>
          </w:p>
        </w:tc>
      </w:tr>
      <w:tr>
        <w:trPr/>
        <w:tc>
          <w:tcPr>
            <w:tcW w:w="73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pPr>
            <w:r>
              <w:rPr/>
              <w:t>​</w:t>
            </w:r>
          </w:p>
        </w:tc>
      </w:tr>
      <w:tr>
        <w:trPr/>
        <w:tc>
          <w:tcPr>
            <w:tcW w:w="737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Convertible Preferred Shares, Redeemable Noncontrolling Interest and Shareholders’ Equity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2" w:type="dxa"/>
            <w:tcBorders/>
            <w:shd w:fill="CCEEFF" w:val="clear"/>
            <w:vAlign w:val="center"/>
          </w:tcPr>
          <w:p>
            <w:pPr>
              <w:pStyle w:val="TableContents"/>
              <w:bidi w:val="0"/>
              <w:spacing w:before="0" w:after="1"/>
              <w:ind w:left="0" w:right="0" w:hanging="0"/>
              <w:jc w:val="right"/>
              <w:rPr/>
            </w:pPr>
            <w:r>
              <w:rPr/>
              <w:t>​</w:t>
            </w:r>
          </w:p>
        </w:tc>
      </w:tr>
      <w:tr>
        <w:trPr/>
        <w:tc>
          <w:tcPr>
            <w:tcW w:w="73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pPr>
            <w:r>
              <w:rPr/>
              <w:t>​</w:t>
            </w:r>
          </w:p>
        </w:tc>
      </w:tr>
      <w:tr>
        <w:trPr/>
        <w:tc>
          <w:tcPr>
            <w:tcW w:w="73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17,012</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4,428</w:t>
            </w:r>
          </w:p>
        </w:tc>
      </w:tr>
      <w:tr>
        <w:trPr/>
        <w:tc>
          <w:tcPr>
            <w:tcW w:w="73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payable</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7,756</w:t>
            </w:r>
          </w:p>
        </w:tc>
      </w:tr>
      <w:tr>
        <w:trPr/>
        <w:tc>
          <w:tcPr>
            <w:tcW w:w="73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license consideration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2,634</w:t>
            </w:r>
          </w:p>
        </w:tc>
      </w:tr>
      <w:tr>
        <w:trPr/>
        <w:tc>
          <w:tcPr>
            <w:tcW w:w="73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17,012</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14,818</w:t>
            </w:r>
          </w:p>
        </w:tc>
      </w:tr>
      <w:tr>
        <w:trPr/>
        <w:tc>
          <w:tcPr>
            <w:tcW w:w="73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Private placement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1,950</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3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18,962</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14,818</w:t>
            </w:r>
          </w:p>
        </w:tc>
      </w:tr>
      <w:tr>
        <w:trPr/>
        <w:tc>
          <w:tcPr>
            <w:tcW w:w="737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2" w:type="dxa"/>
            <w:tcBorders/>
            <w:shd w:fill="CCEEFF" w:val="clear"/>
            <w:vAlign w:val="center"/>
          </w:tcPr>
          <w:p>
            <w:pPr>
              <w:pStyle w:val="TableContents"/>
              <w:bidi w:val="0"/>
              <w:spacing w:before="0" w:after="1"/>
              <w:ind w:left="0" w:right="0" w:hanging="0"/>
              <w:jc w:val="right"/>
              <w:rPr/>
            </w:pPr>
            <w:r>
              <w:rPr/>
              <w:t>​</w:t>
            </w:r>
          </w:p>
        </w:tc>
      </w:tr>
      <w:tr>
        <w:trPr/>
        <w:tc>
          <w:tcPr>
            <w:tcW w:w="73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Commitments and contingencies (Note 11)</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pPr>
            <w:r>
              <w:rPr/>
              <w:t>​</w:t>
            </w:r>
          </w:p>
        </w:tc>
      </w:tr>
      <w:tr>
        <w:trPr/>
        <w:tc>
          <w:tcPr>
            <w:tcW w:w="737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2" w:type="dxa"/>
            <w:tcBorders/>
            <w:shd w:fill="CCEEFF" w:val="clear"/>
            <w:vAlign w:val="center"/>
          </w:tcPr>
          <w:p>
            <w:pPr>
              <w:pStyle w:val="TableContents"/>
              <w:bidi w:val="0"/>
              <w:spacing w:before="0" w:after="1"/>
              <w:ind w:left="0" w:right="0" w:hanging="0"/>
              <w:jc w:val="right"/>
              <w:rPr/>
            </w:pPr>
            <w:r>
              <w:rPr/>
              <w:t>​</w:t>
            </w:r>
          </w:p>
        </w:tc>
      </w:tr>
      <w:tr>
        <w:trPr/>
        <w:tc>
          <w:tcPr>
            <w:tcW w:w="73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preferred shares</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pPr>
            <w:r>
              <w:rPr/>
              <w:t>​</w:t>
            </w:r>
          </w:p>
        </w:tc>
      </w:tr>
      <w:tr>
        <w:trPr/>
        <w:tc>
          <w:tcPr>
            <w:tcW w:w="73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Series A-1 convertible preferred shares, $0.001 par value, -0- and 13,510,415 shares </w:t>
            </w:r>
            <w:r>
              <w:rPr>
                <w:rFonts w:ascii="Times New Roman;Times;serif" w:hAnsi="Times New Roman;Times;serif"/>
                <w:b w:val="false"/>
                <w:i w:val="false"/>
                <w:caps w:val="false"/>
                <w:smallCaps w:val="false"/>
                <w:sz w:val="20"/>
              </w:rPr>
              <w:t>authorized</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w:t>
            </w:r>
            <w:r>
              <w:rPr>
                <w:rFonts w:ascii="Times New Roman;Times;serif" w:hAnsi="Times New Roman;Times;serif"/>
                <w:b w:val="false"/>
                <w:i w:val="false"/>
                <w:caps w:val="false"/>
                <w:smallCaps w:val="false"/>
                <w:sz w:val="20"/>
              </w:rPr>
              <w:t>September 30, 2023</w:t>
            </w:r>
            <w:r>
              <w:rPr>
                <w:rFonts w:ascii="Times New Roman;Times;serif" w:hAnsi="Times New Roman;Times;serif"/>
                <w:sz w:val="20"/>
              </w:rPr>
              <w:t xml:space="preserve"> and December 31, 2022,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12,500</w:t>
            </w:r>
          </w:p>
        </w:tc>
      </w:tr>
      <w:tr>
        <w:trPr/>
        <w:tc>
          <w:tcPr>
            <w:tcW w:w="73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pPr>
            <w:r>
              <w:rPr/>
              <w:t>​</w:t>
            </w:r>
          </w:p>
        </w:tc>
      </w:tr>
      <w:tr>
        <w:trPr/>
        <w:tc>
          <w:tcPr>
            <w:tcW w:w="73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Redeemable noncontrolling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20,875</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73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pPr>
            <w:r>
              <w:rPr/>
              <w:t>​</w:t>
            </w:r>
          </w:p>
        </w:tc>
      </w:tr>
      <w:tr>
        <w:trPr/>
        <w:tc>
          <w:tcPr>
            <w:tcW w:w="73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Shareholders’ Equity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2" w:type="dxa"/>
            <w:tcBorders/>
            <w:shd w:fill="CCEEFF" w:val="clear"/>
            <w:vAlign w:val="center"/>
          </w:tcPr>
          <w:p>
            <w:pPr>
              <w:pStyle w:val="TableContents"/>
              <w:bidi w:val="0"/>
              <w:spacing w:before="0" w:after="1"/>
              <w:ind w:left="0" w:right="0" w:hanging="0"/>
              <w:jc w:val="right"/>
              <w:rPr/>
            </w:pPr>
            <w:r>
              <w:rPr/>
              <w:t>​</w:t>
            </w:r>
          </w:p>
        </w:tc>
      </w:tr>
      <w:tr>
        <w:trPr/>
        <w:tc>
          <w:tcPr>
            <w:tcW w:w="73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Shares, $0.0001 par value, 1,000,000 and -0- authorized as of September 30, 2023 and December 31, 2022, respectively; -0- issued and outstanding as of September 30, 2023 and December 31, 2022</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3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Class A Ordinary Shares, $0.0001 par value, 300,000,000 authorized, 43,093,685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outstanding as of September 30, 2023; 1,884,649 authorized, 383,480 issued and outstanding as of </w:t>
            </w:r>
            <w:r>
              <w:rPr>
                <w:rFonts w:ascii="Times New Roman;Times;serif" w:hAnsi="Times New Roman;Times;serif"/>
                <w:b w:val="false"/>
                <w:i w:val="false"/>
                <w:caps w:val="false"/>
                <w:smallCaps w:val="false"/>
                <w:sz w:val="20"/>
              </w:rPr>
              <w:t>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2" w:type="dxa"/>
            <w:tcBorders/>
            <w:shd w:fill="CCEEFF" w:val="clear"/>
            <w:vAlign w:val="center"/>
          </w:tcPr>
          <w:p>
            <w:pPr>
              <w:pStyle w:val="TableContents"/>
              <w:bidi w:val="0"/>
              <w:spacing w:before="0" w:after="1"/>
              <w:ind w:left="0" w:right="0" w:hanging="0"/>
              <w:jc w:val="right"/>
              <w:rPr/>
            </w:pPr>
            <w:r>
              <w:rPr/>
              <w:t>—</w:t>
            </w:r>
          </w:p>
        </w:tc>
      </w:tr>
      <w:tr>
        <w:trPr/>
        <w:tc>
          <w:tcPr>
            <w:tcW w:w="73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158,231</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pPr>
            <w:r>
              <w:rPr/>
              <w:t>—</w:t>
            </w:r>
          </w:p>
        </w:tc>
      </w:tr>
      <w:tr>
        <w:trPr/>
        <w:tc>
          <w:tcPr>
            <w:tcW w:w="73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(95,021)</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(32,056)</w:t>
            </w:r>
          </w:p>
        </w:tc>
      </w:tr>
      <w:tr>
        <w:trPr/>
        <w:tc>
          <w:tcPr>
            <w:tcW w:w="73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Zura Bio Limited shareholders’ equity (deficit)</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63,214</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(32,056)</w:t>
            </w:r>
          </w:p>
        </w:tc>
      </w:tr>
      <w:tr>
        <w:trPr/>
        <w:tc>
          <w:tcPr>
            <w:tcW w:w="73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1,541</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3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shareholders’ equity (deficit)</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64,755</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(32,056)</w:t>
            </w:r>
          </w:p>
        </w:tc>
      </w:tr>
      <w:tr>
        <w:trPr/>
        <w:tc>
          <w:tcPr>
            <w:tcW w:w="73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convertible preferred shares, redeemable noncontrolling interest and shareholders’ equity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104,592</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5,262</w:t>
            </w:r>
          </w:p>
        </w:tc>
      </w:tr>
    </w:tbl>
    <w:p>
      <w:pPr>
        <w:pStyle w:val="TextBody"/>
        <w:bidi w:val="0"/>
        <w:spacing w:before="0" w:after="240"/>
        <w:ind w:left="0" w:right="0" w:firstLine="360"/>
        <w:jc w:val="both"/>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accompanying notes to unaudited condensed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center"/>
        <w:rPr>
          <w:rFonts w:ascii="Times New Roman;Times;serif" w:hAnsi="Times New Roman;Times;serif"/>
          <w:b/>
          <w:sz w:val="20"/>
        </w:rPr>
      </w:pPr>
      <w:bookmarkStart w:id="164" w:name="_18ebdbcd_c163_41a4_9477_5e7770e3a1d2"/>
      <w:bookmarkEnd w:id="164"/>
      <w:r>
        <w:rPr>
          <w:rFonts w:ascii="Times New Roman;Times;serif" w:hAnsi="Times New Roman;Times;serif"/>
          <w:b/>
          <w:sz w:val="20"/>
        </w:rPr>
        <w:t>Zura Bio Limited</w:t>
      </w:r>
    </w:p>
    <w:p>
      <w:pPr>
        <w:pStyle w:val="TextBody"/>
        <w:bidi w:val="0"/>
        <w:spacing w:before="0" w:after="0"/>
        <w:ind w:left="0" w:right="0" w:firstLine="360"/>
        <w:jc w:val="center"/>
        <w:rPr>
          <w:rFonts w:ascii="Times New Roman;Times;serif" w:hAnsi="Times New Roman;Times;serif"/>
          <w:b/>
          <w:sz w:val="20"/>
        </w:rPr>
      </w:pPr>
      <w:bookmarkStart w:id="165" w:name="CondensedConsolidatedStatementsofOperati"/>
      <w:bookmarkEnd w:id="165"/>
      <w:r>
        <w:rPr>
          <w:rFonts w:ascii="Times New Roman;Times;serif" w:hAnsi="Times New Roman;Times;serif"/>
          <w:b/>
          <w:sz w:val="20"/>
        </w:rPr>
        <w:t>Condensed Consolidated Statements of Operations</w:t>
      </w:r>
    </w:p>
    <w:p>
      <w:pPr>
        <w:pStyle w:val="TextBody"/>
        <w:bidi w:val="0"/>
        <w:spacing w:before="0" w:after="0"/>
        <w:ind w:left="0" w:right="0" w:firstLine="36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Normal"/>
        <w:bidi w:val="0"/>
        <w:spacing w:before="0" w:after="0"/>
        <w:jc w:val="left"/>
        <w:rPr>
          <w:sz w:val="4"/>
          <w:szCs w:val="4"/>
        </w:rPr>
      </w:pPr>
      <w:r>
        <w:rPr>
          <w:sz w:val="4"/>
          <w:szCs w:val="4"/>
        </w:rPr>
      </w:r>
      <w:bookmarkStart w:id="166" w:name="Tc_6n5oiYwbG0aVwDUskSpmhg_27_0"/>
      <w:bookmarkStart w:id="167" w:name="Tc_BHPZt1YdA0miE4sbKGhzFQ_26_11"/>
      <w:bookmarkStart w:id="168" w:name="Tc_cECCRpb1aE68Xv15lN16Jw_26_8"/>
      <w:bookmarkStart w:id="169" w:name="Tc_5KmKV124bE-TuTTT0LJgyg_26_5"/>
      <w:bookmarkStart w:id="170" w:name="Tc_vtAAcygvt0qEUcQ8m34nwg_26_2"/>
      <w:bookmarkStart w:id="171" w:name="Tc_xFVJbHCTtUmvyHuMp9zS8A_26_0"/>
      <w:bookmarkStart w:id="172" w:name="Tc_HU5jXmbUh0KCOvI_du7TEA_25_11"/>
      <w:bookmarkStart w:id="173" w:name="Tc_y7-higXtcUya7k_kk2SOFQ_25_8"/>
      <w:bookmarkStart w:id="174" w:name="Tc_X0MQ2W5L7EGoAsHfy3yUfA_25_5"/>
      <w:bookmarkStart w:id="175" w:name="Tc_k55_BN_1H02zNcZzoG_uWw_25_2"/>
      <w:bookmarkStart w:id="176" w:name="Tc_0n3WVfs-uUWFtTTv9cqZPw_25_0"/>
      <w:bookmarkStart w:id="177" w:name="Tc_c3nxTkRGZ0iz34cq0Fot4g_24_12"/>
      <w:bookmarkStart w:id="178" w:name="Tc_Csg-dHZIK0u8rOoIXE1eRA_24_6"/>
      <w:bookmarkStart w:id="179" w:name="Tc_GpxiK-Du-EWlAgNnSYyuzQ_24_3"/>
      <w:bookmarkStart w:id="180" w:name="Tc_y8b2Lyhsqk-7hPDHOBpKLQ_24_0"/>
      <w:bookmarkStart w:id="181" w:name="Tc_7p_1Rd0T_ki2nvbXaHp_VA_23_12"/>
      <w:bookmarkStart w:id="182" w:name="Tc_OPaPxT7P5E-WnWi6aYpeeA_23_6"/>
      <w:bookmarkStart w:id="183" w:name="Tc_KsqaYq5m4EieTdcvNkbqvw_23_3"/>
      <w:bookmarkStart w:id="184" w:name="Tc_LRsxX3XpmUOr0IJcXFUB8A_23_0"/>
      <w:bookmarkStart w:id="185" w:name="Tc_8w4rFrapMEqakGmp5qi2OA_22_0"/>
      <w:bookmarkStart w:id="186" w:name="Tc_unfQFVZRWkiwA5Wzr-gz3w_21_12"/>
      <w:bookmarkStart w:id="187" w:name="Tc_ZwnLZtJQ2km4RhM_lj7kcg_21_6"/>
      <w:bookmarkStart w:id="188" w:name="Tc_VGonHCp6p0WUj-wjDmHcqA_21_3"/>
      <w:bookmarkStart w:id="189" w:name="Tc_ko8NMAyBVU62HMStRpFcSA_21_0"/>
      <w:bookmarkStart w:id="190" w:name="Tc_sYNJi6hk1UiC4xHk_TRTjg_20_0"/>
      <w:bookmarkStart w:id="191" w:name="Tc_7sTvnHhUREyS5suPsn-Hgg_19_0"/>
      <w:bookmarkStart w:id="192" w:name="Tc_L7pVg0ua7kiCnY_wtEzldw_18_0"/>
      <w:bookmarkStart w:id="193" w:name="Tc_BjKREkxXD0K1xGboGUx_UQ_17_0"/>
      <w:bookmarkStart w:id="194" w:name="Tc_8xC07XT4A0qAgyL4CkkzMw_16_12"/>
      <w:bookmarkStart w:id="195" w:name="Tc_hs9j7lWq2kWeNyFuAzMbSg_16_6"/>
      <w:bookmarkStart w:id="196" w:name="Tc_9gVNA60msE2u0m4iy6-DUA_16_3"/>
      <w:bookmarkStart w:id="197" w:name="Tc_HIx1cxIq20SGk_WqIhQmTw_16_0"/>
      <w:bookmarkStart w:id="198" w:name="Tc_C82T7I6VG0GTHXGAx3fhYQ_15_12"/>
      <w:bookmarkStart w:id="199" w:name="Tc_kIUM0hPExkeiRAjXImZvHg_15_6"/>
      <w:bookmarkStart w:id="200" w:name="Tc_WVMyEYA750e_I-Jp23UAUw_15_0"/>
      <w:bookmarkStart w:id="201" w:name="Tc_0uNXMhQeoU6b2i9lhSG4vA_14_12"/>
      <w:bookmarkStart w:id="202" w:name="Tc_3-3fURFye0O54PBVe-vDMA_14_6"/>
      <w:bookmarkStart w:id="203" w:name="Tc_n6bS1PaGwE2NRjIje3HoIQ_14_0"/>
      <w:bookmarkStart w:id="204" w:name="Tc_Zu3-1zENbk23nfrAoZEOMQ_13_12"/>
      <w:bookmarkStart w:id="205" w:name="Tc_SbFU9TGxG0iC1iyru-K1yw_13_6"/>
      <w:bookmarkStart w:id="206" w:name="Tc_ZC2TkhbBREGF_RF1dAgmAQ_13_0"/>
      <w:bookmarkStart w:id="207" w:name="Tc_YJrA4zYYu0K2fRTMm7sHig_12_0"/>
      <w:bookmarkStart w:id="208" w:name="Tc_jSTsC3FCJ0-vpUyr72C1aQ_11_0"/>
      <w:bookmarkStart w:id="209" w:name="Tc_TjAyy4vbCEK9iL8BJRdpsQ_10_0"/>
      <w:bookmarkStart w:id="210" w:name="Tc_IL62fmyyWEKhn7P4mfgY5A_9_0"/>
      <w:bookmarkStart w:id="211" w:name="Tc_HzX0CGbOk0SeisP26g0aUw_8_0"/>
      <w:bookmarkStart w:id="212" w:name="Tc_VC4Tcj4XbUGzYZEOnn6IeQ_7_11"/>
      <w:bookmarkStart w:id="213" w:name="Tc_h--rsI3Cs06Y7chmovERcA_7_8"/>
      <w:bookmarkStart w:id="214" w:name="Tc_GP80JZM890yozRC-p0NHNA_7_5"/>
      <w:bookmarkStart w:id="215" w:name="Tc_gvcxkQf-VUm9eLrnbDWepQ_7_2"/>
      <w:bookmarkStart w:id="216" w:name="Tc_PDLJ2fgbfkiAiGQCqGoVvw_7_0"/>
      <w:bookmarkStart w:id="217" w:name="Tc_X06hM7az9ECfDd1CFv_uHw_6_0"/>
      <w:bookmarkStart w:id="218" w:name="Tc_tTHEVuExgkeiTQVoBzdeEQ_5_11"/>
      <w:bookmarkStart w:id="219" w:name="Tc_DCRwHWPlykeI7txSMdkFEA_5_8"/>
      <w:bookmarkStart w:id="220" w:name="Tc_bH-KVLl4ckqQoGPnIhTXhQ_5_5"/>
      <w:bookmarkStart w:id="221" w:name="Tc_qnn9nUFL106Qgup-mm27ig_5_2"/>
      <w:bookmarkStart w:id="222" w:name="Tc_0RwGq_Sh1kCFa6BJr899Yg_4_11"/>
      <w:bookmarkStart w:id="223" w:name="Tc_h0u4FMUcuE6fkd9-40PpJg_4_8"/>
      <w:bookmarkStart w:id="224" w:name="Tc_JvD6ciBio0i4mpxXrzDv6A_4_2"/>
      <w:bookmarkStart w:id="225" w:name="Tc_z7aBzZXVDUiD4umiOvbK4A_3_11"/>
      <w:bookmarkStart w:id="226" w:name="Tc_FFfr7Nehj0Ctj5cSJlGCew_3_8"/>
      <w:bookmarkStart w:id="227" w:name="Tc__5OZQy5U0Ey59FJ-2IYxNw_3_2"/>
      <w:bookmarkStart w:id="228" w:name="Tc_wPk32HIA6ke1qYp0UhZ8TQ_2_11"/>
      <w:bookmarkStart w:id="229" w:name="Tc_8jI3lEgVpUOe5mOSEdK1vA_1_11"/>
      <w:bookmarkStart w:id="230" w:name="_654e9950_05b0_4ce9_b06b_c2eb25a56e40"/>
      <w:bookmarkStart w:id="231" w:name="_b2604325_1678_42d7_ac7a_f4fad9a5d5df"/>
      <w:bookmarkStart w:id="232" w:name="Tc_6n5oiYwbG0aVwDUskSpmhg_27_0"/>
      <w:bookmarkStart w:id="233" w:name="Tc_BHPZt1YdA0miE4sbKGhzFQ_26_11"/>
      <w:bookmarkStart w:id="234" w:name="Tc_cECCRpb1aE68Xv15lN16Jw_26_8"/>
      <w:bookmarkStart w:id="235" w:name="Tc_5KmKV124bE-TuTTT0LJgyg_26_5"/>
      <w:bookmarkStart w:id="236" w:name="Tc_vtAAcygvt0qEUcQ8m34nwg_26_2"/>
      <w:bookmarkStart w:id="237" w:name="Tc_xFVJbHCTtUmvyHuMp9zS8A_26_0"/>
      <w:bookmarkStart w:id="238" w:name="Tc_HU5jXmbUh0KCOvI_du7TEA_25_11"/>
      <w:bookmarkStart w:id="239" w:name="Tc_y7-higXtcUya7k_kk2SOFQ_25_8"/>
      <w:bookmarkStart w:id="240" w:name="Tc_X0MQ2W5L7EGoAsHfy3yUfA_25_5"/>
      <w:bookmarkStart w:id="241" w:name="Tc_k55_BN_1H02zNcZzoG_uWw_25_2"/>
      <w:bookmarkStart w:id="242" w:name="Tc_0n3WVfs-uUWFtTTv9cqZPw_25_0"/>
      <w:bookmarkStart w:id="243" w:name="Tc_c3nxTkRGZ0iz34cq0Fot4g_24_12"/>
      <w:bookmarkStart w:id="244" w:name="Tc_Csg-dHZIK0u8rOoIXE1eRA_24_6"/>
      <w:bookmarkStart w:id="245" w:name="Tc_GpxiK-Du-EWlAgNnSYyuzQ_24_3"/>
      <w:bookmarkStart w:id="246" w:name="Tc_y8b2Lyhsqk-7hPDHOBpKLQ_24_0"/>
      <w:bookmarkStart w:id="247" w:name="Tc_7p_1Rd0T_ki2nvbXaHp_VA_23_12"/>
      <w:bookmarkStart w:id="248" w:name="Tc_OPaPxT7P5E-WnWi6aYpeeA_23_6"/>
      <w:bookmarkStart w:id="249" w:name="Tc_KsqaYq5m4EieTdcvNkbqvw_23_3"/>
      <w:bookmarkStart w:id="250" w:name="Tc_LRsxX3XpmUOr0IJcXFUB8A_23_0"/>
      <w:bookmarkStart w:id="251" w:name="Tc_8w4rFrapMEqakGmp5qi2OA_22_0"/>
      <w:bookmarkStart w:id="252" w:name="Tc_unfQFVZRWkiwA5Wzr-gz3w_21_12"/>
      <w:bookmarkStart w:id="253" w:name="Tc_ZwnLZtJQ2km4RhM_lj7kcg_21_6"/>
      <w:bookmarkStart w:id="254" w:name="Tc_VGonHCp6p0WUj-wjDmHcqA_21_3"/>
      <w:bookmarkStart w:id="255" w:name="Tc_ko8NMAyBVU62HMStRpFcSA_21_0"/>
      <w:bookmarkStart w:id="256" w:name="Tc_sYNJi6hk1UiC4xHk_TRTjg_20_0"/>
      <w:bookmarkStart w:id="257" w:name="Tc_7sTvnHhUREyS5suPsn-Hgg_19_0"/>
      <w:bookmarkStart w:id="258" w:name="Tc_L7pVg0ua7kiCnY_wtEzldw_18_0"/>
      <w:bookmarkStart w:id="259" w:name="Tc_BjKREkxXD0K1xGboGUx_UQ_17_0"/>
      <w:bookmarkStart w:id="260" w:name="Tc_8xC07XT4A0qAgyL4CkkzMw_16_12"/>
      <w:bookmarkStart w:id="261" w:name="Tc_hs9j7lWq2kWeNyFuAzMbSg_16_6"/>
      <w:bookmarkStart w:id="262" w:name="Tc_9gVNA60msE2u0m4iy6-DUA_16_3"/>
      <w:bookmarkStart w:id="263" w:name="Tc_HIx1cxIq20SGk_WqIhQmTw_16_0"/>
      <w:bookmarkStart w:id="264" w:name="Tc_C82T7I6VG0GTHXGAx3fhYQ_15_12"/>
      <w:bookmarkStart w:id="265" w:name="Tc_kIUM0hPExkeiRAjXImZvHg_15_6"/>
      <w:bookmarkStart w:id="266" w:name="Tc_WVMyEYA750e_I-Jp23UAUw_15_0"/>
      <w:bookmarkStart w:id="267" w:name="Tc_0uNXMhQeoU6b2i9lhSG4vA_14_12"/>
      <w:bookmarkStart w:id="268" w:name="Tc_3-3fURFye0O54PBVe-vDMA_14_6"/>
      <w:bookmarkStart w:id="269" w:name="Tc_n6bS1PaGwE2NRjIje3HoIQ_14_0"/>
      <w:bookmarkStart w:id="270" w:name="Tc_Zu3-1zENbk23nfrAoZEOMQ_13_12"/>
      <w:bookmarkStart w:id="271" w:name="Tc_SbFU9TGxG0iC1iyru-K1yw_13_6"/>
      <w:bookmarkStart w:id="272" w:name="Tc_ZC2TkhbBREGF_RF1dAgmAQ_13_0"/>
      <w:bookmarkStart w:id="273" w:name="Tc_YJrA4zYYu0K2fRTMm7sHig_12_0"/>
      <w:bookmarkStart w:id="274" w:name="Tc_jSTsC3FCJ0-vpUyr72C1aQ_11_0"/>
      <w:bookmarkStart w:id="275" w:name="Tc_TjAyy4vbCEK9iL8BJRdpsQ_10_0"/>
      <w:bookmarkStart w:id="276" w:name="Tc_IL62fmyyWEKhn7P4mfgY5A_9_0"/>
      <w:bookmarkStart w:id="277" w:name="Tc_HzX0CGbOk0SeisP26g0aUw_8_0"/>
      <w:bookmarkStart w:id="278" w:name="Tc_VC4Tcj4XbUGzYZEOnn6IeQ_7_11"/>
      <w:bookmarkStart w:id="279" w:name="Tc_h--rsI3Cs06Y7chmovERcA_7_8"/>
      <w:bookmarkStart w:id="280" w:name="Tc_GP80JZM890yozRC-p0NHNA_7_5"/>
      <w:bookmarkStart w:id="281" w:name="Tc_gvcxkQf-VUm9eLrnbDWepQ_7_2"/>
      <w:bookmarkStart w:id="282" w:name="Tc_PDLJ2fgbfkiAiGQCqGoVvw_7_0"/>
      <w:bookmarkStart w:id="283" w:name="Tc_X06hM7az9ECfDd1CFv_uHw_6_0"/>
      <w:bookmarkStart w:id="284" w:name="Tc_tTHEVuExgkeiTQVoBzdeEQ_5_11"/>
      <w:bookmarkStart w:id="285" w:name="Tc_DCRwHWPlykeI7txSMdkFEA_5_8"/>
      <w:bookmarkStart w:id="286" w:name="Tc_bH-KVLl4ckqQoGPnIhTXhQ_5_5"/>
      <w:bookmarkStart w:id="287" w:name="Tc_qnn9nUFL106Qgup-mm27ig_5_2"/>
      <w:bookmarkStart w:id="288" w:name="Tc_0RwGq_Sh1kCFa6BJr899Yg_4_11"/>
      <w:bookmarkStart w:id="289" w:name="Tc_h0u4FMUcuE6fkd9-40PpJg_4_8"/>
      <w:bookmarkStart w:id="290" w:name="Tc_JvD6ciBio0i4mpxXrzDv6A_4_2"/>
      <w:bookmarkStart w:id="291" w:name="Tc_z7aBzZXVDUiD4umiOvbK4A_3_11"/>
      <w:bookmarkStart w:id="292" w:name="Tc_FFfr7Nehj0Ctj5cSJlGCew_3_8"/>
      <w:bookmarkStart w:id="293" w:name="Tc__5OZQy5U0Ey59FJ-2IYxNw_3_2"/>
      <w:bookmarkStart w:id="294" w:name="Tc_wPk32HIA6ke1qYp0UhZ8TQ_2_11"/>
      <w:bookmarkStart w:id="295" w:name="Tc_8jI3lEgVpUOe5mOSEdK1vA_1_11"/>
      <w:bookmarkStart w:id="296" w:name="_654e9950_05b0_4ce9_b06b_c2eb25a56e40"/>
      <w:bookmarkStart w:id="297" w:name="_b2604325_1678_42d7_ac7a_f4fad9a5d5df"/>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tbl>
      <w:tblPr>
        <w:tblW w:w="10205" w:type="dxa"/>
        <w:jc w:val="left"/>
        <w:tblInd w:w="0" w:type="dxa"/>
        <w:tblLayout w:type="fixed"/>
        <w:tblCellMar>
          <w:top w:w="0" w:type="dxa"/>
          <w:left w:w="0" w:type="dxa"/>
          <w:bottom w:w="0" w:type="dxa"/>
          <w:right w:w="0" w:type="dxa"/>
        </w:tblCellMar>
      </w:tblPr>
      <w:tblGrid>
        <w:gridCol w:w="3614"/>
        <w:gridCol w:w="326"/>
        <w:gridCol w:w="211"/>
        <w:gridCol w:w="1036"/>
        <w:gridCol w:w="326"/>
        <w:gridCol w:w="211"/>
        <w:gridCol w:w="781"/>
        <w:gridCol w:w="326"/>
        <w:gridCol w:w="223"/>
        <w:gridCol w:w="1098"/>
        <w:gridCol w:w="326"/>
        <w:gridCol w:w="331"/>
        <w:gridCol w:w="1396"/>
      </w:tblGrid>
      <w:tr>
        <w:trPr/>
        <w:tc>
          <w:tcPr>
            <w:tcW w:w="3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294890" cy="175260"/>
                      <wp:effectExtent l="0" t="0" r="0" b="0"/>
                      <wp:wrapNone/>
                      <wp:docPr id="10" name="Frame10"/>
                      <a:graphic xmlns:a="http://schemas.openxmlformats.org/drawingml/2006/main">
                        <a:graphicData uri="http://schemas.microsoft.com/office/word/2010/wordprocessingShape">
                          <wps:wsp>
                            <wps:cNvSpPr txBox="1"/>
                            <wps:spPr>
                              <a:xfrm>
                                <a:off x="0" y="0"/>
                                <a:ext cx="2294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57860" cy="175260"/>
                      <wp:effectExtent l="0" t="0" r="0" b="0"/>
                      <wp:wrapNone/>
                      <wp:docPr id="13" name="Frame1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5"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95935" cy="175260"/>
                      <wp:effectExtent l="0" t="0" r="0" b="0"/>
                      <wp:wrapNone/>
                      <wp:docPr id="16" name="Frame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41605" cy="175260"/>
                      <wp:effectExtent l="0" t="0" r="0" b="0"/>
                      <wp:wrapNone/>
                      <wp:docPr id="18" name="Frame18"/>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7230" cy="175260"/>
                      <wp:effectExtent l="0" t="0" r="0" b="0"/>
                      <wp:wrapNone/>
                      <wp:docPr id="19" name="Frame19"/>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0185" cy="175260"/>
                      <wp:effectExtent l="0" t="0" r="0" b="0"/>
                      <wp:wrapNone/>
                      <wp:docPr id="21" name="Frame2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886460" cy="175260"/>
                      <wp:effectExtent l="0" t="0" r="0" b="0"/>
                      <wp:wrapNone/>
                      <wp:docPr id="22" name="Frame22"/>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32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72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For the Period from</w:t>
            </w:r>
            <w:r>
              <w:rPr>
                <w:rFonts w:ascii="Times New Roman;Times;serif" w:hAnsi="Times New Roman;Times;serif"/>
                <w:sz w:val="16"/>
              </w:rPr>
              <w:t> </w:t>
            </w:r>
          </w:p>
        </w:tc>
      </w:tr>
      <w:tr>
        <w:trPr/>
        <w:tc>
          <w:tcPr>
            <w:tcW w:w="36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32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72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January 18, 2022</w:t>
            </w:r>
            <w:r>
              <w:rPr>
                <w:rFonts w:ascii="Times New Roman;Times;serif" w:hAnsi="Times New Roman;Times;serif"/>
                <w:sz w:val="16"/>
              </w:rPr>
              <w:t> </w:t>
            </w:r>
          </w:p>
        </w:tc>
      </w:tr>
      <w:tr>
        <w:trPr/>
        <w:tc>
          <w:tcPr>
            <w:tcW w:w="36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56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26" w:type="dxa"/>
            <w:tcBorders/>
            <w:vAlign w:val="center"/>
          </w:tcPr>
          <w:p>
            <w:pPr>
              <w:pStyle w:val="TableContents"/>
              <w:bidi w:val="0"/>
              <w:spacing w:before="0" w:after="1"/>
              <w:ind w:left="0" w:right="0" w:hanging="0"/>
              <w:jc w:val="center"/>
              <w:rPr/>
            </w:pPr>
            <w:r>
              <w:rPr/>
              <w:t>​</w:t>
            </w:r>
          </w:p>
        </w:tc>
        <w:tc>
          <w:tcPr>
            <w:tcW w:w="13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w:t>
            </w:r>
          </w:p>
        </w:tc>
        <w:tc>
          <w:tcPr>
            <w:tcW w:w="326" w:type="dxa"/>
            <w:tcBorders/>
            <w:vAlign w:val="center"/>
          </w:tcPr>
          <w:p>
            <w:pPr>
              <w:pStyle w:val="TableContents"/>
              <w:bidi w:val="0"/>
              <w:spacing w:before="0" w:after="1"/>
              <w:ind w:left="0" w:right="0" w:hanging="0"/>
              <w:jc w:val="left"/>
              <w:rPr/>
            </w:pPr>
            <w:r>
              <w:rPr/>
              <w:t>​</w:t>
            </w:r>
          </w:p>
        </w:tc>
        <w:tc>
          <w:tcPr>
            <w:tcW w:w="172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(date of inception) to</w:t>
            </w:r>
            <w:r>
              <w:rPr>
                <w:rFonts w:ascii="Times New Roman;Times;serif" w:hAnsi="Times New Roman;Times;serif"/>
                <w:sz w:val="16"/>
              </w:rPr>
              <w:t> </w:t>
            </w:r>
          </w:p>
        </w:tc>
      </w:tr>
      <w:tr>
        <w:trPr/>
        <w:tc>
          <w:tcPr>
            <w:tcW w:w="36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5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1"/>
              <w:ind w:left="0" w:right="0" w:hanging="0"/>
              <w:jc w:val="center"/>
              <w:rPr/>
            </w:pPr>
            <w:r>
              <w:rPr/>
              <w:t>​</w:t>
            </w:r>
          </w:p>
        </w:tc>
        <w:tc>
          <w:tcPr>
            <w:tcW w:w="13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September 30,</w:t>
            </w:r>
          </w:p>
        </w:tc>
        <w:tc>
          <w:tcPr>
            <w:tcW w:w="326" w:type="dxa"/>
            <w:tcBorders/>
            <w:vAlign w:val="center"/>
          </w:tcPr>
          <w:p>
            <w:pPr>
              <w:pStyle w:val="TableContents"/>
              <w:bidi w:val="0"/>
              <w:spacing w:before="0" w:after="1"/>
              <w:ind w:left="0" w:right="0" w:hanging="0"/>
              <w:jc w:val="left"/>
              <w:rPr/>
            </w:pPr>
            <w:r>
              <w:rPr/>
              <w:t>​</w:t>
            </w:r>
          </w:p>
        </w:tc>
        <w:tc>
          <w:tcPr>
            <w:tcW w:w="172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6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13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7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61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109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1396" w:type="dxa"/>
            <w:tcBorders/>
            <w:shd w:fill="CCEEFF" w:val="clear"/>
            <w:vAlign w:val="center"/>
          </w:tcPr>
          <w:p>
            <w:pPr>
              <w:pStyle w:val="TableContents"/>
              <w:bidi w:val="0"/>
              <w:spacing w:before="0" w:after="1"/>
              <w:ind w:left="0" w:right="0" w:hanging="0"/>
              <w:jc w:val="right"/>
              <w:rPr/>
            </w:pPr>
            <w:r>
              <w:rPr/>
              <w:t>  </w:t>
            </w:r>
          </w:p>
        </w:tc>
      </w:tr>
      <w:tr>
        <w:trPr/>
        <w:tc>
          <w:tcPr>
            <w:tcW w:w="361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37,079</w:t>
            </w:r>
          </w:p>
        </w:tc>
        <w:tc>
          <w:tcPr>
            <w:tcW w:w="326"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8,000</w:t>
            </w:r>
          </w:p>
        </w:tc>
      </w:tr>
      <w:tr>
        <w:trPr/>
        <w:tc>
          <w:tcPr>
            <w:tcW w:w="361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14,732</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1,814</w:t>
            </w:r>
          </w:p>
        </w:tc>
      </w:tr>
      <w:tr>
        <w:trPr/>
        <w:tc>
          <w:tcPr>
            <w:tcW w:w="361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10,187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1,068</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51,811</w:t>
            </w:r>
          </w:p>
        </w:tc>
        <w:tc>
          <w:tcPr>
            <w:tcW w:w="326" w:type="dxa"/>
            <w:tcBorders/>
            <w:vAlign w:val="center"/>
          </w:tcPr>
          <w:p>
            <w:pPr>
              <w:pStyle w:val="TableContents"/>
              <w:bidi w:val="0"/>
              <w:spacing w:before="0" w:after="1"/>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9,814</w:t>
            </w:r>
          </w:p>
        </w:tc>
      </w:tr>
      <w:tr>
        <w:trPr/>
        <w:tc>
          <w:tcPr>
            <w:tcW w:w="361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(1,068)</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10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(51,811)</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 </w:t>
            </w:r>
          </w:p>
        </w:tc>
        <w:tc>
          <w:tcPr>
            <w:tcW w:w="13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(9,814)</w:t>
            </w:r>
          </w:p>
        </w:tc>
      </w:tr>
      <w:tr>
        <w:trPr/>
        <w:tc>
          <w:tcPr>
            <w:tcW w:w="361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expense/(income),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109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w:t>
            </w:r>
          </w:p>
        </w:tc>
        <w:tc>
          <w:tcPr>
            <w:tcW w:w="1396" w:type="dxa"/>
            <w:tcBorders/>
            <w:vAlign w:val="center"/>
          </w:tcPr>
          <w:p>
            <w:pPr>
              <w:pStyle w:val="TableContents"/>
              <w:bidi w:val="0"/>
              <w:spacing w:before="0" w:after="1"/>
              <w:ind w:left="0" w:right="0" w:hanging="0"/>
              <w:jc w:val="right"/>
              <w:rPr/>
            </w:pPr>
            <w:r>
              <w:rPr/>
              <w:t>​</w:t>
            </w:r>
          </w:p>
        </w:tc>
      </w:tr>
      <w:tr>
        <w:trPr/>
        <w:tc>
          <w:tcPr>
            <w:tcW w:w="361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10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13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361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10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w:t>
            </w:r>
          </w:p>
        </w:tc>
        <w:tc>
          <w:tcPr>
            <w:tcW w:w="326"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w:t>
            </w:r>
          </w:p>
        </w:tc>
        <w:tc>
          <w:tcPr>
            <w:tcW w:w="1396" w:type="dxa"/>
            <w:tcBorders/>
            <w:vAlign w:val="center"/>
          </w:tcPr>
          <w:p>
            <w:pPr>
              <w:pStyle w:val="TableContents"/>
              <w:bidi w:val="0"/>
              <w:spacing w:before="0" w:after="1"/>
              <w:ind w:left="0" w:right="0" w:hanging="0"/>
              <w:jc w:val="right"/>
              <w:rPr/>
            </w:pPr>
            <w:r>
              <w:rPr/>
              <w:t>—</w:t>
            </w:r>
          </w:p>
        </w:tc>
      </w:tr>
      <w:tr>
        <w:trPr/>
        <w:tc>
          <w:tcPr>
            <w:tcW w:w="361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10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(1,392)</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1396" w:type="dxa"/>
            <w:tcBorders/>
            <w:shd w:fill="CCEEFF" w:val="clear"/>
            <w:vAlign w:val="center"/>
          </w:tcPr>
          <w:p>
            <w:pPr>
              <w:pStyle w:val="TableContents"/>
              <w:bidi w:val="0"/>
              <w:spacing w:before="0" w:after="1"/>
              <w:ind w:left="0" w:right="0" w:hanging="0"/>
              <w:jc w:val="right"/>
              <w:rPr/>
            </w:pPr>
            <w:r>
              <w:rPr/>
              <w:t>—</w:t>
            </w:r>
          </w:p>
        </w:tc>
      </w:tr>
      <w:tr>
        <w:trPr/>
        <w:tc>
          <w:tcPr>
            <w:tcW w:w="361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private placement warrants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10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c>
          <w:tcPr>
            <w:tcW w:w="326"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w:t>
            </w:r>
          </w:p>
        </w:tc>
        <w:tc>
          <w:tcPr>
            <w:tcW w:w="1396" w:type="dxa"/>
            <w:tcBorders/>
            <w:vAlign w:val="center"/>
          </w:tcPr>
          <w:p>
            <w:pPr>
              <w:pStyle w:val="TableContents"/>
              <w:bidi w:val="0"/>
              <w:spacing w:before="0" w:after="1"/>
              <w:ind w:left="0" w:right="0" w:hanging="0"/>
              <w:jc w:val="right"/>
              <w:rPr/>
            </w:pPr>
            <w:r>
              <w:rPr/>
              <w:t>—</w:t>
            </w:r>
          </w:p>
        </w:tc>
      </w:tr>
      <w:tr>
        <w:trPr/>
        <w:tc>
          <w:tcPr>
            <w:tcW w:w="361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note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2,244</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61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expense/(income),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w:t>
            </w:r>
          </w:p>
        </w:tc>
        <w:tc>
          <w:tcPr>
            <w:tcW w:w="326" w:type="dxa"/>
            <w:tcBorders/>
            <w:vAlign w:val="center"/>
          </w:tcPr>
          <w:p>
            <w:pPr>
              <w:pStyle w:val="TableContents"/>
              <w:bidi w:val="0"/>
              <w:spacing w:before="0" w:after="1"/>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361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(1,102)</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10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(52,090)</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13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(9,846)</w:t>
            </w:r>
          </w:p>
        </w:tc>
      </w:tr>
      <w:tr>
        <w:trPr/>
        <w:tc>
          <w:tcPr>
            <w:tcW w:w="361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8" w:type="dxa"/>
            <w:tcBorders>
              <w:bottom w:val="single" w:sz="2" w:space="0" w:color="000000"/>
            </w:tcBorders>
            <w:tcMar>
              <w:bottom w:w="28" w:type="dxa"/>
            </w:tcM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96" w:type="dxa"/>
            <w:tcBorders>
              <w:bottom w:val="single" w:sz="2" w:space="0" w:color="000000"/>
            </w:tcBorders>
            <w:tcMar>
              <w:bottom w:w="28" w:type="dxa"/>
            </w:tcM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361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before redeemable noncontrolling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(1,102)</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10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(52,090)</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13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(9,846)</w:t>
            </w:r>
          </w:p>
        </w:tc>
      </w:tr>
      <w:tr>
        <w:trPr/>
        <w:tc>
          <w:tcPr>
            <w:tcW w:w="361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redeemable noncontrolling interest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26" w:type="dxa"/>
            <w:tcBorders/>
            <w:vAlign w:val="center"/>
          </w:tcPr>
          <w:p>
            <w:pPr>
              <w:pStyle w:val="TableContents"/>
              <w:bidi w:val="0"/>
              <w:spacing w:before="0" w:after="1"/>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61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(1,102)</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(51,887)</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(9,846)</w:t>
            </w:r>
          </w:p>
        </w:tc>
      </w:tr>
      <w:tr>
        <w:trPr/>
        <w:tc>
          <w:tcPr>
            <w:tcW w:w="361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 to Zura subsidiary’s preferred stock to redemption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10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26"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w:t>
            </w:r>
          </w:p>
        </w:tc>
        <w:tc>
          <w:tcPr>
            <w:tcW w:w="1396" w:type="dxa"/>
            <w:tcBorders/>
            <w:vAlign w:val="center"/>
          </w:tcPr>
          <w:p>
            <w:pPr>
              <w:pStyle w:val="TableContents"/>
              <w:bidi w:val="0"/>
              <w:spacing w:before="0" w:after="1"/>
              <w:ind w:left="0" w:right="0" w:hanging="0"/>
              <w:jc w:val="right"/>
              <w:rPr/>
            </w:pPr>
            <w:r>
              <w:rPr/>
              <w:t>—</w:t>
            </w:r>
          </w:p>
        </w:tc>
      </w:tr>
      <w:tr>
        <w:trPr/>
        <w:tc>
          <w:tcPr>
            <w:tcW w:w="361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Deemed dividend to redeemable noncontrolling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(10,875)</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61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Class A Ordinary Shareholders of Zura</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(1,102)</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(62,965)</w:t>
            </w:r>
          </w:p>
        </w:tc>
        <w:tc>
          <w:tcPr>
            <w:tcW w:w="326" w:type="dxa"/>
            <w:tcBorders/>
            <w:vAlign w:val="center"/>
          </w:tcPr>
          <w:p>
            <w:pPr>
              <w:pStyle w:val="TableContents"/>
              <w:bidi w:val="0"/>
              <w:spacing w:before="0" w:after="1"/>
              <w:ind w:left="0" w:right="0" w:hanging="0"/>
              <w:jc w:val="left"/>
              <w:rPr/>
            </w:pPr>
            <w:r>
              <w:rPr/>
              <w:t>​</w:t>
            </w:r>
          </w:p>
        </w:tc>
        <w:tc>
          <w:tcPr>
            <w:tcW w:w="3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(9,846)</w:t>
            </w:r>
          </w:p>
        </w:tc>
      </w:tr>
      <w:tr>
        <w:trPr/>
        <w:tc>
          <w:tcPr>
            <w:tcW w:w="361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attributable to Class A Ordinary Shareholders of Zura, basic and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(57.14)</w:t>
            </w:r>
          </w:p>
        </w:tc>
      </w:tr>
      <w:tr>
        <w:trPr/>
        <w:tc>
          <w:tcPr>
            <w:tcW w:w="361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Class A Ordinary Shares used in computing net loss per share attributable to Class A Ordinary Shareholders of Zura, basic and diluted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46,876,344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383,480</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28,402,487</w:t>
            </w:r>
          </w:p>
        </w:tc>
        <w:tc>
          <w:tcPr>
            <w:tcW w:w="326" w:type="dxa"/>
            <w:tcBorders/>
            <w:vAlign w:val="center"/>
          </w:tcPr>
          <w:p>
            <w:pPr>
              <w:pStyle w:val="TableContents"/>
              <w:bidi w:val="0"/>
              <w:spacing w:before="0" w:after="1"/>
              <w:ind w:left="0" w:right="0" w:hanging="0"/>
              <w:jc w:val="left"/>
              <w:rPr/>
            </w:pPr>
            <w:r>
              <w:rPr/>
              <w:t>​</w:t>
            </w:r>
          </w:p>
        </w:tc>
        <w:tc>
          <w:tcPr>
            <w:tcW w:w="33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39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172,326</w:t>
            </w:r>
          </w:p>
        </w:tc>
      </w:tr>
    </w:tbl>
    <w:p>
      <w:pPr>
        <w:pStyle w:val="TextBody"/>
        <w:bidi w:val="0"/>
        <w:spacing w:before="0" w:after="240"/>
        <w:ind w:left="0" w:right="0" w:hanging="0"/>
        <w:jc w:val="center"/>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accompanying notes to unaudited condensed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98" w:name="_c077193a_73b9_42dd_ad0c_0c2722348d4e"/>
      <w:bookmarkEnd w:id="298"/>
      <w:r>
        <w:rPr>
          <w:rFonts w:ascii="Times New Roman;Times;serif" w:hAnsi="Times New Roman;Times;serif"/>
          <w:b/>
          <w:sz w:val="20"/>
        </w:rPr>
        <w:t>Zura Bio Limited</w:t>
      </w:r>
    </w:p>
    <w:p>
      <w:pPr>
        <w:pStyle w:val="TextBody"/>
        <w:bidi w:val="0"/>
        <w:spacing w:before="0" w:after="0"/>
        <w:ind w:left="0" w:right="0" w:firstLine="360"/>
        <w:jc w:val="center"/>
        <w:rPr>
          <w:rFonts w:ascii="Times New Roman;Times;serif" w:hAnsi="Times New Roman;Times;serif"/>
          <w:b/>
          <w:sz w:val="20"/>
        </w:rPr>
      </w:pPr>
      <w:bookmarkStart w:id="299" w:name="CondensedConsolidatedStatementsofChanges"/>
      <w:bookmarkEnd w:id="299"/>
      <w:r>
        <w:rPr>
          <w:rFonts w:ascii="Times New Roman;Times;serif" w:hAnsi="Times New Roman;Times;serif"/>
          <w:b/>
          <w:sz w:val="20"/>
        </w:rPr>
        <w:t>Condensed Consolidated Statements of Changes in Convertible Preferred Shares, Redeemable Noncontrolling Interest and Shareholders’ Equity (Deficit)</w:t>
      </w:r>
    </w:p>
    <w:p>
      <w:pPr>
        <w:pStyle w:val="TextBody"/>
        <w:bidi w:val="0"/>
        <w:spacing w:before="0" w:after="0"/>
        <w:ind w:left="0" w:right="0" w:firstLine="36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Normal"/>
        <w:bidi w:val="0"/>
        <w:spacing w:before="0" w:after="0"/>
        <w:jc w:val="left"/>
        <w:rPr>
          <w:sz w:val="4"/>
          <w:szCs w:val="4"/>
        </w:rPr>
      </w:pPr>
      <w:r>
        <w:rPr>
          <w:sz w:val="4"/>
          <w:szCs w:val="4"/>
        </w:rPr>
      </w:r>
      <w:bookmarkStart w:id="300" w:name="Tc_xSzr2k_kBkyKuDbJ4YdcgA_29_25"/>
      <w:bookmarkStart w:id="301" w:name="Tc_a_qTOje0o0u0yhH1a-J0OA_29_23"/>
      <w:bookmarkStart w:id="302" w:name="Tc_tisp7Bh82EyHOkXvCAVPlQ_29_22"/>
      <w:bookmarkStart w:id="303" w:name="Tc_Rx-bWdioo0OUMNonFOPpig_29_19"/>
      <w:bookmarkStart w:id="304" w:name="Tc_cMAcLGdk6kuOAeeXqCbf5g_29_16"/>
      <w:bookmarkStart w:id="305" w:name="Tc_MYIR-qK_JUWcpgByRy6png_29_14"/>
      <w:bookmarkStart w:id="306" w:name="Tc_Z0wwOwk3CU-cJAwH9V0Z6A_29_13"/>
      <w:bookmarkStart w:id="307" w:name="Tc_-4BMZRr8ekyu881JKauX3g_29_7"/>
      <w:bookmarkStart w:id="308" w:name="Tc_sLiqTJXcPEGUpwixJ88nlQ_29_3"/>
      <w:bookmarkStart w:id="309" w:name="Tc_FOZMtGV1bEGUffoXZN3nlA_29_2"/>
      <w:bookmarkStart w:id="310" w:name="Tc_dZ8fmo9LOk24_kptNVutiA_29_0"/>
      <w:bookmarkStart w:id="311" w:name="Tc_t9vCkRzxh060_oosUc_utw_28_23"/>
      <w:bookmarkStart w:id="312" w:name="Tc_nXcdte2kz0q2V4hy2aBuYA_28_17"/>
      <w:bookmarkStart w:id="313" w:name="Tc_y-1pq-NhsEGAvieClqlEmg_28_14"/>
      <w:bookmarkStart w:id="314" w:name="Tc_-K0pbGCI8EuhjGnRyBiaYA_28_11"/>
      <w:bookmarkStart w:id="315" w:name="Tc_-eJmF8lCtESPp5g9NVhoug_28_8"/>
      <w:bookmarkStart w:id="316" w:name="Tc_BhSfPqt0nEa4SQaWKq65eQ_28_5"/>
      <w:bookmarkStart w:id="317" w:name="Tc_YfEYqVQcfEmr6hXd0XeGYw_28_3"/>
      <w:bookmarkStart w:id="318" w:name="Tc_2m2jmmi5Yk6PUi6HEOxlkw_28_0"/>
      <w:bookmarkStart w:id="319" w:name="Tc_44lf3dFwVk2gQ4jKm_KMLg_27_23"/>
      <w:bookmarkStart w:id="320" w:name="Tc_fBKwRLc1nUuRTN2ipou3gw_27_20"/>
      <w:bookmarkStart w:id="321" w:name="Tc_QYX-OEg4x06hbW5GiFsuYw_27_14"/>
      <w:bookmarkStart w:id="322" w:name="Tc_YvX9_St_GUOy8cogGf1e7g_27_11"/>
      <w:bookmarkStart w:id="323" w:name="Tc_4OWa5R7qF0yZNqfhsIlGDA_27_8"/>
      <w:bookmarkStart w:id="324" w:name="Tc_WGdXOnOy-EG8WnGKa0q7gQ_27_5"/>
      <w:bookmarkStart w:id="325" w:name="Tc_vBih4I1PhkCeLNZzHEi3Nw_27_3"/>
      <w:bookmarkStart w:id="326" w:name="Tc_h366LdIftEyeJbHjhqsZ9g_27_0"/>
      <w:bookmarkStart w:id="327" w:name="Tc_o3mXX9d6lkmqzqaJOiU5Zg_26_26"/>
      <w:bookmarkStart w:id="328" w:name="Tc__tEJUS1urke05tWJ_v0cDA_26_23"/>
      <w:bookmarkStart w:id="329" w:name="Tc_z6zo2vGLAkWCcEKH0JBOUQ_26_20"/>
      <w:bookmarkStart w:id="330" w:name="Tc_uG1yR6DGi0Sis371a9TlLA_26_17"/>
      <w:bookmarkStart w:id="331" w:name="Tc_mok5ZQ67GUi6E4yOJgqGiQ_26_14"/>
      <w:bookmarkStart w:id="332" w:name="Tc_RbxPZb88rUWouqNp64ltxg_26_8"/>
      <w:bookmarkStart w:id="333" w:name="Tc_jGSrTnDZmUGlj3f-rKduOQ_26_5"/>
      <w:bookmarkStart w:id="334" w:name="Tc_BFl-zO-JkUOr2SB1gpN5gQ_26_3"/>
      <w:bookmarkStart w:id="335" w:name="Tc__Etj5rGLGU-xwER9HxutOA_26_0"/>
      <w:bookmarkStart w:id="336" w:name="Tc_cre-gaTC5UiPmMbEDSNkaQ_25_26"/>
      <w:bookmarkStart w:id="337" w:name="Tc_cnuQz8FyYEmU9HxOi5Ua7Q_25_23"/>
      <w:bookmarkStart w:id="338" w:name="Tc_nCnMxH3Qn0O6aiVTvWRajg_25_20"/>
      <w:bookmarkStart w:id="339" w:name="Tc_Bi4fitlGykSeFiWNtWpduQ_25_17"/>
      <w:bookmarkStart w:id="340" w:name="Tc_uVrH0EM1uUybyhMJpKY7nA_25_14"/>
      <w:bookmarkStart w:id="341" w:name="Tc_of1l5p7ajE-gtUyYWY0Anw_25_11"/>
      <w:bookmarkStart w:id="342" w:name="Tc_PHjeY53TCE2DrW6rbHBFgw_25_3"/>
      <w:bookmarkStart w:id="343" w:name="Tc_RAUEOXNEI02O5hMof5Xj7A_25_0"/>
      <w:bookmarkStart w:id="344" w:name="Tc_6qIVAitofUK3frQbmzRkLA_24_26"/>
      <w:bookmarkStart w:id="345" w:name="Tc_s7O-wVkM902i-aG6iS5KYw_24_23"/>
      <w:bookmarkStart w:id="346" w:name="Tc_29OuClone0G4o727xtda4Q_24_20"/>
      <w:bookmarkStart w:id="347" w:name="Tc_PjQ9NT3GVUq0KT7-h1Jolg_24_17"/>
      <w:bookmarkStart w:id="348" w:name="Tc_lawOYBKfYES9uRflBPHxtg_24_14"/>
      <w:bookmarkStart w:id="349" w:name="Tc_qiNWokg9gUmPJilE4kENjA_24_11"/>
      <w:bookmarkStart w:id="350" w:name="Tc_BWAkVpaJsUesiL8yIeQOfA_24_3"/>
      <w:bookmarkStart w:id="351" w:name="Tc_WqGR5DkAxUuAbHP9Z-dpJg_24_0"/>
      <w:bookmarkStart w:id="352" w:name="Tc_mijlZ9wpY0S9wPlyQ6pQzg_23_26"/>
      <w:bookmarkStart w:id="353" w:name="Tc_lxOZ6BzT50yCx3ZGLHN1Kg_23_23"/>
      <w:bookmarkStart w:id="354" w:name="Tc_ymC9TjUYsEiU0YjenH1g4Q_23_20"/>
      <w:bookmarkStart w:id="355" w:name="Tc_PMap0JlESUWxzYhefX005w_23_17"/>
      <w:bookmarkStart w:id="356" w:name="Tc_ZPJgwU0LwUqV8dVwFqIEnA_23_14"/>
      <w:bookmarkStart w:id="357" w:name="Tc_MFbedVlliU-g39XNUWva4w_23_8"/>
      <w:bookmarkStart w:id="358" w:name="Tc_kqmEHUYrrUq3hQyMETJQiA_23_5"/>
      <w:bookmarkStart w:id="359" w:name="Tc_0SWTqN_mjkS6i5nZ2pLONQ_23_3"/>
      <w:bookmarkStart w:id="360" w:name="Tc_-sB_UnCSE0OGnOqMrCpwAA_23_0"/>
      <w:bookmarkStart w:id="361" w:name="Tc_EKR8LqM180qCYGXD2NSBSg_22_25"/>
      <w:bookmarkStart w:id="362" w:name="Tc_8qWTgEkt2E-XNU3tzZCt1g_22_22"/>
      <w:bookmarkStart w:id="363" w:name="Tc_VQpcwWtAE0CiZeQ-cS3A1w_22_19"/>
      <w:bookmarkStart w:id="364" w:name="Tc_m1JuTB1SeE6jzzUYiG_lRg_22_16"/>
      <w:bookmarkStart w:id="365" w:name="Tc_Yy5tCpvZYE2wCOl3xrk3ow_22_13"/>
      <w:bookmarkStart w:id="366" w:name="Tc_VoKfVH16JUKFqnvDgRgU5A_22_7"/>
      <w:bookmarkStart w:id="367" w:name="Tc_xYSuKE9KjEWBA4KPqmquGQ_22_2"/>
      <w:bookmarkStart w:id="368" w:name="Tc_EZsvLSuVjkiEQ-NnB7i05Q_22_0"/>
      <w:bookmarkStart w:id="369" w:name="Tc_hgt2k_n1cUSfHG35bVMbhw_20_25"/>
      <w:bookmarkStart w:id="370" w:name="Tc_DUF4Sk6sXkWbjGbUnFs5zA_20_22"/>
      <w:bookmarkStart w:id="371" w:name="Tc_3QTdsnqMzkK_J8md3e7CSA_20_19"/>
      <w:bookmarkStart w:id="372" w:name="Tc_XbynPM7HAku-KNkG3dsq1w_20_16"/>
      <w:bookmarkStart w:id="373" w:name="Tc_Gsg3JyjLgky6T1p2I3GfmQ_20_13"/>
      <w:bookmarkStart w:id="374" w:name="Tc_uQGlsRBE8UuQZae6LKwB0A_20_8"/>
      <w:bookmarkStart w:id="375" w:name="Tc_fCB8J2iBLEiiyYN5vTxhPA_20_7"/>
      <w:bookmarkStart w:id="376" w:name="Tc_PnWgf4bm5EGS10g4qquXkw_20_5"/>
      <w:bookmarkStart w:id="377" w:name="Tc_dkJko5sdK0CbHJVJJ2r6pw_20_2"/>
      <w:bookmarkStart w:id="378" w:name="Tc_B_e3uGhFLUCVWC-lc0dOoA_20_0"/>
      <w:bookmarkStart w:id="379" w:name="Tc_hOFXPKhXz0az8eAxpoAaWQ_19_23"/>
      <w:bookmarkStart w:id="380" w:name="Tc_K9TfZdrZVUKilpEUBvfMlA_19_17"/>
      <w:bookmarkStart w:id="381" w:name="Tc_6Ql9l5dzf0-2sVuB4mp3Ug_19_14"/>
      <w:bookmarkStart w:id="382" w:name="Tc_IKIZcIhYNUC-kcJZmTgI8Q_19_11"/>
      <w:bookmarkStart w:id="383" w:name="Tc_fb6TDyKM50mAgui2tOXSeA_19_8"/>
      <w:bookmarkStart w:id="384" w:name="Tc_vGoDe0WxcEmwbJTNJ3QIhQ_19_5"/>
      <w:bookmarkStart w:id="385" w:name="Tc_hqIKSwIL0EOTSF123llysw_19_0"/>
      <w:bookmarkStart w:id="386" w:name="Tc_XHz0TrKTrUGSKixrSxpT2g_18_20"/>
      <w:bookmarkStart w:id="387" w:name="Tc_wd0wTujfoEymm4GInJF45Q_18_17"/>
      <w:bookmarkStart w:id="388" w:name="Tc_v-WbrkEq7kqu09OnY4gROw_18_14"/>
      <w:bookmarkStart w:id="389" w:name="Tc_9pM2caYdZkSRKHXR-GHthA_18_11"/>
      <w:bookmarkStart w:id="390" w:name="Tc_TRCDmMu2PkikX8cjxG0ZBQ_18_8"/>
      <w:bookmarkStart w:id="391" w:name="Tc_scY4bA4y4EujzkB6PbHTOA_18_5"/>
      <w:bookmarkStart w:id="392" w:name="Tc_rm4AdxiBCUKCJvnVrnGbGQ_18_3"/>
      <w:bookmarkStart w:id="393" w:name="Tc_Pwd2yMfh4UywXu3LLQwJrg_18_0"/>
      <w:bookmarkStart w:id="394" w:name="Tc_iioPUIDrN0-TEUo5FJldOQ_17_23"/>
      <w:bookmarkStart w:id="395" w:name="Tc_3tOVJ2inNkqK-J_XOcYiXg_17_17"/>
      <w:bookmarkStart w:id="396" w:name="Tc_9wO5J_G9e0yQfxtTYWXeCw_17_14"/>
      <w:bookmarkStart w:id="397" w:name="Tc_K3tRTMJvrUyjz4Rmy8egEg_17_11"/>
      <w:bookmarkStart w:id="398" w:name="Tc_Mp8P6FUr8EWEiBQ4cXOgsg_17_8"/>
      <w:bookmarkStart w:id="399" w:name="Tc_YgwuJODz2UCVVgOet6eSGQ_17_5"/>
      <w:bookmarkStart w:id="400" w:name="Tc_doATiKTbg0SFuDo_PxpHyw_17_0"/>
      <w:bookmarkStart w:id="401" w:name="Tc_iYwS_Inszk-goBDTv1NOTQ_16_23"/>
      <w:bookmarkStart w:id="402" w:name="Tc_xOg5HyTYp06ANWcxK18FEA_16_17"/>
      <w:bookmarkStart w:id="403" w:name="Tc_U_uBJspvTUe3iP5Nc0eYaQ_16_14"/>
      <w:bookmarkStart w:id="404" w:name="Tc_kV0HMLd2PUS_JUuLlo8dUA_16_11"/>
      <w:bookmarkStart w:id="405" w:name="Tc_TblgrKiZSUi6s_vlmDB8bQ_16_8"/>
      <w:bookmarkStart w:id="406" w:name="Tc_7nWDT3T08UeDsSzZOB9qEQ_16_5"/>
      <w:bookmarkStart w:id="407" w:name="Tc_26oF3-h_ZEyO1Q9pfGZEpA_16_0"/>
      <w:bookmarkStart w:id="408" w:name="Tc_TUyj2JsmO0av-m6Izx3bxQ_15_23"/>
      <w:bookmarkStart w:id="409" w:name="Tc_My-bJc2Nckqu-PxRFZx8tg_15_20"/>
      <w:bookmarkStart w:id="410" w:name="Tc_TbKreU2BqketYl-y1Ek_qA_15_14"/>
      <w:bookmarkStart w:id="411" w:name="Tc_Xs3t4vINn0m8ab8a7aBs_Q_15_11"/>
      <w:bookmarkStart w:id="412" w:name="Tc_vSdmIKm670qMjjNek54kfg_15_8"/>
      <w:bookmarkStart w:id="413" w:name="Tc_iTdff7Aik0updhHIc4tjiQ_15_5"/>
      <w:bookmarkStart w:id="414" w:name="Tc_0E0Qh0gyQEuDB5jrIKQnjQ_15_3"/>
      <w:bookmarkStart w:id="415" w:name="Tc_gWCk8rphTUGJwxTkUFdMiQ_15_0"/>
      <w:bookmarkStart w:id="416" w:name="Tc_C6TfS3v_YES73yqElQKB8g_14_23"/>
      <w:bookmarkStart w:id="417" w:name="Tc_8hnBV-0mNkKP7o5XIPCHeQ_14_20"/>
      <w:bookmarkStart w:id="418" w:name="Tc_Ea9u7cXYmEChGp6WoS5MFg_14_14"/>
      <w:bookmarkStart w:id="419" w:name="Tc_13LbSgpmHESvZvUltyGMcA_14_8"/>
      <w:bookmarkStart w:id="420" w:name="Tc_2xXlHUT2wUmsBc6JsYgLnQ_14_5"/>
      <w:bookmarkStart w:id="421" w:name="Tc_dE7qytpDRkme44VpmSQdbQ_14_3"/>
      <w:bookmarkStart w:id="422" w:name="Tc_KGq4ZnVTy0C88lbQVREZBQ_14_0"/>
      <w:bookmarkStart w:id="423" w:name="Tc_Ab4UP5U7WE2WVpa3c7gEkQ_13_23"/>
      <w:bookmarkStart w:id="424" w:name="Tc_VWNKBCg87U2Wyq6q24dFZw_13_20"/>
      <w:bookmarkStart w:id="425" w:name="Tc_fDmhyMCPMEWsmBh4nYAFQA_13_14"/>
      <w:bookmarkStart w:id="426" w:name="Tc_PwDEJf1UiUCjbOdsPQcIZg_13_11"/>
      <w:bookmarkStart w:id="427" w:name="Tc_eVZMTknE40SuAlNk-QaJQg_13_8"/>
      <w:bookmarkStart w:id="428" w:name="Tc_IbWv3vH4CESTCdnA8VETSQ_13_5"/>
      <w:bookmarkStart w:id="429" w:name="Tc_jlFqxvHD50-bz1dWclubaw_13_3"/>
      <w:bookmarkStart w:id="430" w:name="Tc_bRkzAvjND061aZ8yBbugtg_13_0"/>
      <w:bookmarkStart w:id="431" w:name="Tc_AhEsCOr-b0ShnX26MsKd9Q_12_23"/>
      <w:bookmarkStart w:id="432" w:name="Tc_ZO_vpoM3XESv2-9zS0xwCA_12_20"/>
      <w:bookmarkStart w:id="433" w:name="Tc_coK2c-Ygv0W1dX8QtdpGCg_12_8"/>
      <w:bookmarkStart w:id="434" w:name="Tc_1hzsoJ9tk0qY-_lEkloZTQ_12_5"/>
      <w:bookmarkStart w:id="435" w:name="Tc_QhWQctqUT02MgjkvaIasQg_12_3"/>
      <w:bookmarkStart w:id="436" w:name="Tc_GOgzAjXgn0-fp9RpBjEt9w_12_0"/>
      <w:bookmarkStart w:id="437" w:name="Tc_7NBVI6KLDkGlzgNRUEIsrw_11_23"/>
      <w:bookmarkStart w:id="438" w:name="Tc_lDrKkAJQb0uI6Nd0Ec4WXA_11_20"/>
      <w:bookmarkStart w:id="439" w:name="Tc_fLLk9w2FskaXet73AdTHBw_11_14"/>
      <w:bookmarkStart w:id="440" w:name="Tc_NNDQ1oPaz0CSFuxRjVTsLg_11_11"/>
      <w:bookmarkStart w:id="441" w:name="Tc_69pdxIZvske4rXkdJyB97Q_11_8"/>
      <w:bookmarkStart w:id="442" w:name="Tc_-V-nN1FHA0qQZ2PTD2Ox8g_11_5"/>
      <w:bookmarkStart w:id="443" w:name="Tc_qr3B8h5-IkSGHUZwbn6dDw_11_3"/>
      <w:bookmarkStart w:id="444" w:name="Tc_S-OQd-RhwE2V3nueMzwn8A_11_0"/>
      <w:bookmarkStart w:id="445" w:name="Tc_DRQPLfaf70qeuuULuM0a4Q_10_23"/>
      <w:bookmarkStart w:id="446" w:name="Tc_tHVqZYSzYkGAIGbAUH5tbQ_10_20"/>
      <w:bookmarkStart w:id="447" w:name="Tc_jbyPOv1qV0Km_IXhSC8CrQ_10_14"/>
      <w:bookmarkStart w:id="448" w:name="Tc_NllmUUD_pUS8WTAq8oAq1A_10_8"/>
      <w:bookmarkStart w:id="449" w:name="Tc_bsGVzrwnfEKuKmadBNQIsQ_10_5"/>
      <w:bookmarkStart w:id="450" w:name="Tc_UGr4sXI0OUKXeqyNQPObPg_10_3"/>
      <w:bookmarkStart w:id="451" w:name="Tc_naS6bLkd1UyH7N1y_5z0Yg_10_0"/>
      <w:bookmarkStart w:id="452" w:name="Tc_5BPio9vvREiL36Jw_qMiPA_9_23"/>
      <w:bookmarkStart w:id="453" w:name="Tc_tWuQ25fT8kKXGsLzGeDCBQ_9_20"/>
      <w:bookmarkStart w:id="454" w:name="Tc_AVbUOQbTX0q5gypbMFY2_A_9_8"/>
      <w:bookmarkStart w:id="455" w:name="Tc_Aa_3U17SMkajD0uXrstVhg_9_5"/>
      <w:bookmarkStart w:id="456" w:name="Tc_k6LNbr2uNESUWrzNX0Kb2A_9_3"/>
      <w:bookmarkStart w:id="457" w:name="Tc_99f4VFM0oEGmBAr_qgd7aw_9_0"/>
      <w:bookmarkStart w:id="458" w:name="Tc_kT_2rGZlr0uzlvxZftbTrA_8_23"/>
      <w:bookmarkStart w:id="459" w:name="Tc_mBGaFZunDkKo4Ondm9r0XA_8_20"/>
      <w:bookmarkStart w:id="460" w:name="Tc_GtnzVb8FJUWnL8R5P-c4Zg_8_3"/>
      <w:bookmarkStart w:id="461" w:name="Tc_GdQWyodX_k6Nhu4RmRNZ4A_8_0"/>
      <w:bookmarkStart w:id="462" w:name="Tc_ZUCDhy9_0kOMBvHi06DOQg_7_26"/>
      <w:bookmarkStart w:id="463" w:name="Tc_PYsTAXEsHE67Fqw6HMdbxQ_7_23"/>
      <w:bookmarkStart w:id="464" w:name="Tc_EbXtP3KxdkGZwFrH4Gqtuw_7_20"/>
      <w:bookmarkStart w:id="465" w:name="Tc_2C9qvCwlcEyx15CHhkwMOQ_7_17"/>
      <w:bookmarkStart w:id="466" w:name="Tc_HMihLtmJLEK8AygqsYMVHg_7_14"/>
      <w:bookmarkStart w:id="467" w:name="Tc_nufZzG9uKEKplVIz_PjvLw_7_11"/>
      <w:bookmarkStart w:id="468" w:name="Tc_QVCJMyRlm0m7368U9Ci5-g_7_3"/>
      <w:bookmarkStart w:id="469" w:name="Tc_IcuLts1qHEyL7YZNdgk33g_7_0"/>
      <w:bookmarkStart w:id="470" w:name="Tc_muelVltGp0CdZa4Fk13elw_6_23"/>
      <w:bookmarkStart w:id="471" w:name="Tc_s3MRef5z-E68fwicJkWujw_6_17"/>
      <w:bookmarkStart w:id="472" w:name="Tc_F_GN0kMJtUCKl0XO40o8Gw_6_14"/>
      <w:bookmarkStart w:id="473" w:name="Tc_mvDU_tCcrEOwNE0LIyZrnA_6_0"/>
      <w:bookmarkStart w:id="474" w:name="Tc_iTjpD6E3tUeYITqiU2KOOg_5_26"/>
      <w:bookmarkStart w:id="475" w:name="Tc_icewLKKXCkCgRrmnZPLVvQ_5_23"/>
      <w:bookmarkStart w:id="476" w:name="Tc_Y1kL9iB9nEaGqTdkGYvAyA_5_20"/>
      <w:bookmarkStart w:id="477" w:name="Tc_iEOEXd7kbkaWrN1e09ImzQ_5_17"/>
      <w:bookmarkStart w:id="478" w:name="Tc_-s4dpEgU5kSoT596TebJmw_5_14"/>
      <w:bookmarkStart w:id="479" w:name="Tc_aLkyNdpHpkCkDvsd-2vPug_5_8"/>
      <w:bookmarkStart w:id="480" w:name="Tc_iwmj8E2mp0SKAqHyyTNmlw_5_3"/>
      <w:bookmarkStart w:id="481" w:name="Tc_q76C_ocHRUClJWCuXDiBQw_5_0"/>
      <w:bookmarkStart w:id="482" w:name="Tc_o0jJZWqzbEmVMx0brfuyPA_4_25"/>
      <w:bookmarkStart w:id="483" w:name="Tc_u8ci2ccXtkOQHk2u-pJmKQ_4_23"/>
      <w:bookmarkStart w:id="484" w:name="Tc_RH6L5GXw6kqlcU1zJ_BERQ_4_22"/>
      <w:bookmarkStart w:id="485" w:name="Tc_ACkZrI4rRUaevEAas7nhjQ_4_19"/>
      <w:bookmarkStart w:id="486" w:name="Tc_onotM7MhkEWzBQh0pz7leA_4_17"/>
      <w:bookmarkStart w:id="487" w:name="Tc_haRkwZrYS0OJ3c-42nmpug_4_16"/>
      <w:bookmarkStart w:id="488" w:name="Tc_flrduXmyF0ythtmGH10wyg_4_14"/>
      <w:bookmarkStart w:id="489" w:name="Tc_uT6zMtbIUkmhywL-j3b8Aw_4_13"/>
      <w:bookmarkStart w:id="490" w:name="Tc_00O2nbTcXUmFS1DIdMBbvg_4_7"/>
      <w:bookmarkStart w:id="491" w:name="Tc_jvvspUalkkqWyb3jSLbQnQ_4_2"/>
      <w:bookmarkStart w:id="492" w:name="Tc_sHDR86rMkUWoutXxUpHCkA_4_0"/>
      <w:bookmarkStart w:id="493" w:name="Tc_AE8CsmL-jECwo-JXX93t2A_3_25"/>
      <w:bookmarkStart w:id="494" w:name="Tc_FCKOtg5NnkutTM4hn0sz6A_3_22"/>
      <w:bookmarkStart w:id="495" w:name="Tc_qI2h3O5bWkq2F2d4nKtQ1Q_3_19"/>
      <w:bookmarkStart w:id="496" w:name="Tc_0V5itLk5UEulEzMPEwG27g_3_16"/>
      <w:bookmarkStart w:id="497" w:name="Tc_kX2ABdsu2USj6Vmzp3JYSA_3_13"/>
      <w:bookmarkStart w:id="498" w:name="Tc_7qwqnqdiSEKpCC8eOAHqQQ_3_11"/>
      <w:bookmarkStart w:id="499" w:name="Tc_fMSBbCKUy0SO76tUVgAsbg_3_7"/>
      <w:bookmarkStart w:id="500" w:name="Tc_h7unFxttGkuIbXQd6jGWcg_3_5"/>
      <w:bookmarkStart w:id="501" w:name="Tc_UNJ5TjNCA0e9zw-SO9VqMw_3_2"/>
      <w:bookmarkStart w:id="502" w:name="Tc_9Ty_BEmLlEa579ZzgcvlLw_2_25"/>
      <w:bookmarkStart w:id="503" w:name="Tc_L02swli_p0muMKy17g84OQ_2_22"/>
      <w:bookmarkStart w:id="504" w:name="Tc_ZId9gJPnnUWttcC-cDHI6g_2_19"/>
      <w:bookmarkStart w:id="505" w:name="Tc_PAHOwMGdh0CpIOJeBezitg_2_16"/>
      <w:bookmarkStart w:id="506" w:name="Tc_lL_ywv5_rE6huLd1dPNr5g_2_11"/>
      <w:bookmarkStart w:id="507" w:name="Tc_1_WAmn3TlEuj7nal2PpbIw_2_5"/>
      <w:bookmarkStart w:id="508" w:name="Tc_cXgaZX4X8Uij93gsi7HaAw_2_2"/>
      <w:bookmarkStart w:id="509" w:name="Tc_k0hFedAP4EGPvLu7ufRGBA_1_25"/>
      <w:bookmarkStart w:id="510" w:name="Tc_XSUZEGI5P0Krduj_xvgjJw_1_16"/>
      <w:bookmarkStart w:id="511" w:name="Tc_D5OxMlfrcE2jAVVbVlINMQ_1_11"/>
      <w:bookmarkStart w:id="512" w:name="Tc_gPANnH1dqUCnQMB_kineNQ_1_5"/>
      <w:bookmarkStart w:id="513" w:name="Tc_TC00QEzau0Sc_20VIgqvFw_1_2"/>
      <w:bookmarkStart w:id="514" w:name="_9500d7f2_42a4_4672_bc0d_d8271679dd14"/>
      <w:bookmarkStart w:id="515" w:name="Tc_xSzr2k_kBkyKuDbJ4YdcgA_29_25"/>
      <w:bookmarkStart w:id="516" w:name="Tc_a_qTOje0o0u0yhH1a-J0OA_29_23"/>
      <w:bookmarkStart w:id="517" w:name="Tc_tisp7Bh82EyHOkXvCAVPlQ_29_22"/>
      <w:bookmarkStart w:id="518" w:name="Tc_Rx-bWdioo0OUMNonFOPpig_29_19"/>
      <w:bookmarkStart w:id="519" w:name="Tc_cMAcLGdk6kuOAeeXqCbf5g_29_16"/>
      <w:bookmarkStart w:id="520" w:name="Tc_MYIR-qK_JUWcpgByRy6png_29_14"/>
      <w:bookmarkStart w:id="521" w:name="Tc_Z0wwOwk3CU-cJAwH9V0Z6A_29_13"/>
      <w:bookmarkStart w:id="522" w:name="Tc_-4BMZRr8ekyu881JKauX3g_29_7"/>
      <w:bookmarkStart w:id="523" w:name="Tc_sLiqTJXcPEGUpwixJ88nlQ_29_3"/>
      <w:bookmarkStart w:id="524" w:name="Tc_FOZMtGV1bEGUffoXZN3nlA_29_2"/>
      <w:bookmarkStart w:id="525" w:name="Tc_dZ8fmo9LOk24_kptNVutiA_29_0"/>
      <w:bookmarkStart w:id="526" w:name="Tc_t9vCkRzxh060_oosUc_utw_28_23"/>
      <w:bookmarkStart w:id="527" w:name="Tc_nXcdte2kz0q2V4hy2aBuYA_28_17"/>
      <w:bookmarkStart w:id="528" w:name="Tc_y-1pq-NhsEGAvieClqlEmg_28_14"/>
      <w:bookmarkStart w:id="529" w:name="Tc_-K0pbGCI8EuhjGnRyBiaYA_28_11"/>
      <w:bookmarkStart w:id="530" w:name="Tc_-eJmF8lCtESPp5g9NVhoug_28_8"/>
      <w:bookmarkStart w:id="531" w:name="Tc_BhSfPqt0nEa4SQaWKq65eQ_28_5"/>
      <w:bookmarkStart w:id="532" w:name="Tc_YfEYqVQcfEmr6hXd0XeGYw_28_3"/>
      <w:bookmarkStart w:id="533" w:name="Tc_2m2jmmi5Yk6PUi6HEOxlkw_28_0"/>
      <w:bookmarkStart w:id="534" w:name="Tc_44lf3dFwVk2gQ4jKm_KMLg_27_23"/>
      <w:bookmarkStart w:id="535" w:name="Tc_fBKwRLc1nUuRTN2ipou3gw_27_20"/>
      <w:bookmarkStart w:id="536" w:name="Tc_QYX-OEg4x06hbW5GiFsuYw_27_14"/>
      <w:bookmarkStart w:id="537" w:name="Tc_YvX9_St_GUOy8cogGf1e7g_27_11"/>
      <w:bookmarkStart w:id="538" w:name="Tc_4OWa5R7qF0yZNqfhsIlGDA_27_8"/>
      <w:bookmarkStart w:id="539" w:name="Tc_WGdXOnOy-EG8WnGKa0q7gQ_27_5"/>
      <w:bookmarkStart w:id="540" w:name="Tc_vBih4I1PhkCeLNZzHEi3Nw_27_3"/>
      <w:bookmarkStart w:id="541" w:name="Tc_h366LdIftEyeJbHjhqsZ9g_27_0"/>
      <w:bookmarkStart w:id="542" w:name="Tc_o3mXX9d6lkmqzqaJOiU5Zg_26_26"/>
      <w:bookmarkStart w:id="543" w:name="Tc__tEJUS1urke05tWJ_v0cDA_26_23"/>
      <w:bookmarkStart w:id="544" w:name="Tc_z6zo2vGLAkWCcEKH0JBOUQ_26_20"/>
      <w:bookmarkStart w:id="545" w:name="Tc_uG1yR6DGi0Sis371a9TlLA_26_17"/>
      <w:bookmarkStart w:id="546" w:name="Tc_mok5ZQ67GUi6E4yOJgqGiQ_26_14"/>
      <w:bookmarkStart w:id="547" w:name="Tc_RbxPZb88rUWouqNp64ltxg_26_8"/>
      <w:bookmarkStart w:id="548" w:name="Tc_jGSrTnDZmUGlj3f-rKduOQ_26_5"/>
      <w:bookmarkStart w:id="549" w:name="Tc_BFl-zO-JkUOr2SB1gpN5gQ_26_3"/>
      <w:bookmarkStart w:id="550" w:name="Tc__Etj5rGLGU-xwER9HxutOA_26_0"/>
      <w:bookmarkStart w:id="551" w:name="Tc_cre-gaTC5UiPmMbEDSNkaQ_25_26"/>
      <w:bookmarkStart w:id="552" w:name="Tc_cnuQz8FyYEmU9HxOi5Ua7Q_25_23"/>
      <w:bookmarkStart w:id="553" w:name="Tc_nCnMxH3Qn0O6aiVTvWRajg_25_20"/>
      <w:bookmarkStart w:id="554" w:name="Tc_Bi4fitlGykSeFiWNtWpduQ_25_17"/>
      <w:bookmarkStart w:id="555" w:name="Tc_uVrH0EM1uUybyhMJpKY7nA_25_14"/>
      <w:bookmarkStart w:id="556" w:name="Tc_of1l5p7ajE-gtUyYWY0Anw_25_11"/>
      <w:bookmarkStart w:id="557" w:name="Tc_PHjeY53TCE2DrW6rbHBFgw_25_3"/>
      <w:bookmarkStart w:id="558" w:name="Tc_RAUEOXNEI02O5hMof5Xj7A_25_0"/>
      <w:bookmarkStart w:id="559" w:name="Tc_6qIVAitofUK3frQbmzRkLA_24_26"/>
      <w:bookmarkStart w:id="560" w:name="Tc_s7O-wVkM902i-aG6iS5KYw_24_23"/>
      <w:bookmarkStart w:id="561" w:name="Tc_29OuClone0G4o727xtda4Q_24_20"/>
      <w:bookmarkStart w:id="562" w:name="Tc_PjQ9NT3GVUq0KT7-h1Jolg_24_17"/>
      <w:bookmarkStart w:id="563" w:name="Tc_lawOYBKfYES9uRflBPHxtg_24_14"/>
      <w:bookmarkStart w:id="564" w:name="Tc_qiNWokg9gUmPJilE4kENjA_24_11"/>
      <w:bookmarkStart w:id="565" w:name="Tc_BWAkVpaJsUesiL8yIeQOfA_24_3"/>
      <w:bookmarkStart w:id="566" w:name="Tc_WqGR5DkAxUuAbHP9Z-dpJg_24_0"/>
      <w:bookmarkStart w:id="567" w:name="Tc_mijlZ9wpY0S9wPlyQ6pQzg_23_26"/>
      <w:bookmarkStart w:id="568" w:name="Tc_lxOZ6BzT50yCx3ZGLHN1Kg_23_23"/>
      <w:bookmarkStart w:id="569" w:name="Tc_ymC9TjUYsEiU0YjenH1g4Q_23_20"/>
      <w:bookmarkStart w:id="570" w:name="Tc_PMap0JlESUWxzYhefX005w_23_17"/>
      <w:bookmarkStart w:id="571" w:name="Tc_ZPJgwU0LwUqV8dVwFqIEnA_23_14"/>
      <w:bookmarkStart w:id="572" w:name="Tc_MFbedVlliU-g39XNUWva4w_23_8"/>
      <w:bookmarkStart w:id="573" w:name="Tc_kqmEHUYrrUq3hQyMETJQiA_23_5"/>
      <w:bookmarkStart w:id="574" w:name="Tc_0SWTqN_mjkS6i5nZ2pLONQ_23_3"/>
      <w:bookmarkStart w:id="575" w:name="Tc_-sB_UnCSE0OGnOqMrCpwAA_23_0"/>
      <w:bookmarkStart w:id="576" w:name="Tc_EKR8LqM180qCYGXD2NSBSg_22_25"/>
      <w:bookmarkStart w:id="577" w:name="Tc_8qWTgEkt2E-XNU3tzZCt1g_22_22"/>
      <w:bookmarkStart w:id="578" w:name="Tc_VQpcwWtAE0CiZeQ-cS3A1w_22_19"/>
      <w:bookmarkStart w:id="579" w:name="Tc_m1JuTB1SeE6jzzUYiG_lRg_22_16"/>
      <w:bookmarkStart w:id="580" w:name="Tc_Yy5tCpvZYE2wCOl3xrk3ow_22_13"/>
      <w:bookmarkStart w:id="581" w:name="Tc_VoKfVH16JUKFqnvDgRgU5A_22_7"/>
      <w:bookmarkStart w:id="582" w:name="Tc_xYSuKE9KjEWBA4KPqmquGQ_22_2"/>
      <w:bookmarkStart w:id="583" w:name="Tc_EZsvLSuVjkiEQ-NnB7i05Q_22_0"/>
      <w:bookmarkStart w:id="584" w:name="Tc_hgt2k_n1cUSfHG35bVMbhw_20_25"/>
      <w:bookmarkStart w:id="585" w:name="Tc_DUF4Sk6sXkWbjGbUnFs5zA_20_22"/>
      <w:bookmarkStart w:id="586" w:name="Tc_3QTdsnqMzkK_J8md3e7CSA_20_19"/>
      <w:bookmarkStart w:id="587" w:name="Tc_XbynPM7HAku-KNkG3dsq1w_20_16"/>
      <w:bookmarkStart w:id="588" w:name="Tc_Gsg3JyjLgky6T1p2I3GfmQ_20_13"/>
      <w:bookmarkStart w:id="589" w:name="Tc_uQGlsRBE8UuQZae6LKwB0A_20_8"/>
      <w:bookmarkStart w:id="590" w:name="Tc_fCB8J2iBLEiiyYN5vTxhPA_20_7"/>
      <w:bookmarkStart w:id="591" w:name="Tc_PnWgf4bm5EGS10g4qquXkw_20_5"/>
      <w:bookmarkStart w:id="592" w:name="Tc_dkJko5sdK0CbHJVJJ2r6pw_20_2"/>
      <w:bookmarkStart w:id="593" w:name="Tc_B_e3uGhFLUCVWC-lc0dOoA_20_0"/>
      <w:bookmarkStart w:id="594" w:name="Tc_hOFXPKhXz0az8eAxpoAaWQ_19_23"/>
      <w:bookmarkStart w:id="595" w:name="Tc_K9TfZdrZVUKilpEUBvfMlA_19_17"/>
      <w:bookmarkStart w:id="596" w:name="Tc_6Ql9l5dzf0-2sVuB4mp3Ug_19_14"/>
      <w:bookmarkStart w:id="597" w:name="Tc_IKIZcIhYNUC-kcJZmTgI8Q_19_11"/>
      <w:bookmarkStart w:id="598" w:name="Tc_fb6TDyKM50mAgui2tOXSeA_19_8"/>
      <w:bookmarkStart w:id="599" w:name="Tc_vGoDe0WxcEmwbJTNJ3QIhQ_19_5"/>
      <w:bookmarkStart w:id="600" w:name="Tc_hqIKSwIL0EOTSF123llysw_19_0"/>
      <w:bookmarkStart w:id="601" w:name="Tc_XHz0TrKTrUGSKixrSxpT2g_18_20"/>
      <w:bookmarkStart w:id="602" w:name="Tc_wd0wTujfoEymm4GInJF45Q_18_17"/>
      <w:bookmarkStart w:id="603" w:name="Tc_v-WbrkEq7kqu09OnY4gROw_18_14"/>
      <w:bookmarkStart w:id="604" w:name="Tc_9pM2caYdZkSRKHXR-GHthA_18_11"/>
      <w:bookmarkStart w:id="605" w:name="Tc_TRCDmMu2PkikX8cjxG0ZBQ_18_8"/>
      <w:bookmarkStart w:id="606" w:name="Tc_scY4bA4y4EujzkB6PbHTOA_18_5"/>
      <w:bookmarkStart w:id="607" w:name="Tc_rm4AdxiBCUKCJvnVrnGbGQ_18_3"/>
      <w:bookmarkStart w:id="608" w:name="Tc_Pwd2yMfh4UywXu3LLQwJrg_18_0"/>
      <w:bookmarkStart w:id="609" w:name="Tc_iioPUIDrN0-TEUo5FJldOQ_17_23"/>
      <w:bookmarkStart w:id="610" w:name="Tc_3tOVJ2inNkqK-J_XOcYiXg_17_17"/>
      <w:bookmarkStart w:id="611" w:name="Tc_9wO5J_G9e0yQfxtTYWXeCw_17_14"/>
      <w:bookmarkStart w:id="612" w:name="Tc_K3tRTMJvrUyjz4Rmy8egEg_17_11"/>
      <w:bookmarkStart w:id="613" w:name="Tc_Mp8P6FUr8EWEiBQ4cXOgsg_17_8"/>
      <w:bookmarkStart w:id="614" w:name="Tc_YgwuJODz2UCVVgOet6eSGQ_17_5"/>
      <w:bookmarkStart w:id="615" w:name="Tc_doATiKTbg0SFuDo_PxpHyw_17_0"/>
      <w:bookmarkStart w:id="616" w:name="Tc_iYwS_Inszk-goBDTv1NOTQ_16_23"/>
      <w:bookmarkStart w:id="617" w:name="Tc_xOg5HyTYp06ANWcxK18FEA_16_17"/>
      <w:bookmarkStart w:id="618" w:name="Tc_U_uBJspvTUe3iP5Nc0eYaQ_16_14"/>
      <w:bookmarkStart w:id="619" w:name="Tc_kV0HMLd2PUS_JUuLlo8dUA_16_11"/>
      <w:bookmarkStart w:id="620" w:name="Tc_TblgrKiZSUi6s_vlmDB8bQ_16_8"/>
      <w:bookmarkStart w:id="621" w:name="Tc_7nWDT3T08UeDsSzZOB9qEQ_16_5"/>
      <w:bookmarkStart w:id="622" w:name="Tc_26oF3-h_ZEyO1Q9pfGZEpA_16_0"/>
      <w:bookmarkStart w:id="623" w:name="Tc_TUyj2JsmO0av-m6Izx3bxQ_15_23"/>
      <w:bookmarkStart w:id="624" w:name="Tc_My-bJc2Nckqu-PxRFZx8tg_15_20"/>
      <w:bookmarkStart w:id="625" w:name="Tc_TbKreU2BqketYl-y1Ek_qA_15_14"/>
      <w:bookmarkStart w:id="626" w:name="Tc_Xs3t4vINn0m8ab8a7aBs_Q_15_11"/>
      <w:bookmarkStart w:id="627" w:name="Tc_vSdmIKm670qMjjNek54kfg_15_8"/>
      <w:bookmarkStart w:id="628" w:name="Tc_iTdff7Aik0updhHIc4tjiQ_15_5"/>
      <w:bookmarkStart w:id="629" w:name="Tc_0E0Qh0gyQEuDB5jrIKQnjQ_15_3"/>
      <w:bookmarkStart w:id="630" w:name="Tc_gWCk8rphTUGJwxTkUFdMiQ_15_0"/>
      <w:bookmarkStart w:id="631" w:name="Tc_C6TfS3v_YES73yqElQKB8g_14_23"/>
      <w:bookmarkStart w:id="632" w:name="Tc_8hnBV-0mNkKP7o5XIPCHeQ_14_20"/>
      <w:bookmarkStart w:id="633" w:name="Tc_Ea9u7cXYmEChGp6WoS5MFg_14_14"/>
      <w:bookmarkStart w:id="634" w:name="Tc_13LbSgpmHESvZvUltyGMcA_14_8"/>
      <w:bookmarkStart w:id="635" w:name="Tc_2xXlHUT2wUmsBc6JsYgLnQ_14_5"/>
      <w:bookmarkStart w:id="636" w:name="Tc_dE7qytpDRkme44VpmSQdbQ_14_3"/>
      <w:bookmarkStart w:id="637" w:name="Tc_KGq4ZnVTy0C88lbQVREZBQ_14_0"/>
      <w:bookmarkStart w:id="638" w:name="Tc_Ab4UP5U7WE2WVpa3c7gEkQ_13_23"/>
      <w:bookmarkStart w:id="639" w:name="Tc_VWNKBCg87U2Wyq6q24dFZw_13_20"/>
      <w:bookmarkStart w:id="640" w:name="Tc_fDmhyMCPMEWsmBh4nYAFQA_13_14"/>
      <w:bookmarkStart w:id="641" w:name="Tc_PwDEJf1UiUCjbOdsPQcIZg_13_11"/>
      <w:bookmarkStart w:id="642" w:name="Tc_eVZMTknE40SuAlNk-QaJQg_13_8"/>
      <w:bookmarkStart w:id="643" w:name="Tc_IbWv3vH4CESTCdnA8VETSQ_13_5"/>
      <w:bookmarkStart w:id="644" w:name="Tc_jlFqxvHD50-bz1dWclubaw_13_3"/>
      <w:bookmarkStart w:id="645" w:name="Tc_bRkzAvjND061aZ8yBbugtg_13_0"/>
      <w:bookmarkStart w:id="646" w:name="Tc_AhEsCOr-b0ShnX26MsKd9Q_12_23"/>
      <w:bookmarkStart w:id="647" w:name="Tc_ZO_vpoM3XESv2-9zS0xwCA_12_20"/>
      <w:bookmarkStart w:id="648" w:name="Tc_coK2c-Ygv0W1dX8QtdpGCg_12_8"/>
      <w:bookmarkStart w:id="649" w:name="Tc_1hzsoJ9tk0qY-_lEkloZTQ_12_5"/>
      <w:bookmarkStart w:id="650" w:name="Tc_QhWQctqUT02MgjkvaIasQg_12_3"/>
      <w:bookmarkStart w:id="651" w:name="Tc_GOgzAjXgn0-fp9RpBjEt9w_12_0"/>
      <w:bookmarkStart w:id="652" w:name="Tc_7NBVI6KLDkGlzgNRUEIsrw_11_23"/>
      <w:bookmarkStart w:id="653" w:name="Tc_lDrKkAJQb0uI6Nd0Ec4WXA_11_20"/>
      <w:bookmarkStart w:id="654" w:name="Tc_fLLk9w2FskaXet73AdTHBw_11_14"/>
      <w:bookmarkStart w:id="655" w:name="Tc_NNDQ1oPaz0CSFuxRjVTsLg_11_11"/>
      <w:bookmarkStart w:id="656" w:name="Tc_69pdxIZvske4rXkdJyB97Q_11_8"/>
      <w:bookmarkStart w:id="657" w:name="Tc_-V-nN1FHA0qQZ2PTD2Ox8g_11_5"/>
      <w:bookmarkStart w:id="658" w:name="Tc_qr3B8h5-IkSGHUZwbn6dDw_11_3"/>
      <w:bookmarkStart w:id="659" w:name="Tc_S-OQd-RhwE2V3nueMzwn8A_11_0"/>
      <w:bookmarkStart w:id="660" w:name="Tc_DRQPLfaf70qeuuULuM0a4Q_10_23"/>
      <w:bookmarkStart w:id="661" w:name="Tc_tHVqZYSzYkGAIGbAUH5tbQ_10_20"/>
      <w:bookmarkStart w:id="662" w:name="Tc_jbyPOv1qV0Km_IXhSC8CrQ_10_14"/>
      <w:bookmarkStart w:id="663" w:name="Tc_NllmUUD_pUS8WTAq8oAq1A_10_8"/>
      <w:bookmarkStart w:id="664" w:name="Tc_bsGVzrwnfEKuKmadBNQIsQ_10_5"/>
      <w:bookmarkStart w:id="665" w:name="Tc_UGr4sXI0OUKXeqyNQPObPg_10_3"/>
      <w:bookmarkStart w:id="666" w:name="Tc_naS6bLkd1UyH7N1y_5z0Yg_10_0"/>
      <w:bookmarkStart w:id="667" w:name="Tc_5BPio9vvREiL36Jw_qMiPA_9_23"/>
      <w:bookmarkStart w:id="668" w:name="Tc_tWuQ25fT8kKXGsLzGeDCBQ_9_20"/>
      <w:bookmarkStart w:id="669" w:name="Tc_AVbUOQbTX0q5gypbMFY2_A_9_8"/>
      <w:bookmarkStart w:id="670" w:name="Tc_Aa_3U17SMkajD0uXrstVhg_9_5"/>
      <w:bookmarkStart w:id="671" w:name="Tc_k6LNbr2uNESUWrzNX0Kb2A_9_3"/>
      <w:bookmarkStart w:id="672" w:name="Tc_99f4VFM0oEGmBAr_qgd7aw_9_0"/>
      <w:bookmarkStart w:id="673" w:name="Tc_kT_2rGZlr0uzlvxZftbTrA_8_23"/>
      <w:bookmarkStart w:id="674" w:name="Tc_mBGaFZunDkKo4Ondm9r0XA_8_20"/>
      <w:bookmarkStart w:id="675" w:name="Tc_GtnzVb8FJUWnL8R5P-c4Zg_8_3"/>
      <w:bookmarkStart w:id="676" w:name="Tc_GdQWyodX_k6Nhu4RmRNZ4A_8_0"/>
      <w:bookmarkStart w:id="677" w:name="Tc_ZUCDhy9_0kOMBvHi06DOQg_7_26"/>
      <w:bookmarkStart w:id="678" w:name="Tc_PYsTAXEsHE67Fqw6HMdbxQ_7_23"/>
      <w:bookmarkStart w:id="679" w:name="Tc_EbXtP3KxdkGZwFrH4Gqtuw_7_20"/>
      <w:bookmarkStart w:id="680" w:name="Tc_2C9qvCwlcEyx15CHhkwMOQ_7_17"/>
      <w:bookmarkStart w:id="681" w:name="Tc_HMihLtmJLEK8AygqsYMVHg_7_14"/>
      <w:bookmarkStart w:id="682" w:name="Tc_nufZzG9uKEKplVIz_PjvLw_7_11"/>
      <w:bookmarkStart w:id="683" w:name="Tc_QVCJMyRlm0m7368U9Ci5-g_7_3"/>
      <w:bookmarkStart w:id="684" w:name="Tc_IcuLts1qHEyL7YZNdgk33g_7_0"/>
      <w:bookmarkStart w:id="685" w:name="Tc_muelVltGp0CdZa4Fk13elw_6_23"/>
      <w:bookmarkStart w:id="686" w:name="Tc_s3MRef5z-E68fwicJkWujw_6_17"/>
      <w:bookmarkStart w:id="687" w:name="Tc_F_GN0kMJtUCKl0XO40o8Gw_6_14"/>
      <w:bookmarkStart w:id="688" w:name="Tc_mvDU_tCcrEOwNE0LIyZrnA_6_0"/>
      <w:bookmarkStart w:id="689" w:name="Tc_iTjpD6E3tUeYITqiU2KOOg_5_26"/>
      <w:bookmarkStart w:id="690" w:name="Tc_icewLKKXCkCgRrmnZPLVvQ_5_23"/>
      <w:bookmarkStart w:id="691" w:name="Tc_Y1kL9iB9nEaGqTdkGYvAyA_5_20"/>
      <w:bookmarkStart w:id="692" w:name="Tc_iEOEXd7kbkaWrN1e09ImzQ_5_17"/>
      <w:bookmarkStart w:id="693" w:name="Tc_-s4dpEgU5kSoT596TebJmw_5_14"/>
      <w:bookmarkStart w:id="694" w:name="Tc_aLkyNdpHpkCkDvsd-2vPug_5_8"/>
      <w:bookmarkStart w:id="695" w:name="Tc_iwmj8E2mp0SKAqHyyTNmlw_5_3"/>
      <w:bookmarkStart w:id="696" w:name="Tc_q76C_ocHRUClJWCuXDiBQw_5_0"/>
      <w:bookmarkStart w:id="697" w:name="Tc_o0jJZWqzbEmVMx0brfuyPA_4_25"/>
      <w:bookmarkStart w:id="698" w:name="Tc_u8ci2ccXtkOQHk2u-pJmKQ_4_23"/>
      <w:bookmarkStart w:id="699" w:name="Tc_RH6L5GXw6kqlcU1zJ_BERQ_4_22"/>
      <w:bookmarkStart w:id="700" w:name="Tc_ACkZrI4rRUaevEAas7nhjQ_4_19"/>
      <w:bookmarkStart w:id="701" w:name="Tc_onotM7MhkEWzBQh0pz7leA_4_17"/>
      <w:bookmarkStart w:id="702" w:name="Tc_haRkwZrYS0OJ3c-42nmpug_4_16"/>
      <w:bookmarkStart w:id="703" w:name="Tc_flrduXmyF0ythtmGH10wyg_4_14"/>
      <w:bookmarkStart w:id="704" w:name="Tc_uT6zMtbIUkmhywL-j3b8Aw_4_13"/>
      <w:bookmarkStart w:id="705" w:name="Tc_00O2nbTcXUmFS1DIdMBbvg_4_7"/>
      <w:bookmarkStart w:id="706" w:name="Tc_jvvspUalkkqWyb3jSLbQnQ_4_2"/>
      <w:bookmarkStart w:id="707" w:name="Tc_sHDR86rMkUWoutXxUpHCkA_4_0"/>
      <w:bookmarkStart w:id="708" w:name="Tc_AE8CsmL-jECwo-JXX93t2A_3_25"/>
      <w:bookmarkStart w:id="709" w:name="Tc_FCKOtg5NnkutTM4hn0sz6A_3_22"/>
      <w:bookmarkStart w:id="710" w:name="Tc_qI2h3O5bWkq2F2d4nKtQ1Q_3_19"/>
      <w:bookmarkStart w:id="711" w:name="Tc_0V5itLk5UEulEzMPEwG27g_3_16"/>
      <w:bookmarkStart w:id="712" w:name="Tc_kX2ABdsu2USj6Vmzp3JYSA_3_13"/>
      <w:bookmarkStart w:id="713" w:name="Tc_7qwqnqdiSEKpCC8eOAHqQQ_3_11"/>
      <w:bookmarkStart w:id="714" w:name="Tc_fMSBbCKUy0SO76tUVgAsbg_3_7"/>
      <w:bookmarkStart w:id="715" w:name="Tc_h7unFxttGkuIbXQd6jGWcg_3_5"/>
      <w:bookmarkStart w:id="716" w:name="Tc_UNJ5TjNCA0e9zw-SO9VqMw_3_2"/>
      <w:bookmarkStart w:id="717" w:name="Tc_9Ty_BEmLlEa579ZzgcvlLw_2_25"/>
      <w:bookmarkStart w:id="718" w:name="Tc_L02swli_p0muMKy17g84OQ_2_22"/>
      <w:bookmarkStart w:id="719" w:name="Tc_ZId9gJPnnUWttcC-cDHI6g_2_19"/>
      <w:bookmarkStart w:id="720" w:name="Tc_PAHOwMGdh0CpIOJeBezitg_2_16"/>
      <w:bookmarkStart w:id="721" w:name="Tc_lL_ywv5_rE6huLd1dPNr5g_2_11"/>
      <w:bookmarkStart w:id="722" w:name="Tc_1_WAmn3TlEuj7nal2PpbIw_2_5"/>
      <w:bookmarkStart w:id="723" w:name="Tc_cXgaZX4X8Uij93gsi7HaAw_2_2"/>
      <w:bookmarkStart w:id="724" w:name="Tc_k0hFedAP4EGPvLu7ufRGBA_1_25"/>
      <w:bookmarkStart w:id="725" w:name="Tc_XSUZEGI5P0Krduj_xvgjJw_1_16"/>
      <w:bookmarkStart w:id="726" w:name="Tc_D5OxMlfrcE2jAVVbVlINMQ_1_11"/>
      <w:bookmarkStart w:id="727" w:name="Tc_gPANnH1dqUCnQMB_kineNQ_1_5"/>
      <w:bookmarkStart w:id="728" w:name="Tc_TC00QEzau0Sc_20VIgqvFw_1_2"/>
      <w:bookmarkStart w:id="729" w:name="_9500d7f2_42a4_4672_bc0d_d8271679dd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p>
    <w:tbl>
      <w:tblPr>
        <w:tblW w:w="13247" w:type="dxa"/>
        <w:jc w:val="left"/>
        <w:tblInd w:w="0" w:type="dxa"/>
        <w:tblLayout w:type="fixed"/>
        <w:tblCellMar>
          <w:top w:w="0" w:type="dxa"/>
          <w:left w:w="0" w:type="dxa"/>
          <w:bottom w:w="0" w:type="dxa"/>
          <w:right w:w="0" w:type="dxa"/>
        </w:tblCellMar>
      </w:tblPr>
      <w:tblGrid>
        <w:gridCol w:w="1231"/>
        <w:gridCol w:w="326"/>
        <w:gridCol w:w="295"/>
        <w:gridCol w:w="906"/>
        <w:gridCol w:w="326"/>
        <w:gridCol w:w="976"/>
        <w:gridCol w:w="326"/>
        <w:gridCol w:w="196"/>
        <w:gridCol w:w="661"/>
        <w:gridCol w:w="206"/>
        <w:gridCol w:w="206"/>
        <w:gridCol w:w="916"/>
        <w:gridCol w:w="326"/>
        <w:gridCol w:w="249"/>
        <w:gridCol w:w="442"/>
        <w:gridCol w:w="326"/>
        <w:gridCol w:w="196"/>
        <w:gridCol w:w="691"/>
        <w:gridCol w:w="326"/>
        <w:gridCol w:w="240"/>
        <w:gridCol w:w="811"/>
        <w:gridCol w:w="326"/>
        <w:gridCol w:w="332"/>
        <w:gridCol w:w="869"/>
        <w:gridCol w:w="326"/>
        <w:gridCol w:w="264"/>
        <w:gridCol w:w="952"/>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781685" cy="175260"/>
                      <wp:effectExtent l="0" t="0" r="0" b="0"/>
                      <wp:wrapNone/>
                      <wp:docPr id="23" name="Frame23"/>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87325" cy="175260"/>
                      <wp:effectExtent l="0" t="0" r="0" b="0"/>
                      <wp:wrapNone/>
                      <wp:docPr id="25" name="Frame25"/>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75310" cy="175260"/>
                      <wp:effectExtent l="0" t="0" r="0" b="0"/>
                      <wp:wrapNone/>
                      <wp:docPr id="26" name="Frame26"/>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19760" cy="175260"/>
                      <wp:effectExtent l="0" t="0" r="0" b="0"/>
                      <wp:wrapNone/>
                      <wp:docPr id="28" name="Frame2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4460" cy="175260"/>
                      <wp:effectExtent l="0" t="0" r="0" b="0"/>
                      <wp:wrapNone/>
                      <wp:docPr id="30" name="Frame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19735" cy="175260"/>
                      <wp:effectExtent l="0" t="0" r="0" b="0"/>
                      <wp:wrapNone/>
                      <wp:docPr id="31" name="Frame31"/>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0810" cy="175260"/>
                      <wp:effectExtent l="0" t="0" r="0" b="0"/>
                      <wp:wrapNone/>
                      <wp:docPr id="32" name="Frame3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0810" cy="175260"/>
                      <wp:effectExtent l="0" t="0" r="0" b="0"/>
                      <wp:wrapNone/>
                      <wp:docPr id="33" name="Frame3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81660" cy="175260"/>
                      <wp:effectExtent l="0" t="0" r="0" b="0"/>
                      <wp:wrapNone/>
                      <wp:docPr id="34" name="Frame3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58115" cy="175260"/>
                      <wp:effectExtent l="0" t="0" r="0" b="0"/>
                      <wp:wrapNone/>
                      <wp:docPr id="36" name="Frame36"/>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80670" cy="175260"/>
                      <wp:effectExtent l="0" t="0" r="0" b="0"/>
                      <wp:wrapNone/>
                      <wp:docPr id="37" name="Frame37"/>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4460" cy="175260"/>
                      <wp:effectExtent l="0" t="0" r="0" b="0"/>
                      <wp:wrapNone/>
                      <wp:docPr id="39" name="Frame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38785" cy="175260"/>
                      <wp:effectExtent l="0" t="0" r="0" b="0"/>
                      <wp:wrapNone/>
                      <wp:docPr id="40" name="Frame4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52400" cy="175260"/>
                      <wp:effectExtent l="0" t="0" r="0" b="0"/>
                      <wp:wrapNone/>
                      <wp:docPr id="42" name="Frame42"/>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14985" cy="175260"/>
                      <wp:effectExtent l="0" t="0" r="0" b="0"/>
                      <wp:wrapNone/>
                      <wp:docPr id="43" name="Frame4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0820" cy="175260"/>
                      <wp:effectExtent l="0" t="0" r="0" b="0"/>
                      <wp:wrapNone/>
                      <wp:docPr id="45" name="Frame45"/>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51815" cy="175260"/>
                      <wp:effectExtent l="0" t="0" r="0" b="0"/>
                      <wp:wrapNone/>
                      <wp:docPr id="46" name="Frame46"/>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67640" cy="175260"/>
                      <wp:effectExtent l="0" t="0" r="0" b="0"/>
                      <wp:wrapNone/>
                      <wp:docPr id="48" name="Frame48"/>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04520" cy="175260"/>
                      <wp:effectExtent l="0" t="0" r="0" b="0"/>
                      <wp:wrapNone/>
                      <wp:docPr id="49" name="Frame49"/>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Redeemable</w:t>
            </w:r>
          </w:p>
        </w:tc>
        <w:tc>
          <w:tcPr>
            <w:tcW w:w="326" w:type="dxa"/>
            <w:tcBorders/>
            <w:vAlign w:val="center"/>
          </w:tcPr>
          <w:p>
            <w:pPr>
              <w:pStyle w:val="TableContents"/>
              <w:bidi w:val="0"/>
              <w:spacing w:before="0" w:after="1"/>
              <w:ind w:left="0" w:right="0" w:hanging="0"/>
              <w:jc w:val="center"/>
              <w:rPr/>
            </w:pPr>
            <w:r>
              <w:rPr/>
              <w:t>    </w:t>
            </w:r>
          </w:p>
        </w:tc>
        <w:tc>
          <w:tcPr>
            <w:tcW w:w="2159"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 Preferred</w:t>
            </w:r>
          </w:p>
        </w:tc>
        <w:tc>
          <w:tcPr>
            <w:tcW w:w="206" w:type="dxa"/>
            <w:tcBorders>
              <w:right w:val="single" w:sz="2" w:space="0" w:color="000000"/>
            </w:tcBorders>
            <w:tcMar>
              <w:right w:w="28" w:type="dxa"/>
            </w:tcMar>
            <w:vAlign w:val="center"/>
          </w:tcPr>
          <w:p>
            <w:pPr>
              <w:pStyle w:val="TableContents"/>
              <w:bidi w:val="0"/>
              <w:spacing w:before="0" w:after="1"/>
              <w:ind w:left="0" w:right="0" w:hanging="0"/>
              <w:jc w:val="center"/>
              <w:rPr/>
            </w:pPr>
            <w:r>
              <w:rPr/>
              <w:t>  </w:t>
            </w:r>
          </w:p>
        </w:tc>
        <w:tc>
          <w:tcPr>
            <w:tcW w:w="206" w:type="dxa"/>
            <w:tcBorders>
              <w:left w:val="single" w:sz="2" w:space="0" w:color="000000"/>
            </w:tcBorders>
            <w:tcMar>
              <w:left w:w="28" w:type="dxa"/>
            </w:tcMar>
            <w:vAlign w:val="center"/>
          </w:tcPr>
          <w:p>
            <w:pPr>
              <w:pStyle w:val="TableContents"/>
              <w:bidi w:val="0"/>
              <w:spacing w:before="0" w:after="1"/>
              <w:ind w:left="0" w:right="0" w:hanging="0"/>
              <w:jc w:val="center"/>
              <w:rPr/>
            </w:pPr>
            <w:r>
              <w:rPr/>
              <w:t>  </w:t>
            </w:r>
          </w:p>
        </w:tc>
        <w:tc>
          <w:tcPr>
            <w:tcW w:w="1933"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    </w:t>
            </w:r>
          </w:p>
        </w:tc>
        <w:tc>
          <w:tcPr>
            <w:tcW w:w="240"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26" w:type="dxa"/>
            <w:tcBorders/>
            <w:vAlign w:val="center"/>
          </w:tcPr>
          <w:p>
            <w:pPr>
              <w:pStyle w:val="TableContents"/>
              <w:bidi w:val="0"/>
              <w:spacing w:before="0" w:after="1"/>
              <w:ind w:left="0" w:right="0" w:hanging="0"/>
              <w:jc w:val="center"/>
              <w:rPr/>
            </w:pPr>
            <w:r>
              <w:rPr/>
              <w:t>​</w:t>
            </w:r>
          </w:p>
        </w:tc>
        <w:tc>
          <w:tcPr>
            <w:tcW w:w="2159" w:type="dxa"/>
            <w:gridSpan w:val="4"/>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Shares</w:t>
            </w:r>
            <w:r>
              <w:rPr>
                <w:rFonts w:ascii="Times New Roman;Times;serif" w:hAnsi="Times New Roman;Times;serif"/>
                <w:sz w:val="12"/>
              </w:rPr>
              <w:t>(1)</w:t>
            </w:r>
          </w:p>
        </w:tc>
        <w:tc>
          <w:tcPr>
            <w:tcW w:w="206" w:type="dxa"/>
            <w:tcBorders>
              <w:right w:val="single" w:sz="2" w:space="0" w:color="000000"/>
            </w:tcBorders>
            <w:tcMar>
              <w:right w:w="28" w:type="dxa"/>
            </w:tcMar>
            <w:vAlign w:val="center"/>
          </w:tcPr>
          <w:p>
            <w:pPr>
              <w:pStyle w:val="TableContents"/>
              <w:bidi w:val="0"/>
              <w:spacing w:before="0" w:after="1"/>
              <w:ind w:left="0" w:right="0" w:hanging="0"/>
              <w:jc w:val="center"/>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center"/>
              <w:rPr/>
            </w:pPr>
            <w:r>
              <w:rPr/>
              <w:t>​</w:t>
            </w:r>
          </w:p>
        </w:tc>
        <w:tc>
          <w:tcPr>
            <w:tcW w:w="1933" w:type="dxa"/>
            <w:gridSpan w:val="4"/>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Ordinary Shares</w:t>
            </w:r>
            <w:r>
              <w:rPr>
                <w:rFonts w:ascii="Times New Roman;Times;serif" w:hAnsi="Times New Roman;Times;serif"/>
                <w:sz w:val="12"/>
              </w:rPr>
              <w:t>(1)</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12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12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26" w:type="dxa"/>
            <w:tcBorders/>
            <w:vAlign w:val="center"/>
          </w:tcPr>
          <w:p>
            <w:pPr>
              <w:pStyle w:val="TableContents"/>
              <w:bidi w:val="0"/>
              <w:spacing w:before="0" w:after="1"/>
              <w:ind w:left="0" w:right="0" w:hanging="0"/>
              <w:jc w:val="center"/>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center"/>
              <w:rPr/>
            </w:pPr>
            <w:r>
              <w:rPr/>
              <w:t>  </w:t>
            </w:r>
          </w:p>
        </w:tc>
        <w:tc>
          <w:tcPr>
            <w:tcW w:w="206" w:type="dxa"/>
            <w:tcBorders>
              <w:left w:val="single" w:sz="2" w:space="0" w:color="000000"/>
            </w:tcBorders>
            <w:tcMar>
              <w:left w:w="28" w:type="dxa"/>
            </w:tcMar>
            <w:vAlign w:val="center"/>
          </w:tcPr>
          <w:p>
            <w:pPr>
              <w:pStyle w:val="TableContents"/>
              <w:bidi w:val="0"/>
              <w:spacing w:before="0" w:after="1"/>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center"/>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center"/>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26" w:type="dxa"/>
            <w:tcBorders/>
            <w:vAlign w:val="center"/>
          </w:tcPr>
          <w:p>
            <w:pPr>
              <w:pStyle w:val="TableContents"/>
              <w:bidi w:val="0"/>
              <w:spacing w:before="0" w:after="1"/>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as of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10,000</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125,000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12,500</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3,548</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(32,056)</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52"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(32,056)</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Recapitalization</w:t>
            </w:r>
          </w:p>
        </w:tc>
        <w:tc>
          <w:tcPr>
            <w:tcW w:w="326"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13,385,415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276,172</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as of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10,000</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13,510,415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12,500</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279,720</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(32,056)</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 </w:t>
            </w:r>
          </w:p>
        </w:tc>
        <w:tc>
          <w:tcPr>
            <w:tcW w:w="9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(32,056)</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Issuance of Series A-1 convertible preferred shares as license compensation</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267,939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2,186</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right"/>
              <w:rPr/>
            </w:pPr>
            <w:r>
              <w:rPr/>
              <w:t>—</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Conversion of Series A-1 convertible preferred shares to Class A Ordinary Shares in connection with Business Combination</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(13,778,354)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(14,686)</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13,778,354</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14,684</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 </w:t>
            </w:r>
          </w:p>
        </w:tc>
        <w:tc>
          <w:tcPr>
            <w:tcW w:w="9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14,686</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Issuance of Class A Ordinary Shares in connection with Business Combination, including PIPE Investment, Forward Purchase Investment, and Backstop Shares, net of $4.0 million of transaction costs</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12,444,081</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48,350</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9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48,351</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Issuance of Class A Ordinary Shares to settle research and development license consideration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550,000</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4,488</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 </w:t>
            </w:r>
          </w:p>
        </w:tc>
        <w:tc>
          <w:tcPr>
            <w:tcW w:w="9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4,488</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Reclassification of public warrant liability to equity</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2,001</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9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2,001</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Issuance of Class A Ordinary Shares in connection with April 2023 Private Placement, net of $9.8 million of transaction costs</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15,041,530</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54,133</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54,134</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Issuance of Pre-Funded Warrants in connection with April 2023 Private Placement</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16,070</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9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16,070</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Issuance of Class A Ordinary Shares to Lilly in connection with 2023 Lilly License</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1,000,000</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7,840</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 </w:t>
            </w:r>
          </w:p>
        </w:tc>
        <w:tc>
          <w:tcPr>
            <w:tcW w:w="9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7,840</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Share-based compensation</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10,665</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10,665</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(51,887)</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(51,887)</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Accretion of redeemable noncontrolling interest to redemption value</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Stone Peach Call Right issued to noncontrolling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1,541</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1,541</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Deemed dividend to redeemable noncontrolling interest</w:t>
            </w:r>
          </w:p>
        </w:tc>
        <w:tc>
          <w:tcPr>
            <w:tcW w:w="326"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10,875</w:t>
            </w:r>
          </w:p>
        </w:tc>
        <w:tc>
          <w:tcPr>
            <w:tcW w:w="326" w:type="dxa"/>
            <w:tcBorders/>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(10,875)</w:t>
            </w:r>
          </w:p>
        </w:tc>
        <w:tc>
          <w:tcPr>
            <w:tcW w:w="326" w:type="dxa"/>
            <w:tcBorders/>
            <w:vAlign w:val="center"/>
          </w:tcPr>
          <w:p>
            <w:pPr>
              <w:pStyle w:val="TableContents"/>
              <w:bidi w:val="0"/>
              <w:spacing w:before="0" w:after="1"/>
              <w:ind w:left="0" w:right="0" w:hanging="0"/>
              <w:jc w:val="right"/>
              <w:rPr/>
            </w:pPr>
            <w:r>
              <w:rPr/>
              <w:t>​</w:t>
            </w:r>
          </w:p>
        </w:tc>
        <w:tc>
          <w:tcPr>
            <w:tcW w:w="3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(10,875)</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as of September 30, 2023</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20,875</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43,093,685</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158,231</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(95,021)</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1,541</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64,755</w:t>
            </w:r>
          </w:p>
        </w:tc>
      </w:tr>
      <w:tr>
        <w:trPr/>
        <w:tc>
          <w:tcPr>
            <w:tcW w:w="12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right"/>
              <w:rPr/>
            </w:pPr>
            <w:r>
              <w:rPr/>
              <w:t>​</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as of January 18, 2022 (date of inception)</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Issuance of Class A Ordinary Shares at inception</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right"/>
              <w:rPr/>
            </w:pPr>
            <w:r>
              <w:rPr/>
              <w:t>—</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Issuance of Series A-1 convertible preferred shares for cash</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10,808,332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10,000</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52" w:type="dxa"/>
            <w:tcBorders/>
            <w:shd w:fill="CCEEFF" w:val="clear"/>
            <w:vAlign w:val="center"/>
          </w:tcPr>
          <w:p>
            <w:pPr>
              <w:pStyle w:val="TableContents"/>
              <w:bidi w:val="0"/>
              <w:spacing w:before="0" w:after="1"/>
              <w:ind w:left="0" w:right="0" w:hanging="0"/>
              <w:jc w:val="right"/>
              <w:rPr/>
            </w:pPr>
            <w:r>
              <w:rPr/>
              <w:t>—</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Issuance of Series A-1 convertible preferred shares for license</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2,702,083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2,500</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right"/>
              <w:rPr/>
            </w:pPr>
            <w:r>
              <w:rPr/>
              <w:t>—</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Exercise of stock options</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383,372</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52" w:type="dxa"/>
            <w:tcBorders/>
            <w:shd w:fill="CCEEFF" w:val="clear"/>
            <w:vAlign w:val="center"/>
          </w:tcPr>
          <w:p>
            <w:pPr>
              <w:pStyle w:val="TableContents"/>
              <w:bidi w:val="0"/>
              <w:spacing w:before="0" w:after="1"/>
              <w:ind w:left="0" w:right="0" w:hanging="0"/>
              <w:jc w:val="right"/>
              <w:rPr/>
            </w:pPr>
            <w:r>
              <w:rPr/>
              <w:t>—</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Share-based compensation</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321</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321</w:t>
            </w:r>
          </w:p>
        </w:tc>
      </w:tr>
      <w:tr>
        <w:trPr/>
        <w:tc>
          <w:tcPr>
            <w:tcW w:w="12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(9,846)</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(9,846)</w:t>
            </w:r>
          </w:p>
        </w:tc>
      </w:tr>
      <w:tr>
        <w:trPr/>
        <w:tc>
          <w:tcPr>
            <w:tcW w:w="1231" w:type="dxa"/>
            <w:tcBorders/>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as of September 30, 2022</w:t>
            </w:r>
          </w:p>
        </w:tc>
        <w:tc>
          <w:tcPr>
            <w:tcW w:w="326" w:type="dxa"/>
            <w:tcBorders/>
            <w:vAlign w:val="center"/>
          </w:tcPr>
          <w:p>
            <w:pPr>
              <w:pStyle w:val="TableContents"/>
              <w:bidi w:val="0"/>
              <w:spacing w:before="0" w:after="1"/>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0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13,510,415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12,500</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383,480</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321</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(9,846)</w:t>
            </w:r>
          </w:p>
        </w:tc>
        <w:tc>
          <w:tcPr>
            <w:tcW w:w="326" w:type="dxa"/>
            <w:tcBorders/>
            <w:vAlign w:val="center"/>
          </w:tcPr>
          <w:p>
            <w:pPr>
              <w:pStyle w:val="TableContents"/>
              <w:bidi w:val="0"/>
              <w:spacing w:before="0" w:after="1"/>
              <w:ind w:left="0" w:right="0" w:hanging="0"/>
              <w:jc w:val="right"/>
              <w:rPr/>
            </w:pPr>
            <w:r>
              <w:rPr/>
              <w:t>​</w:t>
            </w:r>
          </w:p>
        </w:tc>
        <w:tc>
          <w:tcPr>
            <w:tcW w:w="3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69"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5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(9,525)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730" w:name="Tc_uIQeK-RHMUqicdxngZu1cg_12_25"/>
      <w:bookmarkStart w:id="731" w:name="Tc_9MtpbvY6bEiEyMvBA0hHAA_12_23"/>
      <w:bookmarkStart w:id="732" w:name="Tc_SHHRUQ0kbEyj5aqzjWdJqw_12_19"/>
      <w:bookmarkStart w:id="733" w:name="Tc_l3U3Q7z01UmKKtjsvFsI_w_12_16"/>
      <w:bookmarkStart w:id="734" w:name="Tc_KJaJE5hAMEa8l4iT_ODU2w_12_14"/>
      <w:bookmarkStart w:id="735" w:name="Tc_1E1_k2SYz0qSVV1JT5EqSA_12_13"/>
      <w:bookmarkStart w:id="736" w:name="Tc_33INYVB0ukGmvOReeRvolw_12_8"/>
      <w:bookmarkStart w:id="737" w:name="Tc_AaJKpxjGj0ekG1RKJ_VWTw_12_7"/>
      <w:bookmarkStart w:id="738" w:name="Tc_fGXm3QJ3ZkamIQchyZM8aQ_12_5"/>
      <w:bookmarkStart w:id="739" w:name="Tc_zfK5ST5px06ER1jp_hNpdg_12_3"/>
      <w:bookmarkStart w:id="740" w:name="Tc_Krr_B2PC_keUkvzLJxt3rg_12_2"/>
      <w:bookmarkStart w:id="741" w:name="Tc_DvFgWkPTdk2ApiGUzEQhpw_12_0"/>
      <w:bookmarkStart w:id="742" w:name="Tc_JDJPQvW5Zky8Brnp8JHWoQ_11_23"/>
      <w:bookmarkStart w:id="743" w:name="Tc_B5zwMyBjF0CC2ucixaZ99w_11_17"/>
      <w:bookmarkStart w:id="744" w:name="Tc_sgpS0zNsR067BnUKQJA_pw_11_14"/>
      <w:bookmarkStart w:id="745" w:name="Tc_leMo1BGmJE-RszkyhoGcGg_11_11"/>
      <w:bookmarkStart w:id="746" w:name="Tc_L_z9k5Y63kiF9n7wFPa3yQ_11_8"/>
      <w:bookmarkStart w:id="747" w:name="Tc_ew6ri5R7t0S8MYEuOxm9rw_11_5"/>
      <w:bookmarkStart w:id="748" w:name="Tc_vTX-ZrONi0mdto9-0yjztA_11_3"/>
      <w:bookmarkStart w:id="749" w:name="Tc_wlkvykRxXkG5_SVUe-SK6A_11_0"/>
      <w:bookmarkStart w:id="750" w:name="Tc_m_8hK1zbBU60JpbBwzeZ_w_10_23"/>
      <w:bookmarkStart w:id="751" w:name="Tc_VDASU8CWW0OncgD494fVqg_10_20"/>
      <w:bookmarkStart w:id="752" w:name="Tc_TwgEohxt0UqhI6MY0K3BwA_10_14"/>
      <w:bookmarkStart w:id="753" w:name="Tc_DrVcvFHh70WlhVhczTvaEQ_10_11"/>
      <w:bookmarkStart w:id="754" w:name="Tc_rdLVcfWhPUi2lvZvyRfTgQ_10_8"/>
      <w:bookmarkStart w:id="755" w:name="Tc_DmEa11V1MUuLxAZNWXQmMg_10_5"/>
      <w:bookmarkStart w:id="756" w:name="Tc_n88pP3fL9k6_sOAGiytl3A_10_3"/>
      <w:bookmarkStart w:id="757" w:name="Tc_SviJysdL-Uu8Gg2pQ-q7ZA_10_0"/>
      <w:bookmarkStart w:id="758" w:name="Tc_cQBlHU4L80mleqPOv4O2xg_9_25"/>
      <w:bookmarkStart w:id="759" w:name="Tc_pq0Uuwan2ky5UHU2DGUsnA_9_23"/>
      <w:bookmarkStart w:id="760" w:name="Tc_lUrl7SeZ_UeWgH0trLBJ8A_9_19"/>
      <w:bookmarkStart w:id="761" w:name="Tc_f6rAOzLTZ0GiK3S1O6kJ1Q_9_16"/>
      <w:bookmarkStart w:id="762" w:name="Tc_oSqal1mPkkSE4phFH0B8IQ_9_14"/>
      <w:bookmarkStart w:id="763" w:name="Tc_sdRsEVN-DUucUNSeavVrTw_9_13"/>
      <w:bookmarkStart w:id="764" w:name="Tc_qxA4ZQCl1EqnW8NQ47PG2A_9_8"/>
      <w:bookmarkStart w:id="765" w:name="Tc_bTT6VOwPEEuOqLykLHloeQ_9_7"/>
      <w:bookmarkStart w:id="766" w:name="Tc_3G-vpIY9xUm2e6MVLpHtbg_9_5"/>
      <w:bookmarkStart w:id="767" w:name="Tc_DhFcDAsxWUCGQMiGwrQRiw_9_3"/>
      <w:bookmarkStart w:id="768" w:name="Tc_ZqRk44vt7Ey0mSxfNpNrVQ_9_2"/>
      <w:bookmarkStart w:id="769" w:name="Tc_F9g3h8LGdUiYHS2xDVoqpA_9_0"/>
      <w:bookmarkStart w:id="770" w:name="Tc_idO30J6XQE-C517JxVqz_Q_7_25"/>
      <w:bookmarkStart w:id="771" w:name="Tc_gzpJZl48V0OpMqslRy40eQ_7_22"/>
      <w:bookmarkStart w:id="772" w:name="Tc_XKkz8zP3C0-hdOH52Yq82A_7_19"/>
      <w:bookmarkStart w:id="773" w:name="Tc_jrwiJlIDIEGw9xoKi3hFFg_7_16"/>
      <w:bookmarkStart w:id="774" w:name="Tc_7nPFghNvCUivy1uyQgVesw_7_13"/>
      <w:bookmarkStart w:id="775" w:name="Tc_EJ2AcPZUtkaGDA82-lavbA_7_8"/>
      <w:bookmarkStart w:id="776" w:name="Tc_LTMH5YDqQkC1Hljou78_JQ_7_7"/>
      <w:bookmarkStart w:id="777" w:name="Tc_6GzISPIVqUmB35DipIhxbA_7_5"/>
      <w:bookmarkStart w:id="778" w:name="Tc_1gjBjqjvZkSVSWbghUygPA_7_2"/>
      <w:bookmarkStart w:id="779" w:name="Tc_GjUXONILb0O8oSVFRQ9_0A_7_0"/>
      <w:bookmarkStart w:id="780" w:name="Tc_Xjtxg09ppEabHARcu_Zikg_6_23"/>
      <w:bookmarkStart w:id="781" w:name="Tc_OBOuS_3XlkWzOgf69R2w_w_6_17"/>
      <w:bookmarkStart w:id="782" w:name="Tc_EraVN1X2K0SAgdJ1km_U5Q_6_14"/>
      <w:bookmarkStart w:id="783" w:name="Tc_tAiBRVANn0y8dCRxjeid-w_6_11"/>
      <w:bookmarkStart w:id="784" w:name="Tc_o3aHQle7vkaVdMzoJYcbSg_6_8"/>
      <w:bookmarkStart w:id="785" w:name="Tc_IDbdXvE2XUO-kwlsR2l87g_6_5"/>
      <w:bookmarkStart w:id="786" w:name="Tc_Ob_HhLUa60CcY29SeFvkbg_6_3"/>
      <w:bookmarkStart w:id="787" w:name="Tc_iS_c1laqP0ycmieM-Qs_Bw_6_0"/>
      <w:bookmarkStart w:id="788" w:name="Tc_Nmbo0ZqscEGyYDiT8t21jQ_5_23"/>
      <w:bookmarkStart w:id="789" w:name="Tc_-5gDey--S0StMHLOhcyI4w_5_20"/>
      <w:bookmarkStart w:id="790" w:name="Tc_PkJMXV3JG0ODKBlGT-LQ6g_5_14"/>
      <w:bookmarkStart w:id="791" w:name="Tc_2WDdjFJdhkOvj4IAurOhrA_5_11"/>
      <w:bookmarkStart w:id="792" w:name="Tc_i5PHQBG1REWnHRh8ORyEKQ_5_8"/>
      <w:bookmarkStart w:id="793" w:name="Tc_53ZVS8BngkasEEL604uDJQ_5_5"/>
      <w:bookmarkStart w:id="794" w:name="Tc_PdrMp1ZdVEGKKM-GHBQ51w_5_3"/>
      <w:bookmarkStart w:id="795" w:name="Tc_UoPRkwCVQ0CD5qFm--rBzg_5_0"/>
      <w:bookmarkStart w:id="796" w:name="Tc_6-rwLXFChUWAGrIzyIbhdA_4_25"/>
      <w:bookmarkStart w:id="797" w:name="Tc_RAUTmmjTHUWrArvCW6JV_w_4_22"/>
      <w:bookmarkStart w:id="798" w:name="Tc_DTMgLOJP8kGFf09AUfXNbA_4_19"/>
      <w:bookmarkStart w:id="799" w:name="Tc_uUnm6-Z7GkW59n19hdiV2g_4_16"/>
      <w:bookmarkStart w:id="800" w:name="Tc_5t18sTRA5kuDQB3rIakJHw_4_13"/>
      <w:bookmarkStart w:id="801" w:name="Tc_ixdG7uiBEkugCXeV0jTA0w_4_8"/>
      <w:bookmarkStart w:id="802" w:name="Tc_2bzI2yMYZUaFYUdFDLMFOg_4_7"/>
      <w:bookmarkStart w:id="803" w:name="Tc_4tABUSRXF0GTF_1nfBSjyg_4_5"/>
      <w:bookmarkStart w:id="804" w:name="Tc_R57ICou3e0aeKI9cL_TdyA_4_2"/>
      <w:bookmarkStart w:id="805" w:name="Tc_O0vM7p1LAEK_OdJDZA6oRA_4_0"/>
      <w:bookmarkStart w:id="806" w:name="Tc_c8mkhN6QXUODYsg5rRgpNg_3_25"/>
      <w:bookmarkStart w:id="807" w:name="Tc_ikZ19TxUJ0q07-Qx7rH6Xg_3_22"/>
      <w:bookmarkStart w:id="808" w:name="Tc_GD7lMS9Tz0OJMb-2LpRXdQ_3_19"/>
      <w:bookmarkStart w:id="809" w:name="Tc_-y3YwlfE8UeA-HZVWvzxgQ_3_16"/>
      <w:bookmarkStart w:id="810" w:name="Tc_sGrXTAE7P0-jrzd5yIJW-Q_3_13"/>
      <w:bookmarkStart w:id="811" w:name="Tc_BVsvZgO4LUG1jqalOqTqcg_3_11"/>
      <w:bookmarkStart w:id="812" w:name="Tc_8FfZZM3Yz0uyHCXFHmZPGw_3_7"/>
      <w:bookmarkStart w:id="813" w:name="Tc_dsdGBtEXF0Cl1wQOIJob4g_3_5"/>
      <w:bookmarkStart w:id="814" w:name="Tc_HEtAJtIvAkWBc4GJjgzskg_3_2"/>
      <w:bookmarkStart w:id="815" w:name="Tc_37rkNtykAE-8ghSZlHzUrA_2_25"/>
      <w:bookmarkStart w:id="816" w:name="Tc_ZSUUZmIrb0uYVE-KpKkBWA_2_22"/>
      <w:bookmarkStart w:id="817" w:name="Tc_Pjp_-8xhnkSohTpPkMWgLw_2_19"/>
      <w:bookmarkStart w:id="818" w:name="Tc_O3NDvMxIzEC3YjoEcyLtDw_2_16"/>
      <w:bookmarkStart w:id="819" w:name="Tc_GHkRKQWsM0GCyk76a3Cn_g_2_11"/>
      <w:bookmarkStart w:id="820" w:name="Tc_HBSyq-4drUSOgl1mCldhmQ_2_5"/>
      <w:bookmarkStart w:id="821" w:name="Tc_mDSo2nZiaEGZJV9GC-fNCA_2_2"/>
      <w:bookmarkStart w:id="822" w:name="Tc_x_yDTQ1JxkmiyFYLMFAJbA_1_25"/>
      <w:bookmarkStart w:id="823" w:name="Tc_ahzbPLRZkEartvu6DHgpig_1_16"/>
      <w:bookmarkStart w:id="824" w:name="Tc_9beDD2jvPkCTqoIk-YxROA_1_11"/>
      <w:bookmarkStart w:id="825" w:name="Tc_cO-CC6P7tESr0RRCArhNGg_1_5"/>
      <w:bookmarkStart w:id="826" w:name="Tc_4n3u9b0nYUa4O__rMkFq2w_1_2"/>
      <w:bookmarkStart w:id="827" w:name="_05d19893_27be_498d_a25d_542adbe351b2"/>
      <w:bookmarkStart w:id="828" w:name="Tc_uIQeK-RHMUqicdxngZu1cg_12_25"/>
      <w:bookmarkStart w:id="829" w:name="Tc_9MtpbvY6bEiEyMvBA0hHAA_12_23"/>
      <w:bookmarkStart w:id="830" w:name="Tc_SHHRUQ0kbEyj5aqzjWdJqw_12_19"/>
      <w:bookmarkStart w:id="831" w:name="Tc_l3U3Q7z01UmKKtjsvFsI_w_12_16"/>
      <w:bookmarkStart w:id="832" w:name="Tc_KJaJE5hAMEa8l4iT_ODU2w_12_14"/>
      <w:bookmarkStart w:id="833" w:name="Tc_1E1_k2SYz0qSVV1JT5EqSA_12_13"/>
      <w:bookmarkStart w:id="834" w:name="Tc_33INYVB0ukGmvOReeRvolw_12_8"/>
      <w:bookmarkStart w:id="835" w:name="Tc_AaJKpxjGj0ekG1RKJ_VWTw_12_7"/>
      <w:bookmarkStart w:id="836" w:name="Tc_fGXm3QJ3ZkamIQchyZM8aQ_12_5"/>
      <w:bookmarkStart w:id="837" w:name="Tc_zfK5ST5px06ER1jp_hNpdg_12_3"/>
      <w:bookmarkStart w:id="838" w:name="Tc_Krr_B2PC_keUkvzLJxt3rg_12_2"/>
      <w:bookmarkStart w:id="839" w:name="Tc_DvFgWkPTdk2ApiGUzEQhpw_12_0"/>
      <w:bookmarkStart w:id="840" w:name="Tc_JDJPQvW5Zky8Brnp8JHWoQ_11_23"/>
      <w:bookmarkStart w:id="841" w:name="Tc_B5zwMyBjF0CC2ucixaZ99w_11_17"/>
      <w:bookmarkStart w:id="842" w:name="Tc_sgpS0zNsR067BnUKQJA_pw_11_14"/>
      <w:bookmarkStart w:id="843" w:name="Tc_leMo1BGmJE-RszkyhoGcGg_11_11"/>
      <w:bookmarkStart w:id="844" w:name="Tc_L_z9k5Y63kiF9n7wFPa3yQ_11_8"/>
      <w:bookmarkStart w:id="845" w:name="Tc_ew6ri5R7t0S8MYEuOxm9rw_11_5"/>
      <w:bookmarkStart w:id="846" w:name="Tc_vTX-ZrONi0mdto9-0yjztA_11_3"/>
      <w:bookmarkStart w:id="847" w:name="Tc_wlkvykRxXkG5_SVUe-SK6A_11_0"/>
      <w:bookmarkStart w:id="848" w:name="Tc_m_8hK1zbBU60JpbBwzeZ_w_10_23"/>
      <w:bookmarkStart w:id="849" w:name="Tc_VDASU8CWW0OncgD494fVqg_10_20"/>
      <w:bookmarkStart w:id="850" w:name="Tc_TwgEohxt0UqhI6MY0K3BwA_10_14"/>
      <w:bookmarkStart w:id="851" w:name="Tc_DrVcvFHh70WlhVhczTvaEQ_10_11"/>
      <w:bookmarkStart w:id="852" w:name="Tc_rdLVcfWhPUi2lvZvyRfTgQ_10_8"/>
      <w:bookmarkStart w:id="853" w:name="Tc_DmEa11V1MUuLxAZNWXQmMg_10_5"/>
      <w:bookmarkStart w:id="854" w:name="Tc_n88pP3fL9k6_sOAGiytl3A_10_3"/>
      <w:bookmarkStart w:id="855" w:name="Tc_SviJysdL-Uu8Gg2pQ-q7ZA_10_0"/>
      <w:bookmarkStart w:id="856" w:name="Tc_cQBlHU4L80mleqPOv4O2xg_9_25"/>
      <w:bookmarkStart w:id="857" w:name="Tc_pq0Uuwan2ky5UHU2DGUsnA_9_23"/>
      <w:bookmarkStart w:id="858" w:name="Tc_lUrl7SeZ_UeWgH0trLBJ8A_9_19"/>
      <w:bookmarkStart w:id="859" w:name="Tc_f6rAOzLTZ0GiK3S1O6kJ1Q_9_16"/>
      <w:bookmarkStart w:id="860" w:name="Tc_oSqal1mPkkSE4phFH0B8IQ_9_14"/>
      <w:bookmarkStart w:id="861" w:name="Tc_sdRsEVN-DUucUNSeavVrTw_9_13"/>
      <w:bookmarkStart w:id="862" w:name="Tc_qxA4ZQCl1EqnW8NQ47PG2A_9_8"/>
      <w:bookmarkStart w:id="863" w:name="Tc_bTT6VOwPEEuOqLykLHloeQ_9_7"/>
      <w:bookmarkStart w:id="864" w:name="Tc_3G-vpIY9xUm2e6MVLpHtbg_9_5"/>
      <w:bookmarkStart w:id="865" w:name="Tc_DhFcDAsxWUCGQMiGwrQRiw_9_3"/>
      <w:bookmarkStart w:id="866" w:name="Tc_ZqRk44vt7Ey0mSxfNpNrVQ_9_2"/>
      <w:bookmarkStart w:id="867" w:name="Tc_F9g3h8LGdUiYHS2xDVoqpA_9_0"/>
      <w:bookmarkStart w:id="868" w:name="Tc_idO30J6XQE-C517JxVqz_Q_7_25"/>
      <w:bookmarkStart w:id="869" w:name="Tc_gzpJZl48V0OpMqslRy40eQ_7_22"/>
      <w:bookmarkStart w:id="870" w:name="Tc_XKkz8zP3C0-hdOH52Yq82A_7_19"/>
      <w:bookmarkStart w:id="871" w:name="Tc_jrwiJlIDIEGw9xoKi3hFFg_7_16"/>
      <w:bookmarkStart w:id="872" w:name="Tc_7nPFghNvCUivy1uyQgVesw_7_13"/>
      <w:bookmarkStart w:id="873" w:name="Tc_EJ2AcPZUtkaGDA82-lavbA_7_8"/>
      <w:bookmarkStart w:id="874" w:name="Tc_LTMH5YDqQkC1Hljou78_JQ_7_7"/>
      <w:bookmarkStart w:id="875" w:name="Tc_6GzISPIVqUmB35DipIhxbA_7_5"/>
      <w:bookmarkStart w:id="876" w:name="Tc_1gjBjqjvZkSVSWbghUygPA_7_2"/>
      <w:bookmarkStart w:id="877" w:name="Tc_GjUXONILb0O8oSVFRQ9_0A_7_0"/>
      <w:bookmarkStart w:id="878" w:name="Tc_Xjtxg09ppEabHARcu_Zikg_6_23"/>
      <w:bookmarkStart w:id="879" w:name="Tc_OBOuS_3XlkWzOgf69R2w_w_6_17"/>
      <w:bookmarkStart w:id="880" w:name="Tc_EraVN1X2K0SAgdJ1km_U5Q_6_14"/>
      <w:bookmarkStart w:id="881" w:name="Tc_tAiBRVANn0y8dCRxjeid-w_6_11"/>
      <w:bookmarkStart w:id="882" w:name="Tc_o3aHQle7vkaVdMzoJYcbSg_6_8"/>
      <w:bookmarkStart w:id="883" w:name="Tc_IDbdXvE2XUO-kwlsR2l87g_6_5"/>
      <w:bookmarkStart w:id="884" w:name="Tc_Ob_HhLUa60CcY29SeFvkbg_6_3"/>
      <w:bookmarkStart w:id="885" w:name="Tc_iS_c1laqP0ycmieM-Qs_Bw_6_0"/>
      <w:bookmarkStart w:id="886" w:name="Tc_Nmbo0ZqscEGyYDiT8t21jQ_5_23"/>
      <w:bookmarkStart w:id="887" w:name="Tc_-5gDey--S0StMHLOhcyI4w_5_20"/>
      <w:bookmarkStart w:id="888" w:name="Tc_PkJMXV3JG0ODKBlGT-LQ6g_5_14"/>
      <w:bookmarkStart w:id="889" w:name="Tc_2WDdjFJdhkOvj4IAurOhrA_5_11"/>
      <w:bookmarkStart w:id="890" w:name="Tc_i5PHQBG1REWnHRh8ORyEKQ_5_8"/>
      <w:bookmarkStart w:id="891" w:name="Tc_53ZVS8BngkasEEL604uDJQ_5_5"/>
      <w:bookmarkStart w:id="892" w:name="Tc_PdrMp1ZdVEGKKM-GHBQ51w_5_3"/>
      <w:bookmarkStart w:id="893" w:name="Tc_UoPRkwCVQ0CD5qFm--rBzg_5_0"/>
      <w:bookmarkStart w:id="894" w:name="Tc_6-rwLXFChUWAGrIzyIbhdA_4_25"/>
      <w:bookmarkStart w:id="895" w:name="Tc_RAUTmmjTHUWrArvCW6JV_w_4_22"/>
      <w:bookmarkStart w:id="896" w:name="Tc_DTMgLOJP8kGFf09AUfXNbA_4_19"/>
      <w:bookmarkStart w:id="897" w:name="Tc_uUnm6-Z7GkW59n19hdiV2g_4_16"/>
      <w:bookmarkStart w:id="898" w:name="Tc_5t18sTRA5kuDQB3rIakJHw_4_13"/>
      <w:bookmarkStart w:id="899" w:name="Tc_ixdG7uiBEkugCXeV0jTA0w_4_8"/>
      <w:bookmarkStart w:id="900" w:name="Tc_2bzI2yMYZUaFYUdFDLMFOg_4_7"/>
      <w:bookmarkStart w:id="901" w:name="Tc_4tABUSRXF0GTF_1nfBSjyg_4_5"/>
      <w:bookmarkStart w:id="902" w:name="Tc_R57ICou3e0aeKI9cL_TdyA_4_2"/>
      <w:bookmarkStart w:id="903" w:name="Tc_O0vM7p1LAEK_OdJDZA6oRA_4_0"/>
      <w:bookmarkStart w:id="904" w:name="Tc_c8mkhN6QXUODYsg5rRgpNg_3_25"/>
      <w:bookmarkStart w:id="905" w:name="Tc_ikZ19TxUJ0q07-Qx7rH6Xg_3_22"/>
      <w:bookmarkStart w:id="906" w:name="Tc_GD7lMS9Tz0OJMb-2LpRXdQ_3_19"/>
      <w:bookmarkStart w:id="907" w:name="Tc_-y3YwlfE8UeA-HZVWvzxgQ_3_16"/>
      <w:bookmarkStart w:id="908" w:name="Tc_sGrXTAE7P0-jrzd5yIJW-Q_3_13"/>
      <w:bookmarkStart w:id="909" w:name="Tc_BVsvZgO4LUG1jqalOqTqcg_3_11"/>
      <w:bookmarkStart w:id="910" w:name="Tc_8FfZZM3Yz0uyHCXFHmZPGw_3_7"/>
      <w:bookmarkStart w:id="911" w:name="Tc_dsdGBtEXF0Cl1wQOIJob4g_3_5"/>
      <w:bookmarkStart w:id="912" w:name="Tc_HEtAJtIvAkWBc4GJjgzskg_3_2"/>
      <w:bookmarkStart w:id="913" w:name="Tc_37rkNtykAE-8ghSZlHzUrA_2_25"/>
      <w:bookmarkStart w:id="914" w:name="Tc_ZSUUZmIrb0uYVE-KpKkBWA_2_22"/>
      <w:bookmarkStart w:id="915" w:name="Tc_Pjp_-8xhnkSohTpPkMWgLw_2_19"/>
      <w:bookmarkStart w:id="916" w:name="Tc_O3NDvMxIzEC3YjoEcyLtDw_2_16"/>
      <w:bookmarkStart w:id="917" w:name="Tc_GHkRKQWsM0GCyk76a3Cn_g_2_11"/>
      <w:bookmarkStart w:id="918" w:name="Tc_HBSyq-4drUSOgl1mCldhmQ_2_5"/>
      <w:bookmarkStart w:id="919" w:name="Tc_mDSo2nZiaEGZJV9GC-fNCA_2_2"/>
      <w:bookmarkStart w:id="920" w:name="Tc_x_yDTQ1JxkmiyFYLMFAJbA_1_25"/>
      <w:bookmarkStart w:id="921" w:name="Tc_ahzbPLRZkEartvu6DHgpig_1_16"/>
      <w:bookmarkStart w:id="922" w:name="Tc_9beDD2jvPkCTqoIk-YxROA_1_11"/>
      <w:bookmarkStart w:id="923" w:name="Tc_cO-CC6P7tESr0RRCArhNGg_1_5"/>
      <w:bookmarkStart w:id="924" w:name="Tc_4n3u9b0nYUa4O__rMkFq2w_1_2"/>
      <w:bookmarkStart w:id="925" w:name="_05d19893_27be_498d_a25d_542adbe351b2"/>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p>
    <w:tbl>
      <w:tblPr>
        <w:tblW w:w="12871" w:type="dxa"/>
        <w:jc w:val="left"/>
        <w:tblInd w:w="0" w:type="dxa"/>
        <w:tblLayout w:type="fixed"/>
        <w:tblCellMar>
          <w:top w:w="0" w:type="dxa"/>
          <w:left w:w="0" w:type="dxa"/>
          <w:bottom w:w="0" w:type="dxa"/>
          <w:right w:w="0" w:type="dxa"/>
        </w:tblCellMar>
      </w:tblPr>
      <w:tblGrid>
        <w:gridCol w:w="1261"/>
        <w:gridCol w:w="326"/>
        <w:gridCol w:w="285"/>
        <w:gridCol w:w="916"/>
        <w:gridCol w:w="326"/>
        <w:gridCol w:w="586"/>
        <w:gridCol w:w="326"/>
        <w:gridCol w:w="261"/>
        <w:gridCol w:w="430"/>
        <w:gridCol w:w="206"/>
        <w:gridCol w:w="206"/>
        <w:gridCol w:w="1036"/>
        <w:gridCol w:w="326"/>
        <w:gridCol w:w="261"/>
        <w:gridCol w:w="430"/>
        <w:gridCol w:w="326"/>
        <w:gridCol w:w="211"/>
        <w:gridCol w:w="781"/>
        <w:gridCol w:w="326"/>
        <w:gridCol w:w="244"/>
        <w:gridCol w:w="852"/>
        <w:gridCol w:w="326"/>
        <w:gridCol w:w="324"/>
        <w:gridCol w:w="877"/>
        <w:gridCol w:w="326"/>
        <w:gridCol w:w="248"/>
        <w:gridCol w:w="848"/>
      </w:tblGrid>
      <w:tr>
        <w:trPr/>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800735" cy="175260"/>
                      <wp:effectExtent l="0" t="0" r="0" b="0"/>
                      <wp:wrapNone/>
                      <wp:docPr id="50" name="Frame50"/>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80975" cy="175260"/>
                      <wp:effectExtent l="0" t="0" r="0" b="0"/>
                      <wp:wrapNone/>
                      <wp:docPr id="52" name="Frame52"/>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81660" cy="175260"/>
                      <wp:effectExtent l="0" t="0" r="0" b="0"/>
                      <wp:wrapNone/>
                      <wp:docPr id="53" name="Frame5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72110" cy="175260"/>
                      <wp:effectExtent l="0" t="0" r="0" b="0"/>
                      <wp:wrapNone/>
                      <wp:docPr id="55" name="Frame5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65735" cy="175260"/>
                      <wp:effectExtent l="0" t="0" r="0" b="0"/>
                      <wp:wrapNone/>
                      <wp:docPr id="57" name="Frame57"/>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73050" cy="175260"/>
                      <wp:effectExtent l="0" t="0" r="0" b="0"/>
                      <wp:wrapNone/>
                      <wp:docPr id="58" name="Frame58"/>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0810" cy="175260"/>
                      <wp:effectExtent l="0" t="0" r="0" b="0"/>
                      <wp:wrapNone/>
                      <wp:docPr id="59" name="Frame5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0810" cy="175260"/>
                      <wp:effectExtent l="0" t="0" r="0" b="0"/>
                      <wp:wrapNone/>
                      <wp:docPr id="60" name="Frame6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57860" cy="175260"/>
                      <wp:effectExtent l="0" t="0" r="0" b="0"/>
                      <wp:wrapNone/>
                      <wp:docPr id="61" name="Frame6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65735" cy="175260"/>
                      <wp:effectExtent l="0" t="0" r="0" b="0"/>
                      <wp:wrapNone/>
                      <wp:docPr id="63" name="Frame63"/>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73050" cy="175260"/>
                      <wp:effectExtent l="0" t="0" r="0" b="0"/>
                      <wp:wrapNone/>
                      <wp:docPr id="64" name="Frame64"/>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95935" cy="175260"/>
                      <wp:effectExtent l="0" t="0" r="0" b="0"/>
                      <wp:wrapNone/>
                      <wp:docPr id="67" name="Frame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54940" cy="175260"/>
                      <wp:effectExtent l="0" t="0" r="0" b="0"/>
                      <wp:wrapNone/>
                      <wp:docPr id="69" name="Frame69"/>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41020" cy="175260"/>
                      <wp:effectExtent l="0" t="0" r="0" b="0"/>
                      <wp:wrapNone/>
                      <wp:docPr id="70" name="Frame70"/>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5740" cy="175260"/>
                      <wp:effectExtent l="0" t="0" r="0" b="0"/>
                      <wp:wrapNone/>
                      <wp:docPr id="72" name="Frame72"/>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56895" cy="175260"/>
                      <wp:effectExtent l="0" t="0" r="0" b="0"/>
                      <wp:wrapNone/>
                      <wp:docPr id="73" name="Frame73"/>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57480" cy="175260"/>
                      <wp:effectExtent l="0" t="0" r="0" b="0"/>
                      <wp:wrapNone/>
                      <wp:docPr id="75" name="Frame75"/>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38480" cy="175260"/>
                      <wp:effectExtent l="0" t="0" r="0" b="0"/>
                      <wp:wrapNone/>
                      <wp:docPr id="76" name="Frame76"/>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Redeemable</w:t>
            </w:r>
          </w:p>
        </w:tc>
        <w:tc>
          <w:tcPr>
            <w:tcW w:w="326" w:type="dxa"/>
            <w:tcBorders/>
            <w:vAlign w:val="center"/>
          </w:tcPr>
          <w:p>
            <w:pPr>
              <w:pStyle w:val="TableContents"/>
              <w:bidi w:val="0"/>
              <w:spacing w:before="0" w:after="1"/>
              <w:ind w:left="0" w:right="0" w:hanging="0"/>
              <w:jc w:val="center"/>
              <w:rPr/>
            </w:pPr>
            <w:r>
              <w:rPr/>
              <w:t>​</w:t>
            </w:r>
          </w:p>
        </w:tc>
        <w:tc>
          <w:tcPr>
            <w:tcW w:w="1603" w:type="dxa"/>
            <w:gridSpan w:val="4"/>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Convertible</w:t>
            </w:r>
            <w:r>
              <w:rPr>
                <w:rFonts w:ascii="Times New Roman;Times;serif" w:hAnsi="Times New Roman;Times;serif"/>
                <w:sz w:val="16"/>
              </w:rPr>
              <w:t> </w:t>
            </w:r>
          </w:p>
        </w:tc>
        <w:tc>
          <w:tcPr>
            <w:tcW w:w="206" w:type="dxa"/>
            <w:tcBorders>
              <w:right w:val="single" w:sz="2" w:space="0" w:color="000000"/>
            </w:tcBorders>
            <w:tcMar>
              <w:right w:w="28" w:type="dxa"/>
            </w:tcMar>
            <w:vAlign w:val="center"/>
          </w:tcPr>
          <w:p>
            <w:pPr>
              <w:pStyle w:val="TableContents"/>
              <w:bidi w:val="0"/>
              <w:spacing w:before="0" w:after="1"/>
              <w:ind w:left="0" w:right="0" w:hanging="0"/>
              <w:jc w:val="center"/>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center"/>
              <w:rPr/>
            </w:pPr>
            <w:r>
              <w:rPr/>
              <w:t>​</w:t>
            </w:r>
          </w:p>
        </w:tc>
        <w:tc>
          <w:tcPr>
            <w:tcW w:w="2053"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4"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Total</w:t>
            </w:r>
            <w:r>
              <w:rPr>
                <w:rFonts w:ascii="Times New Roman;Times;serif" w:hAnsi="Times New Roman;Times;serif"/>
                <w:sz w:val="16"/>
              </w:rPr>
              <w:t> </w:t>
            </w:r>
          </w:p>
        </w:tc>
      </w:tr>
      <w:tr>
        <w:trPr/>
        <w:tc>
          <w:tcPr>
            <w:tcW w:w="1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26" w:type="dxa"/>
            <w:tcBorders/>
            <w:vAlign w:val="center"/>
          </w:tcPr>
          <w:p>
            <w:pPr>
              <w:pStyle w:val="TableContents"/>
              <w:bidi w:val="0"/>
              <w:spacing w:before="0" w:after="1"/>
              <w:ind w:left="0" w:right="0" w:hanging="0"/>
              <w:jc w:val="center"/>
              <w:rPr/>
            </w:pPr>
            <w:r>
              <w:rPr/>
              <w:t>​</w:t>
            </w:r>
          </w:p>
        </w:tc>
        <w:tc>
          <w:tcPr>
            <w:tcW w:w="1603" w:type="dxa"/>
            <w:gridSpan w:val="4"/>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Preferred Shares</w:t>
            </w:r>
            <w:r>
              <w:rPr>
                <w:rFonts w:ascii="Times New Roman;Times;serif" w:hAnsi="Times New Roman;Times;serif"/>
                <w:b/>
                <w:sz w:val="12"/>
              </w:rPr>
              <w:t>(1)</w:t>
            </w:r>
          </w:p>
        </w:tc>
        <w:tc>
          <w:tcPr>
            <w:tcW w:w="206" w:type="dxa"/>
            <w:tcBorders>
              <w:right w:val="single" w:sz="2" w:space="0" w:color="000000"/>
            </w:tcBorders>
            <w:tcMar>
              <w:right w:w="28" w:type="dxa"/>
            </w:tcMar>
            <w:vAlign w:val="center"/>
          </w:tcPr>
          <w:p>
            <w:pPr>
              <w:pStyle w:val="TableContents"/>
              <w:bidi w:val="0"/>
              <w:spacing w:before="0" w:after="1"/>
              <w:ind w:left="0" w:right="0" w:hanging="0"/>
              <w:jc w:val="center"/>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center"/>
              <w:rPr/>
            </w:pPr>
            <w:r>
              <w:rPr/>
              <w:t>​</w:t>
            </w:r>
          </w:p>
        </w:tc>
        <w:tc>
          <w:tcPr>
            <w:tcW w:w="2053" w:type="dxa"/>
            <w:gridSpan w:val="4"/>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Ordinary Shares</w:t>
            </w:r>
            <w:r>
              <w:rPr>
                <w:rFonts w:ascii="Times New Roman;Times;serif" w:hAnsi="Times New Roman;Times;serif"/>
                <w:b/>
                <w:sz w:val="12"/>
              </w:rPr>
              <w:t>(1)</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Accumulated</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w:t>
            </w:r>
          </w:p>
        </w:tc>
        <w:tc>
          <w:tcPr>
            <w:tcW w:w="12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Shareholders’</w:t>
            </w:r>
            <w:r>
              <w:rPr>
                <w:rFonts w:ascii="Times New Roman;Times;serif" w:hAnsi="Times New Roman;Times;serif"/>
                <w:sz w:val="16"/>
              </w:rPr>
              <w:t> </w:t>
            </w:r>
          </w:p>
        </w:tc>
      </w:tr>
      <w:tr>
        <w:trPr/>
        <w:tc>
          <w:tcPr>
            <w:tcW w:w="1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center"/>
              <w:rPr/>
            </w:pPr>
            <w:r>
              <w:rPr/>
              <w:t>  </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center"/>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12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20,875</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43,093,685</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155,654</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(86,751)</w:t>
            </w:r>
          </w:p>
        </w:tc>
        <w:tc>
          <w:tcPr>
            <w:tcW w:w="326" w:type="dxa"/>
            <w:tcBorders/>
            <w:shd w:fill="CCEEFF" w:val="clear"/>
            <w:vAlign w:val="center"/>
          </w:tcPr>
          <w:p>
            <w:pPr>
              <w:pStyle w:val="TableContents"/>
              <w:bidi w:val="0"/>
              <w:spacing w:before="0" w:after="1"/>
              <w:ind w:left="0" w:right="0" w:hanging="0"/>
              <w:jc w:val="left"/>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1,541</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70,448</w:t>
            </w:r>
          </w:p>
        </w:tc>
      </w:tr>
      <w:tr>
        <w:trPr/>
        <w:tc>
          <w:tcPr>
            <w:tcW w:w="1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2,577</w:t>
            </w:r>
          </w:p>
        </w:tc>
        <w:tc>
          <w:tcPr>
            <w:tcW w:w="32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85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24"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2,577</w:t>
            </w:r>
          </w:p>
        </w:tc>
      </w:tr>
      <w:tr>
        <w:trPr/>
        <w:tc>
          <w:tcPr>
            <w:tcW w:w="1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(8,270)</w:t>
            </w:r>
          </w:p>
        </w:tc>
        <w:tc>
          <w:tcPr>
            <w:tcW w:w="326" w:type="dxa"/>
            <w:tcBorders/>
            <w:shd w:fill="CCEEFF" w:val="clear"/>
            <w:vAlign w:val="center"/>
          </w:tcPr>
          <w:p>
            <w:pPr>
              <w:pStyle w:val="TableContents"/>
              <w:bidi w:val="0"/>
              <w:spacing w:before="0" w:after="1"/>
              <w:ind w:left="0" w:right="0" w:hanging="0"/>
              <w:jc w:val="righ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(8,270)</w:t>
            </w:r>
          </w:p>
        </w:tc>
      </w:tr>
      <w:tr>
        <w:trPr/>
        <w:tc>
          <w:tcPr>
            <w:tcW w:w="12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September 30, 2023</w:t>
            </w:r>
          </w:p>
        </w:tc>
        <w:tc>
          <w:tcPr>
            <w:tcW w:w="326" w:type="dxa"/>
            <w:tcBorders/>
            <w:vAlign w:val="center"/>
          </w:tcPr>
          <w:p>
            <w:pPr>
              <w:pStyle w:val="TableContents"/>
              <w:bidi w:val="0"/>
              <w:spacing w:before="0" w:after="1"/>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20,875</w:t>
            </w:r>
          </w:p>
        </w:tc>
        <w:tc>
          <w:tcPr>
            <w:tcW w:w="326" w:type="dxa"/>
            <w:tcBorders/>
            <w:vAlign w:val="center"/>
          </w:tcPr>
          <w:p>
            <w:pPr>
              <w:pStyle w:val="TableContents"/>
              <w:bidi w:val="0"/>
              <w:spacing w:before="0" w:after="1"/>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3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43,093,685</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158,231</w:t>
            </w:r>
          </w:p>
        </w:tc>
        <w:tc>
          <w:tcPr>
            <w:tcW w:w="326" w:type="dxa"/>
            <w:tcBorders/>
            <w:vAlign w:val="center"/>
          </w:tcPr>
          <w:p>
            <w:pPr>
              <w:pStyle w:val="TableContents"/>
              <w:bidi w:val="0"/>
              <w:spacing w:before="0" w:after="1"/>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5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(95,021)</w:t>
            </w:r>
          </w:p>
        </w:tc>
        <w:tc>
          <w:tcPr>
            <w:tcW w:w="326" w:type="dxa"/>
            <w:tcBorders/>
            <w:vAlign w:val="center"/>
          </w:tcPr>
          <w:p>
            <w:pPr>
              <w:pStyle w:val="TableContents"/>
              <w:bidi w:val="0"/>
              <w:spacing w:before="0" w:after="1"/>
              <w:ind w:left="0" w:right="0" w:hanging="0"/>
              <w:jc w:val="right"/>
              <w:rPr/>
            </w:pPr>
            <w:r>
              <w:rPr/>
              <w:t>​</w:t>
            </w:r>
          </w:p>
        </w:tc>
        <w:tc>
          <w:tcPr>
            <w:tcW w:w="3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1,541</w:t>
            </w:r>
          </w:p>
        </w:tc>
        <w:tc>
          <w:tcPr>
            <w:tcW w:w="326" w:type="dxa"/>
            <w:tcBorders/>
            <w:vAlign w:val="center"/>
          </w:tcPr>
          <w:p>
            <w:pPr>
              <w:pStyle w:val="TableContents"/>
              <w:bidi w:val="0"/>
              <w:spacing w:before="0" w:after="1"/>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64,755</w:t>
            </w:r>
          </w:p>
        </w:tc>
      </w:tr>
      <w:tr>
        <w:trPr/>
        <w:tc>
          <w:tcPr>
            <w:tcW w:w="126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85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right"/>
              <w:rPr/>
            </w:pPr>
            <w:r>
              <w:rPr/>
              <w:t>​</w:t>
            </w:r>
          </w:p>
        </w:tc>
      </w:tr>
      <w:tr>
        <w:trPr/>
        <w:tc>
          <w:tcPr>
            <w:tcW w:w="12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June 30, 2022</w:t>
            </w:r>
          </w:p>
        </w:tc>
        <w:tc>
          <w:tcPr>
            <w:tcW w:w="326"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383,480</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309</w:t>
            </w:r>
          </w:p>
        </w:tc>
        <w:tc>
          <w:tcPr>
            <w:tcW w:w="326" w:type="dxa"/>
            <w:tcBorders/>
            <w:vAlign w:val="center"/>
          </w:tcPr>
          <w:p>
            <w:pPr>
              <w:pStyle w:val="TableContents"/>
              <w:bidi w:val="0"/>
              <w:spacing w:before="0" w:after="1"/>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(8,744)</w:t>
            </w:r>
          </w:p>
        </w:tc>
        <w:tc>
          <w:tcPr>
            <w:tcW w:w="326" w:type="dxa"/>
            <w:tcBorders/>
            <w:vAlign w:val="center"/>
          </w:tcPr>
          <w:p>
            <w:pPr>
              <w:pStyle w:val="TableContents"/>
              <w:bidi w:val="0"/>
              <w:spacing w:before="0" w:after="1"/>
              <w:ind w:left="0" w:right="0" w:hanging="0"/>
              <w:jc w:val="right"/>
              <w:rPr/>
            </w:pPr>
            <w:r>
              <w:rPr/>
              <w:t>​</w:t>
            </w:r>
          </w:p>
        </w:tc>
        <w:tc>
          <w:tcPr>
            <w:tcW w:w="3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(8,435)</w:t>
            </w:r>
          </w:p>
        </w:tc>
      </w:tr>
      <w:tr>
        <w:trPr/>
        <w:tc>
          <w:tcPr>
            <w:tcW w:w="1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85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1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 </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(1,102)</w:t>
            </w:r>
          </w:p>
        </w:tc>
        <w:tc>
          <w:tcPr>
            <w:tcW w:w="326" w:type="dxa"/>
            <w:tcBorders/>
            <w:vAlign w:val="center"/>
          </w:tcPr>
          <w:p>
            <w:pPr>
              <w:pStyle w:val="TableContents"/>
              <w:bidi w:val="0"/>
              <w:spacing w:before="0" w:after="1"/>
              <w:ind w:left="0" w:right="0" w:hanging="0"/>
              <w:jc w:val="right"/>
              <w:rPr/>
            </w:pPr>
            <w:r>
              <w:rPr/>
              <w:t>​</w:t>
            </w:r>
          </w:p>
        </w:tc>
        <w:tc>
          <w:tcPr>
            <w:tcW w:w="3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(1,102)</w:t>
            </w:r>
          </w:p>
        </w:tc>
      </w:tr>
      <w:tr>
        <w:trPr/>
        <w:tc>
          <w:tcPr>
            <w:tcW w:w="12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September 30, 2022</w:t>
            </w:r>
          </w:p>
        </w:tc>
        <w:tc>
          <w:tcPr>
            <w:tcW w:w="326" w:type="dxa"/>
            <w:tcBorders/>
            <w:shd w:fill="CCEEFF" w:val="clear"/>
            <w:vAlign w:val="center"/>
          </w:tcPr>
          <w:p>
            <w:pPr>
              <w:pStyle w:val="TableContents"/>
              <w:bidi w:val="0"/>
              <w:spacing w:before="0" w:after="1"/>
              <w:ind w:left="0" w:right="0" w:hanging="0"/>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383,480</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321</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(9,846)</w:t>
            </w:r>
          </w:p>
        </w:tc>
        <w:tc>
          <w:tcPr>
            <w:tcW w:w="326" w:type="dxa"/>
            <w:tcBorders/>
            <w:shd w:fill="CCEEFF" w:val="clear"/>
            <w:vAlign w:val="center"/>
          </w:tcPr>
          <w:p>
            <w:pPr>
              <w:pStyle w:val="TableContents"/>
              <w:bidi w:val="0"/>
              <w:spacing w:before="0" w:after="1"/>
              <w:ind w:left="0" w:right="0" w:hanging="0"/>
              <w:jc w:val="righ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(9,525)</w:t>
            </w:r>
          </w:p>
        </w:tc>
      </w:tr>
    </w:tbl>
    <w:p>
      <w:pPr>
        <w:pStyle w:val="TextBody"/>
        <w:bidi w:val="0"/>
        <w:spacing w:lineRule="auto" w:line="240" w:before="0" w:after="0"/>
        <w:ind w:left="0" w:right="0" w:hanging="0"/>
        <w:jc w:val="both"/>
        <w:rPr>
          <w:rFonts w:ascii="Times New Roman;Times;serif" w:hAnsi="Times New Roman;Times;serif"/>
          <w:sz w:val="20"/>
        </w:rPr>
      </w:pPr>
      <w:bookmarkStart w:id="926" w:name="_e5ab42e2_77fd_46c2_a74a_a12088e427dd"/>
      <w:bookmarkEnd w:id="926"/>
      <w:r>
        <w:rPr>
          <w:rFonts w:ascii="Times New Roman;Times;serif" w:hAnsi="Times New Roman;Times;serif"/>
          <w:sz w:val="15"/>
        </w:rPr>
        <w:t>(1)</w:t>
      </w:r>
      <w:r>
        <w:rPr>
          <w:rFonts w:ascii="Times New Roman;Times;serif" w:hAnsi="Times New Roman;Times;serif"/>
          <w:sz w:val="20"/>
        </w:rPr>
        <w:t xml:space="preserve"> The Company’s convertible preferred shares and Class A Ordinary Shares prior to the closing of the Business Combination (as defined in Note 1) have been retroactively restated to reflect the exchange ratio of approximately 108.083 established in the Business Combination Agreement as described in Note 3.</w:t>
      </w:r>
    </w:p>
    <w:p>
      <w:pPr>
        <w:pStyle w:val="TextBody"/>
        <w:bidi w:val="0"/>
        <w:spacing w:before="0" w:after="240"/>
        <w:ind w:left="0" w:right="0" w:hanging="0"/>
        <w:jc w:val="center"/>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center"/>
        <w:rPr>
          <w:rFonts w:ascii="Times New Roman;Times;serif" w:hAnsi="Times New Roman;Times;serif"/>
          <w:b/>
          <w:sz w:val="20"/>
        </w:rPr>
      </w:pPr>
      <w:bookmarkStart w:id="927" w:name="_4b0bd31a_8311_4c85_9d2a_ac981c5a18a5"/>
      <w:bookmarkEnd w:id="927"/>
      <w:r>
        <w:rPr>
          <w:rFonts w:ascii="Times New Roman;Times;serif" w:hAnsi="Times New Roman;Times;serif"/>
          <w:b/>
          <w:sz w:val="20"/>
        </w:rPr>
        <w:t>Zura Bio Limited</w:t>
      </w:r>
    </w:p>
    <w:p>
      <w:pPr>
        <w:pStyle w:val="TextBody"/>
        <w:bidi w:val="0"/>
        <w:spacing w:before="0" w:after="0"/>
        <w:ind w:left="0" w:right="0" w:firstLine="360"/>
        <w:jc w:val="center"/>
        <w:rPr>
          <w:rFonts w:ascii="Times New Roman;Times;serif" w:hAnsi="Times New Roman;Times;serif"/>
          <w:b/>
          <w:sz w:val="20"/>
        </w:rPr>
      </w:pPr>
      <w:bookmarkStart w:id="928" w:name="CondensedConsolidatedStatementsofCashFlo"/>
      <w:bookmarkEnd w:id="928"/>
      <w:r>
        <w:rPr>
          <w:rFonts w:ascii="Times New Roman;Times;serif" w:hAnsi="Times New Roman;Times;serif"/>
          <w:b/>
          <w:sz w:val="20"/>
        </w:rPr>
        <w:t>Condensed Consolidated Statements of Cash Flows</w:t>
      </w:r>
    </w:p>
    <w:p>
      <w:pPr>
        <w:pStyle w:val="TextBody"/>
        <w:bidi w:val="0"/>
        <w:spacing w:before="0" w:after="0"/>
        <w:ind w:left="0" w:right="0" w:firstLine="36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0" w:right="0" w:firstLine="36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929" w:name="Tc_favdlUAtoEentLutr2tFWQ_51_6"/>
      <w:bookmarkStart w:id="930" w:name="Tc_GgV3ZuX1uUSQ6KJxI-biKQ_51_5"/>
      <w:bookmarkStart w:id="931" w:name="Tc_0v4p5oypiUK8x_KOLhzEcA_51_2"/>
      <w:bookmarkStart w:id="932" w:name="Tc_7pk45gIizUmyhPP6Tv6_xw_51_0"/>
      <w:bookmarkStart w:id="933" w:name="Tc__yWVCyfNgkKI6_Rx1GQfPA_50_6"/>
      <w:bookmarkStart w:id="934" w:name="Tc_n7vy68GR4kG8NIjfvEbbnw_50_5"/>
      <w:bookmarkStart w:id="935" w:name="Tc_VXInaaCoHU-C7fJPW00_Pw_50_2"/>
      <w:bookmarkStart w:id="936" w:name="Tc_33OzacOYZU6mZieCI4jgVA_50_0"/>
      <w:bookmarkStart w:id="937" w:name="Tc_2CbyBYaGN0CcylBysFP7_Q_49_6"/>
      <w:bookmarkStart w:id="938" w:name="Tc_W2sihKYkZkmI54IZRZX3RQ_49_5"/>
      <w:bookmarkStart w:id="939" w:name="Tc_NotzDnz3UkiJz7yTVoqK9g_49_2"/>
      <w:bookmarkStart w:id="940" w:name="Tc_o0kqHal_jEimJp7l_eVRpQ_49_0"/>
      <w:bookmarkStart w:id="941" w:name="Tc_gK8jmH7G9kO1eer5s-HjFg_48_6"/>
      <w:bookmarkStart w:id="942" w:name="Tc_tXyr0pLUdUy7bwBrAUZYKA_48_5"/>
      <w:bookmarkStart w:id="943" w:name="Tc_PfU0vxUDJUWpCpU7vJKy_A_48_2"/>
      <w:bookmarkStart w:id="944" w:name="Tc_1TQYt8B5rku9g_pSq1gjkg_48_0"/>
      <w:bookmarkStart w:id="945" w:name="Tc_ifuOkcbYHEy27G6Ce2AngQ_47_5"/>
      <w:bookmarkStart w:id="946" w:name="Tc_xrczsT2LWU25e_nNDS9Sug_47_3"/>
      <w:bookmarkStart w:id="947" w:name="Tc_o-KzfCvGnkWbLVcQ2xXxtg_47_2"/>
      <w:bookmarkStart w:id="948" w:name="Tc_JTJQ21w5vEiOt9rYZJw9vA_47_0"/>
      <w:bookmarkStart w:id="949" w:name="Tc_2lW55KYnWk-TYJyHkxzZlQ_46_6"/>
      <w:bookmarkStart w:id="950" w:name="Tc_Kvswg524J0CL5N-_1EFYeg_46_5"/>
      <w:bookmarkStart w:id="951" w:name="Tc_KOq0qy_ZME6tmgoBOwntPw_46_2"/>
      <w:bookmarkStart w:id="952" w:name="Tc_OtBEeXnAVEiHBiko81-U2w_46_0"/>
      <w:bookmarkStart w:id="953" w:name="Tc_q8iut30utU6hoe6Q8prGRw_45_6"/>
      <w:bookmarkStart w:id="954" w:name="Tc_kL6-1Pt6hk-VYSsFQp50tg_45_5"/>
      <w:bookmarkStart w:id="955" w:name="Tc_jULFCX97kUW9Q3vXeuLasg_45_2"/>
      <w:bookmarkStart w:id="956" w:name="Tc_XhfHv3sy-EG2tp1aN9Zv4A_45_0"/>
      <w:bookmarkStart w:id="957" w:name="Tc_QUpjSguQlUuew921tK-qyg_44_6"/>
      <w:bookmarkStart w:id="958" w:name="Tc_RYQR3cvng0WUByNQ6L9V8g_44_5"/>
      <w:bookmarkStart w:id="959" w:name="Tc_TcoADAvovkKyhc_xRDdCFA_44_2"/>
      <w:bookmarkStart w:id="960" w:name="Tc_aFj-TeoOokOXWupbU1FjcQ_44_0"/>
      <w:bookmarkStart w:id="961" w:name="Tc_HgdtiTUtykiF4Z8jaF7ymQ_43_6"/>
      <w:bookmarkStart w:id="962" w:name="Tc_xnMR66NflUGfkZu7VwkpNA_43_5"/>
      <w:bookmarkStart w:id="963" w:name="Tc_ZLMD20mtwk21qUiDh2s1Yg_43_2"/>
      <w:bookmarkStart w:id="964" w:name="Tc_EO4Uz8n5h0yZRfbEwMsBbw_43_0"/>
      <w:bookmarkStart w:id="965" w:name="Tc_rmEFryu7Ak6tsb86o4yeiQ_42_6"/>
      <w:bookmarkStart w:id="966" w:name="Tc_eg3QQgYoM0-9iRbjGogbxQ_42_5"/>
      <w:bookmarkStart w:id="967" w:name="Tc_JfpO-nXcQkS-l-xKI5Qw7A_42_2"/>
      <w:bookmarkStart w:id="968" w:name="Tc_uy4Trfk1pkOiqD1cAObJhw_42_0"/>
      <w:bookmarkStart w:id="969" w:name="Tc_3g2sKMcz8kW-auiWZ2focw_41_6"/>
      <w:bookmarkStart w:id="970" w:name="Tc_ySaCGUZ7MkGA9PbBOoCbow_41_5"/>
      <w:bookmarkStart w:id="971" w:name="Tc_szC2lCyB7Eig-uWcAPgSOg_41_2"/>
      <w:bookmarkStart w:id="972" w:name="Tc_lOOADJN7cUKPJzZ-Th0xdw_41_0"/>
      <w:bookmarkStart w:id="973" w:name="Tc_CZYPVNcUNk66YEB6yYUpMQ_40_5"/>
      <w:bookmarkStart w:id="974" w:name="Tc__6WV99ZkKkygJFXS5RqfSg_40_3"/>
      <w:bookmarkStart w:id="975" w:name="Tc_b_zzER6-XUetbqX73-LQ8Q_40_2"/>
      <w:bookmarkStart w:id="976" w:name="Tc_Ki_azyJsB0GUKdnTsNk1hQ_40_0"/>
      <w:bookmarkStart w:id="977" w:name="Tc_hqRkOSK8QUWXVfDQtzFq8w_39_0"/>
      <w:bookmarkStart w:id="978" w:name="Tc_NM66tHRry0mKUfvpEZFkvg_37_6"/>
      <w:bookmarkStart w:id="979" w:name="Tc_UlTks-SaE0qzpiy2pg68kQ_37_5"/>
      <w:bookmarkStart w:id="980" w:name="Tc_jX3bvD5UtUur8CKzvzteaQ_37_3"/>
      <w:bookmarkStart w:id="981" w:name="Tc_yb8N0SQk60ufwHGpqgeb1Q_37_2"/>
      <w:bookmarkStart w:id="982" w:name="Tc_N2VuMlgRtEWUJ7tWyOa9vw_37_0"/>
      <w:bookmarkStart w:id="983" w:name="Tc_gKvt4MYXzUG5veiWh2Q8pg_36_6"/>
      <w:bookmarkStart w:id="984" w:name="Tc_UGCncqd32EetttCvQoBaqw_36_5"/>
      <w:bookmarkStart w:id="985" w:name="Tc_caLHMrKVOUSyjXaX1ifSmA_36_3"/>
      <w:bookmarkStart w:id="986" w:name="Tc_9cEXNPuTGka18KxnF2v7BA_36_2"/>
      <w:bookmarkStart w:id="987" w:name="Tc_6qkeNH6F3EWpPNroGnvCJg_36_0"/>
      <w:bookmarkStart w:id="988" w:name="Tc_5A25rTdPGUqVNuFXrcBCsg_35_0"/>
      <w:bookmarkStart w:id="989" w:name="Tc_PABOhOM3lk6xbBPrGpGoVg_33_5"/>
      <w:bookmarkStart w:id="990" w:name="Tc_o-DJXGNPJUyBSyoMrWEwsA_33_2"/>
      <w:bookmarkStart w:id="991" w:name="Tc_7aWbJjX8lU6sfdIrZ9vorw_33_0"/>
      <w:bookmarkStart w:id="992" w:name="Tc_bDsaw6YL-E6thubtw5Djyg_32_6"/>
      <w:bookmarkStart w:id="993" w:name="Tc_zX0tT6QLKkKaXzKQBvhGRQ_32_0"/>
      <w:bookmarkStart w:id="994" w:name="Tc_btlAL1BSDE2VTuUhYkuYQg_31_0"/>
      <w:bookmarkStart w:id="995" w:name="Tc_MMJkkrz6iEGhks5520ZUXg_30_0"/>
      <w:bookmarkStart w:id="996" w:name="Tc_pG3q6LPC40-N61Tc3se1qA_29_0"/>
      <w:bookmarkStart w:id="997" w:name="Tc_QPvkYtjDx0OPIB4MCjRNCg_28_6"/>
      <w:bookmarkStart w:id="998" w:name="Tc_JtAo_R0dSUyl0Csj7j55ww_28_0"/>
      <w:bookmarkStart w:id="999" w:name="Tc_JwpxAM0tLEGNSM9-7--t6A_27_6"/>
      <w:bookmarkStart w:id="1000" w:name="Tc_wxrOjbQC3ESgli1YcyQPSQ_27_0"/>
      <w:bookmarkStart w:id="1001" w:name="Tc_NagOBEscC0mOppIRLK0GGQ_26_6"/>
      <w:bookmarkStart w:id="1002" w:name="Tc_QDve2MGB1UiLO5Bd6FM6zQ_26_0"/>
      <w:bookmarkStart w:id="1003" w:name="Tc_O5FX3ZFF4EaW_tbJmwSrbA_25_6"/>
      <w:bookmarkStart w:id="1004" w:name="Tc_zDHR0HnVvkGl83NJOPbUSQ_25_0"/>
      <w:bookmarkStart w:id="1005" w:name="Tc_ILS_W97pg0agGPwL0rMcGA_24_3"/>
      <w:bookmarkStart w:id="1006" w:name="Tc_hTgPtmMMi0GruKce3mEs5w_24_0"/>
      <w:bookmarkStart w:id="1007" w:name="Tc_UxmT3v9y6EecsVx71i6p6w_23_0"/>
      <w:bookmarkStart w:id="1008" w:name="Tc_0qX-B8EnuUCaPCQjDV1iIw_22_0"/>
      <w:bookmarkStart w:id="1009" w:name="Tc_VCwlyI404UWyT5dWVQOcRw_21_0"/>
      <w:bookmarkStart w:id="1010" w:name="Tc_x9e2BCFKXkaxdnrYP9diWA_20_0"/>
      <w:bookmarkStart w:id="1011" w:name="Tc_M1JNlDcTQUmXKZPz9ZdwWA_19_0"/>
      <w:bookmarkStart w:id="1012" w:name="Tc_tkCpVGnuUUSSgcb-azrNag_18_0"/>
      <w:bookmarkStart w:id="1013" w:name="Tc_lvkS0hXmg02l3m3q-5Z6Ng_17_0"/>
      <w:bookmarkStart w:id="1014" w:name="Tc_fJp2C5lvtEuJpVKSvGG_kA_16_0"/>
      <w:bookmarkStart w:id="1015" w:name="Tc_NBSLad1TTkCF5NVY7ZCjaA_15_0"/>
      <w:bookmarkStart w:id="1016" w:name="Tc_YZ7YdXpbt0qV67VDHc6hSQ_14_6"/>
      <w:bookmarkStart w:id="1017" w:name="Tc_hJmgL3oTs0OTPKmH1ebk5A_14_0"/>
      <w:bookmarkStart w:id="1018" w:name="Tc_32QHCSQaZUi5Y-SiSfmZgg_13_6"/>
      <w:bookmarkStart w:id="1019" w:name="Tc_uyz1JAEL_UevmFCcU7Apeg_13_0"/>
      <w:bookmarkStart w:id="1020" w:name="Tc_EovzIzh1Z066QBaRgmcOkg_12_6"/>
      <w:bookmarkStart w:id="1021" w:name="Tc_YZBcC-4byEyk1EUZ3qnr3g_12_0"/>
      <w:bookmarkStart w:id="1022" w:name="Tc_bWL51-oxdkiq3qAIFX16qw_11_0"/>
      <w:bookmarkStart w:id="1023" w:name="Tc_dxxgER1RnkaygO8yKpSbkA_10_6"/>
      <w:bookmarkStart w:id="1024" w:name="Tc_JrxZA0FKDkGTCJl2ICaelw_10_0"/>
      <w:bookmarkStart w:id="1025" w:name="Tc_-TMrCIEZd0ikP6bJjnisKA_9_0"/>
      <w:bookmarkStart w:id="1026" w:name="Tc_VSh0w6nIukSRO-AdyQiBJg_8_0"/>
      <w:bookmarkStart w:id="1027" w:name="Tc_G7NvXDU6gEuUNF1fBoKwUA_7_5"/>
      <w:bookmarkStart w:id="1028" w:name="Tc_G_crt_n8Z06JzNtZTWrt7g_7_2"/>
      <w:bookmarkStart w:id="1029" w:name="Tc_kSiEpmze3kGrf6M6KiJ9ag_7_0"/>
      <w:bookmarkStart w:id="1030" w:name="Tc_H4QkauQ9R0OpvgHhmD6D5w_6_0"/>
      <w:bookmarkStart w:id="1031" w:name="Tc_h5oFeyte00iok5eyeilwzA_5_5"/>
      <w:bookmarkStart w:id="1032" w:name="Tc_yNtf1kPVCkWArCdSfe4r-w_5_2"/>
      <w:bookmarkStart w:id="1033" w:name="Tc_C4pM-Ypw_kqZ5YLqD-EJag_4_5"/>
      <w:bookmarkStart w:id="1034" w:name="Tc_9dYsB3gMrE6RpyZrQGR7ZA_4_2"/>
      <w:bookmarkStart w:id="1035" w:name="Tc_dn6-_jDT8EKVOYX_LQvFQQ_3_5"/>
      <w:bookmarkStart w:id="1036" w:name="Tc_SVDhmDAW3USumubpIlCoCA_3_2"/>
      <w:bookmarkStart w:id="1037" w:name="Tc_NV7WC07G9kCGFu7YglPqEw_2_5"/>
      <w:bookmarkStart w:id="1038" w:name="Tc_lnI2htj2CkaGBf_5q7D7_g_2_2"/>
      <w:bookmarkStart w:id="1039" w:name="Tc_9s9kLol7yk-xCe1Hi4kOPQ_1_5"/>
      <w:bookmarkStart w:id="1040" w:name="_b3aa5ec4_266d_46aa_86d6_b64dea72f7f8"/>
      <w:bookmarkStart w:id="1041" w:name="Tc_favdlUAtoEentLutr2tFWQ_51_6"/>
      <w:bookmarkStart w:id="1042" w:name="Tc_GgV3ZuX1uUSQ6KJxI-biKQ_51_5"/>
      <w:bookmarkStart w:id="1043" w:name="Tc_0v4p5oypiUK8x_KOLhzEcA_51_2"/>
      <w:bookmarkStart w:id="1044" w:name="Tc_7pk45gIizUmyhPP6Tv6_xw_51_0"/>
      <w:bookmarkStart w:id="1045" w:name="Tc__yWVCyfNgkKI6_Rx1GQfPA_50_6"/>
      <w:bookmarkStart w:id="1046" w:name="Tc_n7vy68GR4kG8NIjfvEbbnw_50_5"/>
      <w:bookmarkStart w:id="1047" w:name="Tc_VXInaaCoHU-C7fJPW00_Pw_50_2"/>
      <w:bookmarkStart w:id="1048" w:name="Tc_33OzacOYZU6mZieCI4jgVA_50_0"/>
      <w:bookmarkStart w:id="1049" w:name="Tc_2CbyBYaGN0CcylBysFP7_Q_49_6"/>
      <w:bookmarkStart w:id="1050" w:name="Tc_W2sihKYkZkmI54IZRZX3RQ_49_5"/>
      <w:bookmarkStart w:id="1051" w:name="Tc_NotzDnz3UkiJz7yTVoqK9g_49_2"/>
      <w:bookmarkStart w:id="1052" w:name="Tc_o0kqHal_jEimJp7l_eVRpQ_49_0"/>
      <w:bookmarkStart w:id="1053" w:name="Tc_gK8jmH7G9kO1eer5s-HjFg_48_6"/>
      <w:bookmarkStart w:id="1054" w:name="Tc_tXyr0pLUdUy7bwBrAUZYKA_48_5"/>
      <w:bookmarkStart w:id="1055" w:name="Tc_PfU0vxUDJUWpCpU7vJKy_A_48_2"/>
      <w:bookmarkStart w:id="1056" w:name="Tc_1TQYt8B5rku9g_pSq1gjkg_48_0"/>
      <w:bookmarkStart w:id="1057" w:name="Tc_ifuOkcbYHEy27G6Ce2AngQ_47_5"/>
      <w:bookmarkStart w:id="1058" w:name="Tc_xrczsT2LWU25e_nNDS9Sug_47_3"/>
      <w:bookmarkStart w:id="1059" w:name="Tc_o-KzfCvGnkWbLVcQ2xXxtg_47_2"/>
      <w:bookmarkStart w:id="1060" w:name="Tc_JTJQ21w5vEiOt9rYZJw9vA_47_0"/>
      <w:bookmarkStart w:id="1061" w:name="Tc_2lW55KYnWk-TYJyHkxzZlQ_46_6"/>
      <w:bookmarkStart w:id="1062" w:name="Tc_Kvswg524J0CL5N-_1EFYeg_46_5"/>
      <w:bookmarkStart w:id="1063" w:name="Tc_KOq0qy_ZME6tmgoBOwntPw_46_2"/>
      <w:bookmarkStart w:id="1064" w:name="Tc_OtBEeXnAVEiHBiko81-U2w_46_0"/>
      <w:bookmarkStart w:id="1065" w:name="Tc_q8iut30utU6hoe6Q8prGRw_45_6"/>
      <w:bookmarkStart w:id="1066" w:name="Tc_kL6-1Pt6hk-VYSsFQp50tg_45_5"/>
      <w:bookmarkStart w:id="1067" w:name="Tc_jULFCX97kUW9Q3vXeuLasg_45_2"/>
      <w:bookmarkStart w:id="1068" w:name="Tc_XhfHv3sy-EG2tp1aN9Zv4A_45_0"/>
      <w:bookmarkStart w:id="1069" w:name="Tc_QUpjSguQlUuew921tK-qyg_44_6"/>
      <w:bookmarkStart w:id="1070" w:name="Tc_RYQR3cvng0WUByNQ6L9V8g_44_5"/>
      <w:bookmarkStart w:id="1071" w:name="Tc_TcoADAvovkKyhc_xRDdCFA_44_2"/>
      <w:bookmarkStart w:id="1072" w:name="Tc_aFj-TeoOokOXWupbU1FjcQ_44_0"/>
      <w:bookmarkStart w:id="1073" w:name="Tc_HgdtiTUtykiF4Z8jaF7ymQ_43_6"/>
      <w:bookmarkStart w:id="1074" w:name="Tc_xnMR66NflUGfkZu7VwkpNA_43_5"/>
      <w:bookmarkStart w:id="1075" w:name="Tc_ZLMD20mtwk21qUiDh2s1Yg_43_2"/>
      <w:bookmarkStart w:id="1076" w:name="Tc_EO4Uz8n5h0yZRfbEwMsBbw_43_0"/>
      <w:bookmarkStart w:id="1077" w:name="Tc_rmEFryu7Ak6tsb86o4yeiQ_42_6"/>
      <w:bookmarkStart w:id="1078" w:name="Tc_eg3QQgYoM0-9iRbjGogbxQ_42_5"/>
      <w:bookmarkStart w:id="1079" w:name="Tc_JfpO-nXcQkS-l-xKI5Qw7A_42_2"/>
      <w:bookmarkStart w:id="1080" w:name="Tc_uy4Trfk1pkOiqD1cAObJhw_42_0"/>
      <w:bookmarkStart w:id="1081" w:name="Tc_3g2sKMcz8kW-auiWZ2focw_41_6"/>
      <w:bookmarkStart w:id="1082" w:name="Tc_ySaCGUZ7MkGA9PbBOoCbow_41_5"/>
      <w:bookmarkStart w:id="1083" w:name="Tc_szC2lCyB7Eig-uWcAPgSOg_41_2"/>
      <w:bookmarkStart w:id="1084" w:name="Tc_lOOADJN7cUKPJzZ-Th0xdw_41_0"/>
      <w:bookmarkStart w:id="1085" w:name="Tc_CZYPVNcUNk66YEB6yYUpMQ_40_5"/>
      <w:bookmarkStart w:id="1086" w:name="Tc__6WV99ZkKkygJFXS5RqfSg_40_3"/>
      <w:bookmarkStart w:id="1087" w:name="Tc_b_zzER6-XUetbqX73-LQ8Q_40_2"/>
      <w:bookmarkStart w:id="1088" w:name="Tc_Ki_azyJsB0GUKdnTsNk1hQ_40_0"/>
      <w:bookmarkStart w:id="1089" w:name="Tc_hqRkOSK8QUWXVfDQtzFq8w_39_0"/>
      <w:bookmarkStart w:id="1090" w:name="Tc_NM66tHRry0mKUfvpEZFkvg_37_6"/>
      <w:bookmarkStart w:id="1091" w:name="Tc_UlTks-SaE0qzpiy2pg68kQ_37_5"/>
      <w:bookmarkStart w:id="1092" w:name="Tc_jX3bvD5UtUur8CKzvzteaQ_37_3"/>
      <w:bookmarkStart w:id="1093" w:name="Tc_yb8N0SQk60ufwHGpqgeb1Q_37_2"/>
      <w:bookmarkStart w:id="1094" w:name="Tc_N2VuMlgRtEWUJ7tWyOa9vw_37_0"/>
      <w:bookmarkStart w:id="1095" w:name="Tc_gKvt4MYXzUG5veiWh2Q8pg_36_6"/>
      <w:bookmarkStart w:id="1096" w:name="Tc_UGCncqd32EetttCvQoBaqw_36_5"/>
      <w:bookmarkStart w:id="1097" w:name="Tc_caLHMrKVOUSyjXaX1ifSmA_36_3"/>
      <w:bookmarkStart w:id="1098" w:name="Tc_9cEXNPuTGka18KxnF2v7BA_36_2"/>
      <w:bookmarkStart w:id="1099" w:name="Tc_6qkeNH6F3EWpPNroGnvCJg_36_0"/>
      <w:bookmarkStart w:id="1100" w:name="Tc_5A25rTdPGUqVNuFXrcBCsg_35_0"/>
      <w:bookmarkStart w:id="1101" w:name="Tc_PABOhOM3lk6xbBPrGpGoVg_33_5"/>
      <w:bookmarkStart w:id="1102" w:name="Tc_o-DJXGNPJUyBSyoMrWEwsA_33_2"/>
      <w:bookmarkStart w:id="1103" w:name="Tc_7aWbJjX8lU6sfdIrZ9vorw_33_0"/>
      <w:bookmarkStart w:id="1104" w:name="Tc_bDsaw6YL-E6thubtw5Djyg_32_6"/>
      <w:bookmarkStart w:id="1105" w:name="Tc_zX0tT6QLKkKaXzKQBvhGRQ_32_0"/>
      <w:bookmarkStart w:id="1106" w:name="Tc_btlAL1BSDE2VTuUhYkuYQg_31_0"/>
      <w:bookmarkStart w:id="1107" w:name="Tc_MMJkkrz6iEGhks5520ZUXg_30_0"/>
      <w:bookmarkStart w:id="1108" w:name="Tc_pG3q6LPC40-N61Tc3se1qA_29_0"/>
      <w:bookmarkStart w:id="1109" w:name="Tc_QPvkYtjDx0OPIB4MCjRNCg_28_6"/>
      <w:bookmarkStart w:id="1110" w:name="Tc_JtAo_R0dSUyl0Csj7j55ww_28_0"/>
      <w:bookmarkStart w:id="1111" w:name="Tc_JwpxAM0tLEGNSM9-7--t6A_27_6"/>
      <w:bookmarkStart w:id="1112" w:name="Tc_wxrOjbQC3ESgli1YcyQPSQ_27_0"/>
      <w:bookmarkStart w:id="1113" w:name="Tc_NagOBEscC0mOppIRLK0GGQ_26_6"/>
      <w:bookmarkStart w:id="1114" w:name="Tc_QDve2MGB1UiLO5Bd6FM6zQ_26_0"/>
      <w:bookmarkStart w:id="1115" w:name="Tc_O5FX3ZFF4EaW_tbJmwSrbA_25_6"/>
      <w:bookmarkStart w:id="1116" w:name="Tc_zDHR0HnVvkGl83NJOPbUSQ_25_0"/>
      <w:bookmarkStart w:id="1117" w:name="Tc_ILS_W97pg0agGPwL0rMcGA_24_3"/>
      <w:bookmarkStart w:id="1118" w:name="Tc_hTgPtmMMi0GruKce3mEs5w_24_0"/>
      <w:bookmarkStart w:id="1119" w:name="Tc_UxmT3v9y6EecsVx71i6p6w_23_0"/>
      <w:bookmarkStart w:id="1120" w:name="Tc_0qX-B8EnuUCaPCQjDV1iIw_22_0"/>
      <w:bookmarkStart w:id="1121" w:name="Tc_VCwlyI404UWyT5dWVQOcRw_21_0"/>
      <w:bookmarkStart w:id="1122" w:name="Tc_x9e2BCFKXkaxdnrYP9diWA_20_0"/>
      <w:bookmarkStart w:id="1123" w:name="Tc_M1JNlDcTQUmXKZPz9ZdwWA_19_0"/>
      <w:bookmarkStart w:id="1124" w:name="Tc_tkCpVGnuUUSSgcb-azrNag_18_0"/>
      <w:bookmarkStart w:id="1125" w:name="Tc_lvkS0hXmg02l3m3q-5Z6Ng_17_0"/>
      <w:bookmarkStart w:id="1126" w:name="Tc_fJp2C5lvtEuJpVKSvGG_kA_16_0"/>
      <w:bookmarkStart w:id="1127" w:name="Tc_NBSLad1TTkCF5NVY7ZCjaA_15_0"/>
      <w:bookmarkStart w:id="1128" w:name="Tc_YZ7YdXpbt0qV67VDHc6hSQ_14_6"/>
      <w:bookmarkStart w:id="1129" w:name="Tc_hJmgL3oTs0OTPKmH1ebk5A_14_0"/>
      <w:bookmarkStart w:id="1130" w:name="Tc_32QHCSQaZUi5Y-SiSfmZgg_13_6"/>
      <w:bookmarkStart w:id="1131" w:name="Tc_uyz1JAEL_UevmFCcU7Apeg_13_0"/>
      <w:bookmarkStart w:id="1132" w:name="Tc_EovzIzh1Z066QBaRgmcOkg_12_6"/>
      <w:bookmarkStart w:id="1133" w:name="Tc_YZBcC-4byEyk1EUZ3qnr3g_12_0"/>
      <w:bookmarkStart w:id="1134" w:name="Tc_bWL51-oxdkiq3qAIFX16qw_11_0"/>
      <w:bookmarkStart w:id="1135" w:name="Tc_dxxgER1RnkaygO8yKpSbkA_10_6"/>
      <w:bookmarkStart w:id="1136" w:name="Tc_JrxZA0FKDkGTCJl2ICaelw_10_0"/>
      <w:bookmarkStart w:id="1137" w:name="Tc_-TMrCIEZd0ikP6bJjnisKA_9_0"/>
      <w:bookmarkStart w:id="1138" w:name="Tc_VSh0w6nIukSRO-AdyQiBJg_8_0"/>
      <w:bookmarkStart w:id="1139" w:name="Tc_G7NvXDU6gEuUNF1fBoKwUA_7_5"/>
      <w:bookmarkStart w:id="1140" w:name="Tc_G_crt_n8Z06JzNtZTWrt7g_7_2"/>
      <w:bookmarkStart w:id="1141" w:name="Tc_kSiEpmze3kGrf6M6KiJ9ag_7_0"/>
      <w:bookmarkStart w:id="1142" w:name="Tc_H4QkauQ9R0OpvgHhmD6D5w_6_0"/>
      <w:bookmarkStart w:id="1143" w:name="Tc_h5oFeyte00iok5eyeilwzA_5_5"/>
      <w:bookmarkStart w:id="1144" w:name="Tc_yNtf1kPVCkWArCdSfe4r-w_5_2"/>
      <w:bookmarkStart w:id="1145" w:name="Tc_C4pM-Ypw_kqZ5YLqD-EJag_4_5"/>
      <w:bookmarkStart w:id="1146" w:name="Tc_9dYsB3gMrE6RpyZrQGR7ZA_4_2"/>
      <w:bookmarkStart w:id="1147" w:name="Tc_dn6-_jDT8EKVOYX_LQvFQQ_3_5"/>
      <w:bookmarkStart w:id="1148" w:name="Tc_SVDhmDAW3USumubpIlCoCA_3_2"/>
      <w:bookmarkStart w:id="1149" w:name="Tc_NV7WC07G9kCGFu7YglPqEw_2_5"/>
      <w:bookmarkStart w:id="1150" w:name="Tc_lnI2htj2CkaGBf_5q7D7_g_2_2"/>
      <w:bookmarkStart w:id="1151" w:name="Tc_9s9kLol7yk-xCe1Hi4kOPQ_1_5"/>
      <w:bookmarkStart w:id="1152" w:name="_b3aa5ec4_266d_46aa_86d6_b64dea72f7f8"/>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p>
    <w:tbl>
      <w:tblPr>
        <w:tblW w:w="10205" w:type="dxa"/>
        <w:jc w:val="left"/>
        <w:tblInd w:w="0" w:type="dxa"/>
        <w:tblLayout w:type="fixed"/>
        <w:tblCellMar>
          <w:top w:w="0" w:type="dxa"/>
          <w:left w:w="0" w:type="dxa"/>
          <w:bottom w:w="0" w:type="dxa"/>
          <w:right w:w="0" w:type="dxa"/>
        </w:tblCellMar>
      </w:tblPr>
      <w:tblGrid>
        <w:gridCol w:w="6593"/>
        <w:gridCol w:w="326"/>
        <w:gridCol w:w="264"/>
        <w:gridCol w:w="908"/>
        <w:gridCol w:w="326"/>
        <w:gridCol w:w="415"/>
        <w:gridCol w:w="1373"/>
      </w:tblGrid>
      <w:tr>
        <w:trPr/>
        <w:tc>
          <w:tcPr>
            <w:tcW w:w="6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186555" cy="175260"/>
                      <wp:effectExtent l="0" t="0" r="0" b="0"/>
                      <wp:wrapNone/>
                      <wp:docPr id="77" name="Frame77"/>
                      <a:graphic xmlns:a="http://schemas.openxmlformats.org/drawingml/2006/main">
                        <a:graphicData uri="http://schemas.microsoft.com/office/word/2010/wordprocessingShape">
                          <wps:wsp>
                            <wps:cNvSpPr txBox="1"/>
                            <wps:spPr>
                              <a:xfrm>
                                <a:off x="0" y="0"/>
                                <a:ext cx="4186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67640" cy="175260"/>
                      <wp:effectExtent l="0" t="0" r="0" b="0"/>
                      <wp:wrapNone/>
                      <wp:docPr id="79" name="Frame79"/>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76580" cy="175260"/>
                      <wp:effectExtent l="0" t="0" r="0" b="0"/>
                      <wp:wrapNone/>
                      <wp:docPr id="80" name="Frame80"/>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63525" cy="175260"/>
                      <wp:effectExtent l="0" t="0" r="0" b="0"/>
                      <wp:wrapNone/>
                      <wp:docPr id="82" name="Frame82"/>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871855" cy="175260"/>
                      <wp:effectExtent l="0" t="0" r="0" b="0"/>
                      <wp:wrapNone/>
                      <wp:docPr id="83" name="Frame83"/>
                      <a:graphic xmlns:a="http://schemas.openxmlformats.org/drawingml/2006/main">
                        <a:graphicData uri="http://schemas.microsoft.com/office/word/2010/wordprocessingShape">
                          <wps:wsp>
                            <wps:cNvSpPr txBox="1"/>
                            <wps:spPr>
                              <a:xfrm>
                                <a:off x="0" y="0"/>
                                <a:ext cx="871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5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64" w:type="dxa"/>
            <w:tcBorders/>
            <w:vAlign w:val="center"/>
          </w:tcPr>
          <w:p>
            <w:pPr>
              <w:pStyle w:val="TableContents"/>
              <w:bidi w:val="0"/>
              <w:spacing w:before="0" w:after="1"/>
              <w:ind w:left="0" w:right="0" w:hanging="0"/>
              <w:jc w:val="center"/>
              <w:rPr/>
            </w:pPr>
            <w:r>
              <w:rPr/>
              <w:t>​</w:t>
            </w:r>
          </w:p>
        </w:tc>
        <w:tc>
          <w:tcPr>
            <w:tcW w:w="90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788" w:type="dxa"/>
            <w:gridSpan w:val="2"/>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b/>
                <w:sz w:val="18"/>
              </w:rPr>
              <w:t>For the Period from</w:t>
            </w:r>
            <w:r>
              <w:rPr>
                <w:rFonts w:ascii="Times New Roman;Times;serif" w:hAnsi="Times New Roman;Times;serif"/>
                <w:sz w:val="18"/>
              </w:rPr>
              <w:t> </w:t>
            </w:r>
          </w:p>
        </w:tc>
      </w:tr>
      <w:tr>
        <w:trPr/>
        <w:tc>
          <w:tcPr>
            <w:tcW w:w="65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7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For the Nine </w:t>
            </w:r>
          </w:p>
        </w:tc>
        <w:tc>
          <w:tcPr>
            <w:tcW w:w="326" w:type="dxa"/>
            <w:tcBorders/>
            <w:vAlign w:val="center"/>
          </w:tcPr>
          <w:p>
            <w:pPr>
              <w:pStyle w:val="TableContents"/>
              <w:bidi w:val="0"/>
              <w:spacing w:before="0" w:after="1"/>
              <w:ind w:left="0" w:right="0" w:hanging="0"/>
              <w:jc w:val="center"/>
              <w:rPr/>
            </w:pPr>
            <w:r>
              <w:rPr/>
              <w:t>​</w:t>
            </w:r>
          </w:p>
        </w:tc>
        <w:tc>
          <w:tcPr>
            <w:tcW w:w="1788" w:type="dxa"/>
            <w:gridSpan w:val="2"/>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b/>
                <w:sz w:val="18"/>
              </w:rPr>
              <w:t>January 18, 2022</w:t>
            </w:r>
            <w:r>
              <w:rPr>
                <w:rFonts w:ascii="Times New Roman;Times;serif" w:hAnsi="Times New Roman;Times;serif"/>
                <w:sz w:val="18"/>
              </w:rPr>
              <w:t> </w:t>
            </w:r>
          </w:p>
        </w:tc>
      </w:tr>
      <w:tr>
        <w:trPr/>
        <w:tc>
          <w:tcPr>
            <w:tcW w:w="65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7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Months Ended </w:t>
            </w:r>
          </w:p>
        </w:tc>
        <w:tc>
          <w:tcPr>
            <w:tcW w:w="326" w:type="dxa"/>
            <w:tcBorders/>
            <w:vAlign w:val="center"/>
          </w:tcPr>
          <w:p>
            <w:pPr>
              <w:pStyle w:val="TableContents"/>
              <w:bidi w:val="0"/>
              <w:spacing w:before="0" w:after="1"/>
              <w:ind w:left="0" w:right="0" w:hanging="0"/>
              <w:jc w:val="center"/>
              <w:rPr/>
            </w:pPr>
            <w:r>
              <w:rPr/>
              <w:t>​</w:t>
            </w:r>
          </w:p>
        </w:tc>
        <w:tc>
          <w:tcPr>
            <w:tcW w:w="1788" w:type="dxa"/>
            <w:gridSpan w:val="2"/>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b/>
                <w:sz w:val="18"/>
              </w:rPr>
              <w:t>(date of inception) to</w:t>
            </w:r>
            <w:r>
              <w:rPr>
                <w:rFonts w:ascii="Times New Roman;Times;serif" w:hAnsi="Times New Roman;Times;serif"/>
                <w:sz w:val="18"/>
              </w:rPr>
              <w:t> </w:t>
            </w:r>
          </w:p>
        </w:tc>
      </w:tr>
      <w:tr>
        <w:trPr/>
        <w:tc>
          <w:tcPr>
            <w:tcW w:w="65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7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w:t>
            </w:r>
          </w:p>
        </w:tc>
        <w:tc>
          <w:tcPr>
            <w:tcW w:w="326" w:type="dxa"/>
            <w:tcBorders/>
            <w:vAlign w:val="center"/>
          </w:tcPr>
          <w:p>
            <w:pPr>
              <w:pStyle w:val="TableContents"/>
              <w:bidi w:val="0"/>
              <w:spacing w:before="0" w:after="1"/>
              <w:ind w:left="0" w:right="0" w:hanging="0"/>
              <w:jc w:val="center"/>
              <w:rPr/>
            </w:pPr>
            <w:r>
              <w:rPr/>
              <w:t>​</w:t>
            </w:r>
          </w:p>
        </w:tc>
        <w:tc>
          <w:tcPr>
            <w:tcW w:w="1788"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w:t>
            </w:r>
          </w:p>
        </w:tc>
      </w:tr>
      <w:tr>
        <w:trPr/>
        <w:tc>
          <w:tcPr>
            <w:tcW w:w="65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1"/>
              <w:ind w:left="0" w:right="0" w:hanging="0"/>
              <w:jc w:val="center"/>
              <w:rPr/>
            </w:pPr>
            <w:r>
              <w:rPr/>
              <w:t>    </w:t>
            </w:r>
          </w:p>
        </w:tc>
        <w:tc>
          <w:tcPr>
            <w:tcW w:w="17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r>
      <w:tr>
        <w:trPr/>
        <w:tc>
          <w:tcPr>
            <w:tcW w:w="6593"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64"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1373" w:type="dxa"/>
            <w:tcBorders/>
            <w:shd w:fill="CCEEFF" w:val="clear"/>
            <w:vAlign w:val="center"/>
          </w:tcPr>
          <w:p>
            <w:pPr>
              <w:pStyle w:val="TableContents"/>
              <w:bidi w:val="0"/>
              <w:spacing w:before="0" w:after="1"/>
              <w:ind w:left="0" w:right="0" w:hanging="0"/>
              <w:jc w:val="right"/>
              <w:rPr/>
            </w:pPr>
            <w:r>
              <w:rPr/>
              <w:t>  </w:t>
            </w:r>
          </w:p>
        </w:tc>
      </w:tr>
      <w:tr>
        <w:trPr/>
        <w:tc>
          <w:tcPr>
            <w:tcW w:w="65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 before redeemable noncontrolling interest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(52,090)</w:t>
            </w:r>
          </w:p>
        </w:tc>
        <w:tc>
          <w:tcPr>
            <w:tcW w:w="32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(9,846)</w:t>
            </w:r>
          </w:p>
        </w:tc>
      </w:tr>
      <w:tr>
        <w:trPr/>
        <w:tc>
          <w:tcPr>
            <w:tcW w:w="659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 </w:t>
            </w:r>
          </w:p>
        </w:tc>
        <w:tc>
          <w:tcPr>
            <w:tcW w:w="1373" w:type="dxa"/>
            <w:tcBorders/>
            <w:shd w:fill="CCEEFF" w:val="clear"/>
            <w:vAlign w:val="center"/>
          </w:tcPr>
          <w:p>
            <w:pPr>
              <w:pStyle w:val="TableContents"/>
              <w:bidi w:val="0"/>
              <w:spacing w:before="0" w:after="1"/>
              <w:ind w:left="0" w:right="0" w:hanging="0"/>
              <w:jc w:val="right"/>
              <w:rPr/>
            </w:pPr>
            <w:r>
              <w:rPr/>
              <w:t>​</w:t>
            </w:r>
          </w:p>
        </w:tc>
      </w:tr>
      <w:tr>
        <w:trPr/>
        <w:tc>
          <w:tcPr>
            <w:tcW w:w="65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Research and development acquired license</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27,381</w:t>
            </w:r>
          </w:p>
        </w:tc>
        <w:tc>
          <w:tcPr>
            <w:tcW w:w="32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 </w:t>
            </w:r>
          </w:p>
        </w:tc>
        <w:tc>
          <w:tcPr>
            <w:tcW w:w="13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7,500</w:t>
            </w:r>
          </w:p>
        </w:tc>
      </w:tr>
      <w:tr>
        <w:trPr/>
        <w:tc>
          <w:tcPr>
            <w:tcW w:w="659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Anti-dilution share issuance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2,186</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1373" w:type="dxa"/>
            <w:tcBorders/>
            <w:shd w:fill="CCEEFF" w:val="clear"/>
            <w:vAlign w:val="center"/>
          </w:tcPr>
          <w:p>
            <w:pPr>
              <w:pStyle w:val="TableContents"/>
              <w:bidi w:val="0"/>
              <w:spacing w:before="0" w:after="1"/>
              <w:ind w:left="0" w:right="0" w:hanging="0"/>
              <w:jc w:val="right"/>
              <w:rPr/>
            </w:pPr>
            <w:r>
              <w:rPr/>
              <w:t>—</w:t>
            </w:r>
          </w:p>
        </w:tc>
      </w:tr>
      <w:tr>
        <w:trPr/>
        <w:tc>
          <w:tcPr>
            <w:tcW w:w="65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Share-based compensation expense</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5,075</w:t>
            </w:r>
          </w:p>
        </w:tc>
        <w:tc>
          <w:tcPr>
            <w:tcW w:w="32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 </w:t>
            </w:r>
          </w:p>
        </w:tc>
        <w:tc>
          <w:tcPr>
            <w:tcW w:w="13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321</w:t>
            </w:r>
          </w:p>
        </w:tc>
      </w:tr>
      <w:tr>
        <w:trPr/>
        <w:tc>
          <w:tcPr>
            <w:tcW w:w="659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note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2,244</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 </w:t>
            </w:r>
          </w:p>
        </w:tc>
        <w:tc>
          <w:tcPr>
            <w:tcW w:w="1373" w:type="dxa"/>
            <w:tcBorders/>
            <w:shd w:fill="CCEEFF" w:val="clear"/>
            <w:vAlign w:val="center"/>
          </w:tcPr>
          <w:p>
            <w:pPr>
              <w:pStyle w:val="TableContents"/>
              <w:bidi w:val="0"/>
              <w:spacing w:before="0" w:after="1"/>
              <w:ind w:left="0" w:right="0" w:hanging="0"/>
              <w:jc w:val="right"/>
              <w:rPr/>
            </w:pPr>
            <w:r>
              <w:rPr/>
              <w:t>—</w:t>
            </w:r>
          </w:p>
        </w:tc>
      </w:tr>
      <w:tr>
        <w:trPr/>
        <w:tc>
          <w:tcPr>
            <w:tcW w:w="65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share-based payment liability</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1,854</w:t>
            </w:r>
          </w:p>
        </w:tc>
        <w:tc>
          <w:tcPr>
            <w:tcW w:w="32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 </w:t>
            </w:r>
          </w:p>
        </w:tc>
        <w:tc>
          <w:tcPr>
            <w:tcW w:w="1373" w:type="dxa"/>
            <w:tcBorders/>
            <w:vAlign w:val="center"/>
          </w:tcPr>
          <w:p>
            <w:pPr>
              <w:pStyle w:val="TableContents"/>
              <w:bidi w:val="0"/>
              <w:spacing w:before="0" w:after="1"/>
              <w:ind w:left="0" w:right="0" w:hanging="0"/>
              <w:jc w:val="right"/>
              <w:rPr/>
            </w:pPr>
            <w:r>
              <w:rPr/>
              <w:t>—</w:t>
            </w:r>
          </w:p>
        </w:tc>
      </w:tr>
      <w:tr>
        <w:trPr/>
        <w:tc>
          <w:tcPr>
            <w:tcW w:w="659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private placement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 </w:t>
            </w:r>
          </w:p>
        </w:tc>
        <w:tc>
          <w:tcPr>
            <w:tcW w:w="1373" w:type="dxa"/>
            <w:tcBorders/>
            <w:shd w:fill="CCEEFF" w:val="clear"/>
            <w:vAlign w:val="center"/>
          </w:tcPr>
          <w:p>
            <w:pPr>
              <w:pStyle w:val="TableContents"/>
              <w:bidi w:val="0"/>
              <w:spacing w:before="0" w:after="1"/>
              <w:ind w:left="0" w:right="0" w:hanging="0"/>
              <w:jc w:val="right"/>
              <w:rPr/>
            </w:pPr>
            <w:r>
              <w:rPr/>
              <w:t>—</w:t>
            </w:r>
          </w:p>
        </w:tc>
      </w:tr>
      <w:tr>
        <w:trPr/>
        <w:tc>
          <w:tcPr>
            <w:tcW w:w="65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exchange transaction loss</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c>
          <w:tcPr>
            <w:tcW w:w="32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 </w:t>
            </w:r>
          </w:p>
        </w:tc>
        <w:tc>
          <w:tcPr>
            <w:tcW w:w="13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r>
      <w:tr>
        <w:trPr/>
        <w:tc>
          <w:tcPr>
            <w:tcW w:w="659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 </w:t>
            </w:r>
          </w:p>
        </w:tc>
        <w:tc>
          <w:tcPr>
            <w:tcW w:w="1373" w:type="dxa"/>
            <w:tcBorders/>
            <w:shd w:fill="CCEEFF" w:val="clear"/>
            <w:vAlign w:val="center"/>
          </w:tcPr>
          <w:p>
            <w:pPr>
              <w:pStyle w:val="TableContents"/>
              <w:bidi w:val="0"/>
              <w:spacing w:before="0" w:after="1"/>
              <w:ind w:left="0" w:right="0" w:hanging="0"/>
              <w:jc w:val="right"/>
              <w:rPr/>
            </w:pPr>
            <w:r>
              <w:rPr/>
              <w:t>​</w:t>
            </w:r>
          </w:p>
        </w:tc>
      </w:tr>
      <w:tr>
        <w:trPr/>
        <w:tc>
          <w:tcPr>
            <w:tcW w:w="65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(524)</w:t>
            </w:r>
          </w:p>
        </w:tc>
        <w:tc>
          <w:tcPr>
            <w:tcW w:w="32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 </w:t>
            </w:r>
          </w:p>
        </w:tc>
        <w:tc>
          <w:tcPr>
            <w:tcW w:w="13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w:t>
            </w:r>
          </w:p>
        </w:tc>
      </w:tr>
      <w:tr>
        <w:trPr/>
        <w:tc>
          <w:tcPr>
            <w:tcW w:w="659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 and accrued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2,631</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637</w:t>
            </w:r>
          </w:p>
        </w:tc>
      </w:tr>
      <w:tr>
        <w:trPr/>
        <w:tc>
          <w:tcPr>
            <w:tcW w:w="65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operating activities</w:t>
            </w:r>
          </w:p>
        </w:tc>
        <w:tc>
          <w:tcPr>
            <w:tcW w:w="32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(11,001)</w:t>
            </w:r>
          </w:p>
        </w:tc>
        <w:tc>
          <w:tcPr>
            <w:tcW w:w="326" w:type="dxa"/>
            <w:tcBorders/>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(1,593)</w:t>
            </w:r>
          </w:p>
        </w:tc>
      </w:tr>
      <w:tr>
        <w:trPr/>
        <w:tc>
          <w:tcPr>
            <w:tcW w:w="6593"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 </w:t>
            </w:r>
          </w:p>
        </w:tc>
        <w:tc>
          <w:tcPr>
            <w:tcW w:w="1373" w:type="dxa"/>
            <w:tcBorders/>
            <w:shd w:fill="CCEEFF" w:val="clear"/>
            <w:vAlign w:val="center"/>
          </w:tcPr>
          <w:p>
            <w:pPr>
              <w:pStyle w:val="TableContents"/>
              <w:bidi w:val="0"/>
              <w:spacing w:before="0" w:after="1"/>
              <w:ind w:left="0" w:right="0" w:hanging="0"/>
              <w:jc w:val="right"/>
              <w:rPr/>
            </w:pPr>
            <w:r>
              <w:rPr/>
              <w:t>​</w:t>
            </w:r>
          </w:p>
        </w:tc>
      </w:tr>
      <w:tr>
        <w:trPr/>
        <w:tc>
          <w:tcPr>
            <w:tcW w:w="65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of research and development license</w:t>
            </w:r>
          </w:p>
        </w:tc>
        <w:tc>
          <w:tcPr>
            <w:tcW w:w="32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(8,000)</w:t>
            </w:r>
          </w:p>
        </w:tc>
        <w:tc>
          <w:tcPr>
            <w:tcW w:w="326" w:type="dxa"/>
            <w:tcBorders/>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(5,000)</w:t>
            </w:r>
          </w:p>
        </w:tc>
      </w:tr>
      <w:tr>
        <w:trPr/>
        <w:tc>
          <w:tcPr>
            <w:tcW w:w="659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(8,000)</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(5,000)</w:t>
            </w:r>
          </w:p>
        </w:tc>
      </w:tr>
      <w:tr>
        <w:trPr/>
        <w:tc>
          <w:tcPr>
            <w:tcW w:w="6593"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1373" w:type="dxa"/>
            <w:tcBorders/>
            <w:vAlign w:val="center"/>
          </w:tcPr>
          <w:p>
            <w:pPr>
              <w:pStyle w:val="TableContents"/>
              <w:bidi w:val="0"/>
              <w:spacing w:before="0" w:after="1"/>
              <w:ind w:left="0" w:right="0" w:hanging="0"/>
              <w:jc w:val="right"/>
              <w:rPr/>
            </w:pPr>
            <w:r>
              <w:rPr/>
              <w:t>​</w:t>
            </w:r>
          </w:p>
        </w:tc>
      </w:tr>
      <w:tr>
        <w:trPr/>
        <w:tc>
          <w:tcPr>
            <w:tcW w:w="659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issuance of Series A-1 convertible preferred shares</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13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10,000</w:t>
            </w:r>
          </w:p>
        </w:tc>
      </w:tr>
      <w:tr>
        <w:trPr/>
        <w:tc>
          <w:tcPr>
            <w:tcW w:w="65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issuance of Ordinary Shares in connection with April 2023 Private Placement, net of $4.2 million of transaction costs</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59,724</w:t>
            </w:r>
          </w:p>
        </w:tc>
        <w:tc>
          <w:tcPr>
            <w:tcW w:w="32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 </w:t>
            </w:r>
          </w:p>
        </w:tc>
        <w:tc>
          <w:tcPr>
            <w:tcW w:w="1373" w:type="dxa"/>
            <w:tcBorders/>
            <w:vAlign w:val="center"/>
          </w:tcPr>
          <w:p>
            <w:pPr>
              <w:pStyle w:val="TableContents"/>
              <w:bidi w:val="0"/>
              <w:spacing w:before="0" w:after="1"/>
              <w:ind w:left="0" w:right="0" w:hanging="0"/>
              <w:jc w:val="right"/>
              <w:rPr/>
            </w:pPr>
            <w:r>
              <w:rPr/>
              <w:t>—</w:t>
            </w:r>
          </w:p>
        </w:tc>
      </w:tr>
      <w:tr>
        <w:trPr/>
        <w:tc>
          <w:tcPr>
            <w:tcW w:w="659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issuance of Class A Ordinary Shares upon Closing of Business Combination</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56,683</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1373" w:type="dxa"/>
            <w:tcBorders/>
            <w:shd w:fill="CCEEFF" w:val="clear"/>
            <w:vAlign w:val="center"/>
          </w:tcPr>
          <w:p>
            <w:pPr>
              <w:pStyle w:val="TableContents"/>
              <w:bidi w:val="0"/>
              <w:spacing w:before="0" w:after="1"/>
              <w:ind w:left="0" w:right="0" w:hanging="0"/>
              <w:jc w:val="right"/>
              <w:rPr/>
            </w:pPr>
            <w:r>
              <w:rPr/>
              <w:t>—</w:t>
            </w:r>
          </w:p>
        </w:tc>
      </w:tr>
      <w:tr>
        <w:trPr/>
        <w:tc>
          <w:tcPr>
            <w:tcW w:w="65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issuance of Pre-Funded Warrants in connection with April 2023 Private Placement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16,070</w:t>
            </w:r>
          </w:p>
        </w:tc>
        <w:tc>
          <w:tcPr>
            <w:tcW w:w="32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1373" w:type="dxa"/>
            <w:tcBorders/>
            <w:vAlign w:val="center"/>
          </w:tcPr>
          <w:p>
            <w:pPr>
              <w:pStyle w:val="TableContents"/>
              <w:bidi w:val="0"/>
              <w:spacing w:before="0" w:after="1"/>
              <w:ind w:left="0" w:right="0" w:hanging="0"/>
              <w:jc w:val="right"/>
              <w:rPr/>
            </w:pPr>
            <w:r>
              <w:rPr/>
              <w:t>—</w:t>
            </w:r>
          </w:p>
        </w:tc>
      </w:tr>
      <w:tr>
        <w:trPr/>
        <w:tc>
          <w:tcPr>
            <w:tcW w:w="659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Settlement of note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(10,000)</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1373" w:type="dxa"/>
            <w:tcBorders/>
            <w:shd w:fill="CCEEFF" w:val="clear"/>
            <w:vAlign w:val="center"/>
          </w:tcPr>
          <w:p>
            <w:pPr>
              <w:pStyle w:val="TableContents"/>
              <w:bidi w:val="0"/>
              <w:spacing w:before="0" w:after="1"/>
              <w:ind w:left="0" w:right="0" w:hanging="0"/>
              <w:jc w:val="right"/>
              <w:rPr/>
            </w:pPr>
            <w:r>
              <w:rPr/>
              <w:t>—</w:t>
            </w:r>
          </w:p>
        </w:tc>
      </w:tr>
      <w:tr>
        <w:trPr/>
        <w:tc>
          <w:tcPr>
            <w:tcW w:w="65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Payment of deferred transaction costs</w:t>
            </w:r>
          </w:p>
        </w:tc>
        <w:tc>
          <w:tcPr>
            <w:tcW w:w="32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(1,184)</w:t>
            </w:r>
          </w:p>
        </w:tc>
        <w:tc>
          <w:tcPr>
            <w:tcW w:w="326" w:type="dxa"/>
            <w:tcBorders/>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(358)</w:t>
            </w:r>
          </w:p>
        </w:tc>
      </w:tr>
      <w:tr>
        <w:trPr/>
        <w:tc>
          <w:tcPr>
            <w:tcW w:w="659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provided by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121,293</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9,642</w:t>
            </w:r>
          </w:p>
        </w:tc>
      </w:tr>
      <w:tr>
        <w:trPr/>
        <w:tc>
          <w:tcPr>
            <w:tcW w:w="65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increase in cash and cash equivalents</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102,292</w:t>
            </w:r>
          </w:p>
        </w:tc>
        <w:tc>
          <w:tcPr>
            <w:tcW w:w="32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13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3,049</w:t>
            </w:r>
          </w:p>
        </w:tc>
      </w:tr>
      <w:tr>
        <w:trPr/>
        <w:tc>
          <w:tcPr>
            <w:tcW w:w="659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1,567</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5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 ending of period</w:t>
            </w:r>
          </w:p>
        </w:tc>
        <w:tc>
          <w:tcPr>
            <w:tcW w:w="326" w:type="dxa"/>
            <w:tcBorders/>
            <w:vAlign w:val="center"/>
          </w:tcPr>
          <w:p>
            <w:pPr>
              <w:pStyle w:val="TableContents"/>
              <w:bidi w:val="0"/>
              <w:spacing w:before="0" w:after="1"/>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103,859</w:t>
            </w:r>
          </w:p>
        </w:tc>
        <w:tc>
          <w:tcPr>
            <w:tcW w:w="326" w:type="dxa"/>
            <w:tcBorders/>
            <w:vAlign w:val="center"/>
          </w:tcPr>
          <w:p>
            <w:pPr>
              <w:pStyle w:val="TableContents"/>
              <w:bidi w:val="0"/>
              <w:spacing w:before="0" w:after="1"/>
              <w:ind w:left="0" w:right="0" w:hanging="0"/>
              <w:jc w:val="left"/>
              <w:rPr/>
            </w:pPr>
            <w:r>
              <w:rPr/>
              <w:t>​</w:t>
            </w:r>
          </w:p>
        </w:tc>
        <w:tc>
          <w:tcPr>
            <w:tcW w:w="4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3,049</w:t>
            </w:r>
          </w:p>
        </w:tc>
      </w:tr>
      <w:tr>
        <w:trPr/>
        <w:tc>
          <w:tcPr>
            <w:tcW w:w="659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1373" w:type="dxa"/>
            <w:tcBorders/>
            <w:shd w:fill="CCEEFF" w:val="clear"/>
            <w:vAlign w:val="center"/>
          </w:tcPr>
          <w:p>
            <w:pPr>
              <w:pStyle w:val="TableContents"/>
              <w:bidi w:val="0"/>
              <w:spacing w:before="0" w:after="1"/>
              <w:ind w:left="0" w:right="0" w:hanging="0"/>
              <w:jc w:val="left"/>
              <w:rPr/>
            </w:pPr>
            <w:r>
              <w:rPr/>
              <w:t>​</w:t>
            </w:r>
          </w:p>
        </w:tc>
      </w:tr>
      <w:tr>
        <w:trPr/>
        <w:tc>
          <w:tcPr>
            <w:tcW w:w="6593"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Supplemental Disclosure</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1373" w:type="dxa"/>
            <w:tcBorders/>
            <w:vAlign w:val="center"/>
          </w:tcPr>
          <w:p>
            <w:pPr>
              <w:pStyle w:val="TableContents"/>
              <w:bidi w:val="0"/>
              <w:spacing w:before="0" w:after="1"/>
              <w:ind w:left="0" w:right="0" w:hanging="0"/>
              <w:jc w:val="left"/>
              <w:rPr/>
            </w:pPr>
            <w:r>
              <w:rPr/>
              <w:t>​</w:t>
            </w:r>
          </w:p>
        </w:tc>
      </w:tr>
      <w:tr>
        <w:trPr/>
        <w:tc>
          <w:tcPr>
            <w:tcW w:w="659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paid for taxes</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73" w:type="dxa"/>
            <w:tcBorders/>
            <w:shd w:fill="CCEEFF" w:val="clear"/>
            <w:vAlign w:val="center"/>
          </w:tcPr>
          <w:p>
            <w:pPr>
              <w:pStyle w:val="TableContents"/>
              <w:bidi w:val="0"/>
              <w:spacing w:before="0" w:after="1"/>
              <w:ind w:left="0" w:right="0" w:hanging="0"/>
              <w:jc w:val="right"/>
              <w:rPr/>
            </w:pPr>
            <w:r>
              <w:rPr/>
              <w:t>—</w:t>
            </w:r>
          </w:p>
        </w:tc>
      </w:tr>
      <w:tr>
        <w:trPr/>
        <w:tc>
          <w:tcPr>
            <w:tcW w:w="65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paid for interest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73" w:type="dxa"/>
            <w:tcBorders/>
            <w:vAlign w:val="center"/>
          </w:tcPr>
          <w:p>
            <w:pPr>
              <w:pStyle w:val="TableContents"/>
              <w:bidi w:val="0"/>
              <w:spacing w:before="0" w:after="1"/>
              <w:ind w:left="0" w:right="0" w:hanging="0"/>
              <w:jc w:val="right"/>
              <w:rPr/>
            </w:pPr>
            <w:r>
              <w:rPr/>
              <w:t>—</w:t>
            </w:r>
          </w:p>
        </w:tc>
      </w:tr>
      <w:tr>
        <w:trPr/>
        <w:tc>
          <w:tcPr>
            <w:tcW w:w="659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1373" w:type="dxa"/>
            <w:tcBorders/>
            <w:shd w:fill="CCEEFF" w:val="clear"/>
            <w:vAlign w:val="center"/>
          </w:tcPr>
          <w:p>
            <w:pPr>
              <w:pStyle w:val="TableContents"/>
              <w:bidi w:val="0"/>
              <w:spacing w:before="0" w:after="1"/>
              <w:ind w:left="0" w:right="0" w:hanging="0"/>
              <w:jc w:val="left"/>
              <w:rPr/>
            </w:pPr>
            <w:r>
              <w:rPr/>
              <w:t>​</w:t>
            </w:r>
          </w:p>
        </w:tc>
      </w:tr>
      <w:tr>
        <w:trPr/>
        <w:tc>
          <w:tcPr>
            <w:tcW w:w="6593"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Supplemental Disclosure of Non-Cash Investing and Financing Activities</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1373" w:type="dxa"/>
            <w:tcBorders/>
            <w:vAlign w:val="center"/>
          </w:tcPr>
          <w:p>
            <w:pPr>
              <w:pStyle w:val="TableContents"/>
              <w:bidi w:val="0"/>
              <w:spacing w:before="0" w:after="1"/>
              <w:ind w:left="0" w:right="0" w:hanging="0"/>
              <w:jc w:val="left"/>
              <w:rPr/>
            </w:pPr>
            <w:r>
              <w:rPr/>
              <w:t>​</w:t>
            </w:r>
          </w:p>
        </w:tc>
      </w:tr>
      <w:tr>
        <w:trPr/>
        <w:tc>
          <w:tcPr>
            <w:tcW w:w="659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Issuance of Series A-1 convertible preferred shares for license</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2,500</w:t>
            </w:r>
          </w:p>
        </w:tc>
      </w:tr>
      <w:tr>
        <w:trPr/>
        <w:tc>
          <w:tcPr>
            <w:tcW w:w="65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Conversion of Series A-1 convertible preferred shares for Class A Ordinary Shares</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14,686</w:t>
            </w:r>
          </w:p>
        </w:tc>
        <w:tc>
          <w:tcPr>
            <w:tcW w:w="32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73" w:type="dxa"/>
            <w:tcBorders/>
            <w:vAlign w:val="center"/>
          </w:tcPr>
          <w:p>
            <w:pPr>
              <w:pStyle w:val="TableContents"/>
              <w:bidi w:val="0"/>
              <w:spacing w:before="0" w:after="1"/>
              <w:ind w:left="0" w:right="0" w:hanging="0"/>
              <w:jc w:val="right"/>
              <w:rPr/>
            </w:pPr>
            <w:r>
              <w:rPr/>
              <w:t>—</w:t>
            </w:r>
          </w:p>
        </w:tc>
      </w:tr>
      <w:tr>
        <w:trPr/>
        <w:tc>
          <w:tcPr>
            <w:tcW w:w="659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2023 Lilly License consideration</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10,000</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73" w:type="dxa"/>
            <w:tcBorders/>
            <w:shd w:fill="CCEEFF" w:val="clear"/>
            <w:vAlign w:val="center"/>
          </w:tcPr>
          <w:p>
            <w:pPr>
              <w:pStyle w:val="TableContents"/>
              <w:bidi w:val="0"/>
              <w:spacing w:before="0" w:after="1"/>
              <w:ind w:left="0" w:right="0" w:hanging="0"/>
              <w:jc w:val="right"/>
              <w:rPr/>
            </w:pPr>
            <w:r>
              <w:rPr/>
              <w:t>—</w:t>
            </w:r>
          </w:p>
        </w:tc>
      </w:tr>
      <w:tr>
        <w:trPr/>
        <w:tc>
          <w:tcPr>
            <w:tcW w:w="65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Non-cash transfers to redeemable noncontrolling interest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10,875</w:t>
            </w:r>
          </w:p>
        </w:tc>
        <w:tc>
          <w:tcPr>
            <w:tcW w:w="32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73" w:type="dxa"/>
            <w:tcBorders/>
            <w:vAlign w:val="center"/>
          </w:tcPr>
          <w:p>
            <w:pPr>
              <w:pStyle w:val="TableContents"/>
              <w:bidi w:val="0"/>
              <w:spacing w:before="0" w:after="1"/>
              <w:ind w:left="0" w:right="0" w:hanging="0"/>
              <w:jc w:val="right"/>
              <w:rPr/>
            </w:pPr>
            <w:r>
              <w:rPr/>
              <w:t>—</w:t>
            </w:r>
          </w:p>
        </w:tc>
      </w:tr>
      <w:tr>
        <w:trPr/>
        <w:tc>
          <w:tcPr>
            <w:tcW w:w="659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Issuance of Class A Ordinary shares for 2023 Lilly License</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7,840</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73" w:type="dxa"/>
            <w:tcBorders/>
            <w:shd w:fill="CCEEFF" w:val="clear"/>
            <w:vAlign w:val="center"/>
          </w:tcPr>
          <w:p>
            <w:pPr>
              <w:pStyle w:val="TableContents"/>
              <w:bidi w:val="0"/>
              <w:spacing w:before="0" w:after="1"/>
              <w:ind w:left="0" w:right="0" w:hanging="0"/>
              <w:jc w:val="right"/>
              <w:rPr/>
            </w:pPr>
            <w:r>
              <w:rPr/>
              <w:t>—</w:t>
            </w:r>
          </w:p>
        </w:tc>
      </w:tr>
      <w:tr>
        <w:trPr/>
        <w:tc>
          <w:tcPr>
            <w:tcW w:w="65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Share-based equity issuance costs</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5,590</w:t>
            </w:r>
          </w:p>
        </w:tc>
        <w:tc>
          <w:tcPr>
            <w:tcW w:w="32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73" w:type="dxa"/>
            <w:tcBorders/>
            <w:vAlign w:val="center"/>
          </w:tcPr>
          <w:p>
            <w:pPr>
              <w:pStyle w:val="TableContents"/>
              <w:bidi w:val="0"/>
              <w:spacing w:before="0" w:after="1"/>
              <w:ind w:left="0" w:right="0" w:hanging="0"/>
              <w:jc w:val="right"/>
              <w:rPr/>
            </w:pPr>
            <w:r>
              <w:rPr/>
              <w:t>—</w:t>
            </w:r>
          </w:p>
        </w:tc>
      </w:tr>
      <w:tr>
        <w:trPr/>
        <w:tc>
          <w:tcPr>
            <w:tcW w:w="659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Settlement of research and development license consideration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4,488</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73" w:type="dxa"/>
            <w:tcBorders/>
            <w:shd w:fill="CCEEFF" w:val="clear"/>
            <w:vAlign w:val="center"/>
          </w:tcPr>
          <w:p>
            <w:pPr>
              <w:pStyle w:val="TableContents"/>
              <w:bidi w:val="0"/>
              <w:spacing w:before="0" w:after="1"/>
              <w:ind w:left="0" w:right="0" w:hanging="0"/>
              <w:jc w:val="right"/>
              <w:rPr/>
            </w:pPr>
            <w:r>
              <w:rPr/>
              <w:t>—</w:t>
            </w:r>
          </w:p>
        </w:tc>
      </w:tr>
      <w:tr>
        <w:trPr/>
        <w:tc>
          <w:tcPr>
            <w:tcW w:w="65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Transaction costs include in accounts payable and accrued expenses</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1,553</w:t>
            </w:r>
          </w:p>
        </w:tc>
      </w:tr>
      <w:tr>
        <w:trPr/>
        <w:tc>
          <w:tcPr>
            <w:tcW w:w="659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Reclassification of deferred offering costs to 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4,015</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73" w:type="dxa"/>
            <w:tcBorders/>
            <w:shd w:fill="CCEEFF" w:val="clear"/>
            <w:vAlign w:val="center"/>
          </w:tcPr>
          <w:p>
            <w:pPr>
              <w:pStyle w:val="TableContents"/>
              <w:bidi w:val="0"/>
              <w:spacing w:before="0" w:after="1"/>
              <w:ind w:left="0" w:right="0" w:hanging="0"/>
              <w:jc w:val="right"/>
              <w:rPr/>
            </w:pPr>
            <w:r>
              <w:rPr/>
              <w:t>—</w:t>
            </w:r>
          </w:p>
        </w:tc>
      </w:tr>
      <w:tr>
        <w:trPr/>
        <w:tc>
          <w:tcPr>
            <w:tcW w:w="65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Assumption of public and private placement warrants in connection with Business Combination</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3,715</w:t>
            </w:r>
          </w:p>
        </w:tc>
        <w:tc>
          <w:tcPr>
            <w:tcW w:w="32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73" w:type="dxa"/>
            <w:tcBorders/>
            <w:vAlign w:val="center"/>
          </w:tcPr>
          <w:p>
            <w:pPr>
              <w:pStyle w:val="TableContents"/>
              <w:bidi w:val="0"/>
              <w:spacing w:before="0" w:after="1"/>
              <w:ind w:left="0" w:right="0" w:hanging="0"/>
              <w:jc w:val="right"/>
              <w:rPr/>
            </w:pPr>
            <w:r>
              <w:rPr/>
              <w:t>—</w:t>
            </w:r>
          </w:p>
        </w:tc>
      </w:tr>
      <w:tr>
        <w:trPr/>
        <w:tc>
          <w:tcPr>
            <w:tcW w:w="659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Reclassification of public warrant liability to equity</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2,001</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73" w:type="dxa"/>
            <w:tcBorders/>
            <w:shd w:fill="CCEEFF" w:val="clear"/>
            <w:vAlign w:val="center"/>
          </w:tcPr>
          <w:p>
            <w:pPr>
              <w:pStyle w:val="TableContents"/>
              <w:bidi w:val="0"/>
              <w:spacing w:before="0" w:after="1"/>
              <w:ind w:left="0" w:right="0" w:hanging="0"/>
              <w:jc w:val="right"/>
              <w:rPr/>
            </w:pPr>
            <w:r>
              <w:rPr/>
              <w:t>—</w:t>
            </w:r>
          </w:p>
        </w:tc>
      </w:tr>
      <w:tr>
        <w:trPr/>
        <w:tc>
          <w:tcPr>
            <w:tcW w:w="65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Issuance of Call Right to noncontrolling interest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1,541</w:t>
            </w:r>
          </w:p>
        </w:tc>
        <w:tc>
          <w:tcPr>
            <w:tcW w:w="32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73" w:type="dxa"/>
            <w:tcBorders/>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center"/>
        <w:rPr/>
      </w:pPr>
      <w:r>
        <w:rPr/>
        <w:t>​</w:t>
      </w:r>
    </w:p>
    <w:p>
      <w:pPr>
        <w:pStyle w:val="TextBody"/>
        <w:bidi w:val="0"/>
        <w:spacing w:before="0" w:after="180"/>
        <w:ind w:left="0" w:right="0" w:firstLine="360"/>
        <w:jc w:val="center"/>
        <w:rPr>
          <w:rFonts w:ascii="Times New Roman;Times;serif" w:hAnsi="Times New Roman;Times;serif"/>
          <w:i/>
          <w:sz w:val="20"/>
        </w:rPr>
      </w:pPr>
      <w:r>
        <w:rPr>
          <w:rFonts w:ascii="Times New Roman;Times;serif" w:hAnsi="Times New Roman;Times;serif"/>
          <w:i/>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53" w:name="_58e4d0c1_1a28_4e69_b72c_709d08cd9cad"/>
      <w:bookmarkEnd w:id="1153"/>
      <w:r>
        <w:rPr>
          <w:rFonts w:ascii="Times New Roman;Times;serif" w:hAnsi="Times New Roman;Times;serif"/>
          <w:b/>
          <w:sz w:val="20"/>
        </w:rPr>
        <w:t>Zura Bio Limited</w:t>
      </w:r>
    </w:p>
    <w:p>
      <w:pPr>
        <w:pStyle w:val="TextBody"/>
        <w:bidi w:val="0"/>
        <w:spacing w:before="0" w:after="240"/>
        <w:ind w:left="0" w:right="0" w:hanging="0"/>
        <w:jc w:val="center"/>
        <w:rPr>
          <w:rFonts w:ascii="Times New Roman;Times;serif" w:hAnsi="Times New Roman;Times;serif"/>
          <w:b/>
          <w:sz w:val="20"/>
        </w:rPr>
      </w:pPr>
      <w:bookmarkStart w:id="1154" w:name="NotestoUnauditedCondensedConsolidatedFin"/>
      <w:bookmarkEnd w:id="1154"/>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(Tabular amounts in thousands, except share and per share data)</w:t>
      </w:r>
    </w:p>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and Description of Business</w:t>
            </w:r>
          </w:p>
        </w:tc>
      </w:tr>
    </w:tbl>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Zura Bio Limited, a Cayman Islands exempted company, formerly known as JATT Acquisition Corp (“JATT”), together with its subsidiaries (collectively, the “Company” or “Zura” or “Zura Bio”), is a clinical-stage biotechnology company advancing immunology assets into Phase 2 development programs, including ZB-168, a fully anti-IL7Ra monoclonal antibody, which it has licensed from Pfizer, Inc. (“Pfizer”), as well as torudokimab, a high affinity monoclonal antibody, and ZB-106, a bispecific antibody relating to IL-17 and BAFF, which it has licensed from Eli Lilly and Company (“Lilly”). The Company’s accounting predecessor, Zura Bio Limited (herein referred to as “Legacy Zura”), was formed in the United Kingdom (“UK”) on January 18, 2022 (“Inception”).</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Business Combination</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On March 20, 2023 (the “Closing Date”), the Company consummated the previously announced business combination (the “Business Combination”), pursuant to the terms of a business combination agreement (the “Business Combination Agreement”), dated as of June 16, 2022 (as amended on September 20, 2022, November 14, 2022, and January 13, 2023), by and among JATT, JATT Merger Sub, JATT Merger Sub 2, Zura Bio Holdings Ltd. (“Holdco”), and Legacy Zura. Pursuant to the Business Combination Agreement, (a) before the closing of the Business Combination, Holdco was established as a new holding company of Legacy Zura and became a party to the Business Combination Agreement; and (b) on the Closing, in sequential order: (i) Merger Sub merged with and into Holdco, with Holdco continuing as the surviving company and a wholly owned subsidiary of JATT; (ii) immediately following the Merger, Holdco merged with and into Merger Sub 2, with Merger Sub 2 continuing as the surviving company and a wholly owned subsidiary of JATT; and (iii) JATT changed its name to “Zura Bio Limited”.</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Business Combination has been accounted for as a reverse recapitalization, with Legacy Zura being the accounting acquirer and JATT as the acquired company for accounting purposes. Accordingly, all historical financial information presented in the unaudited condensed consolidated financial statements represent the accounts of Legacy Zura. The shares and net loss per share attributable to ordinary shareholders of Legacy Zura prior to the Closing Date have been retroactively restated as shares reflecting the exchange ratio established in the Business Combination Agreement.</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Prior to the Business Combination, JATT’s public shares, public warrants, and public units were listed on the New York Stock Exchange (“NYSE”) under the symbols “JATT,” “JATT.WS,” and “JATT.U,” respectively. On March 20, 2023, the Company’s Class A ordinary shares (“Class A Ordinary Shares”) and public warrants began trading on the Nasdaq under the symbols “ZURA” and “ZURAW,” respectively. See Note 3, Recapitalization for additional details.</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Emerging Growth Company Status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the extended transition period for complying with new or revised accounting standards, and as a result of this election, the consolidated financial statements may not be comparable to companies that comply with public company Financial Accounting Standards Board (“FASB”) standards’ effective dates. The Company may take advantage of these exemptions up until the last day of the fiscal year following the fifth anniversary of an offering or such earlier time that it is no longer an emerging growth company.</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Change in Fiscal Year End</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On November 18, 2022, the Board of Directors approved a change in the Company’s fiscal year end from March 31 to December 31. The Company’s 2022 fiscal year began at the Company’s inception on January 18, 2022, and ended on December 31, 2022.</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change in fiscal year end also applies retrospectively to all previously issued financial statements for the periods ended March 31, 2022, June 30, 2022, and September 30,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Liquidity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incurred operating losses since inception and expects to continue to incur significant operating losses for the foreseeable future and may never become profitable. The Company has an accumulated deficit of $95.0 million and $32.1 million as of September 30, 2023 and December 31, 2022, respectively, a net loss of $8.3 million and $1.1 million for the three months ended September 30, 2023 and 2022, and a net loss of $51.9 million and $9.8 million for the nine months ended September 30, 2023 and the period ended September 30, 2022, respectively. The Company’s existing sources of liquidity as of September 30, 2023 includes $103.9 million in cash and cash equivalents.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Prior to the Business Combination, the Company historically funded operations primarily with issuances of convertible preferred shares and a promissory note. Upon the closing of the Business Combination, the Company received $56.7 million in net cash proceeds. Additionally, the Company received $75.8 million in net cash proceeds in connection with April 2023 Private Placement. The Company’s cash requirements include, but are not limited to, product manufacturing costs and working capital requirements. The Company expects such operating losses and negative cash flows from operations will continue but has sufficient liquidity to fund its operations over the next twelve months.</w:t>
      </w:r>
    </w:p>
    <w:tbl>
      <w:tblPr>
        <w:tblW w:w="4266" w:type="dxa"/>
        <w:jc w:val="left"/>
        <w:tblInd w:w="0" w:type="dxa"/>
        <w:tblLayout w:type="fixed"/>
        <w:tblCellMar>
          <w:top w:w="28" w:type="dxa"/>
          <w:left w:w="28" w:type="dxa"/>
          <w:bottom w:w="28" w:type="dxa"/>
          <w:right w:w="28" w:type="dxa"/>
        </w:tblCellMar>
      </w:tblPr>
      <w:tblGrid>
        <w:gridCol w:w="124"/>
        <w:gridCol w:w="256"/>
        <w:gridCol w:w="3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388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Summary of Significant Accounting</w:t>
            </w:r>
            <w:r>
              <w:rPr>
                <w:caps w:val="false"/>
                <w:smallCaps w:val="false"/>
              </w:rPr>
              <w:t xml:space="preserve"> </w:t>
            </w:r>
            <w:r>
              <w:rPr>
                <w:rFonts w:ascii="Times New Roman;Times;serif" w:hAnsi="Times New Roman;Times;serif"/>
                <w:b/>
                <w:i w:val="false"/>
                <w:caps w:val="false"/>
                <w:smallCaps w:val="false"/>
                <w:sz w:val="20"/>
              </w:rPr>
              <w:t>Policies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Basis of Presentation and 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unaudited condensed consolidated financial statements (the “condensed consolidated financial statements”) have been prepared in conformity with accounting principles generally accepted in the United States of America (“U.S. GAAP”) and include the accounts of its consolidated subsidiaries. Other shareholders’ interests in the Company’s subsidiaries, Z33 Bio, Inc. (“Z33”) and ZB17 LLC (“ZB17”), are shown in the condensed consolidated financial statements as redeemable noncontrolling interest and noncontrolling interest, respectively. All intercompany balances and transactions have been eliminated in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condensed consolidated financial statements have been prepared in accordance with U.S. GAAP applicable to interim financial statements. These financial statements are presented in accordance with the rules and regulations of the U.S. Securities and Exchange Commission (“SEC”) and do not include all disclosures normally required in annual consolidated financial statements prepared in accordance with U.S. GAAP. As such, the information included herein should be read in conjunction with Legacy Zura’s consolidated financial statements and accompanying notes as of December 31, 2022 and for the period from January 18, 2022 (date of inception) to December 31, 2022 (the “audited consolidated financial statements”) that were included in the Company’s Form 8-K filed with the SEC on April 6, 2023. In management’s opinion, these unaudited condensed consolidated financial statements have been prepared on the same basis as the annual consolidated financial statements, except for the impact of the recapitalization as described in Note 3, and reflect all adjustments, which include normal recurring adjustments, necessary for the fair statement of the Company’s financial position as of September 30, 2023 and the results of operations for the three months ended September 30, 2023 and 2022 and for the nine months ended September 30, 2023 and the period ended September 30, 2022. The results of operations for the nine months ended September 30, 2023 are not necessarily indicative of the results to be expected for the full year ending December 31, 2023 or any other future interim or annual period.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Except for the addition of the Business Combination, the addition of public warrants, private placement warrants, and pre-funded warrants (collectively, the “Warrants”), the noncontrolling interest in ZB17, and the addition of stock options with market-based performance conditions, there have been no significant changes in the Company’s significant accounting policies from those that were disclosed in Note 2, Summary of Significant Accounting Policies, included in the Company’s audited consolidated financial statements that were included in the Company’s Current Report on Form 8-K filed with the SEC on April 6, 2023.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preparation of condensed consolidated financial statements in conformity with U.S. GAAP requires the Company’s management to make estimates and assumptions that affect the reported amounts of assets and liabilities and disclosure of contingent assets and liabilities at the date of the condensed consolidated financial statements, as well as the reported amounts of expenses during the reporting period. Actual results could differ from those estimates. Significant estimates and assumptions reflected in the condensed consolidated financial statements relate to and include, but are not limited to, the fair value of Class A Ordinary Shares and other assumptions used to measure share-based compensation, the fair value of redeemable noncontrolling interest, the fair value of share-based consideration transferred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acquired assets, the fair value of contingent consideration, the fair value of the private placement warrants, and the fair value of the note payable.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Risks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subject to risks common to early-stage companies in the biotechnology industry, including, but not limited to, development by the Company or its competitors of technological innovations, risks of failure of clinical studies, dependence on key personnel, protection of proprietary technology, compliance with government regulations, and ability to transition from preclinical manufacturing to commercial production of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future product candidates will require approvals from the U.S. Food and Drug Administration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 adverse impact on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10, 2023, Silicon Valley Bank became insolvent. State regulators closed the bank and the Federal Deposit Insurance Corporation (“FDIC”) was appointed as its receiver. The Company held deposits with this bank. As a result of the actions by the FDIC, the Company’s insured and uninsured deposits have been restored.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significant cash balances at financial institutions which throughout the year regularly exceed the federally insured limit of $250,000. Any loss incurred or a lack of access to such funds could have a significant adverse impact on the Company’s financial condition, results of operations, and cash flows.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part of the Business Combination, the Company assumed JATT’s public warrant and private placement warrant liabilities. The public warrants were reclassified to equity following the Business Combination.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part of the April 2023 Private Placement, the Company sold pre-funded warrants (the “Pre-Funded Warrants”) to certain accredited investors. The Pre-Funded Warrants were classified as equity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Classification of the public and pre-funded warrants as equity instruments and the private placement warrants as liability instruments is based on management’s analysis of the guidance in ASC 815. The Company measures the private placement warrant liability at fair value each reporting period with the change in fair value recorded as other (expense) income in the condensed consolidated statements of operations. The Company measured the public warrants at the fair value of the equity instruments as of the Closing Date of the Business Combination. The Company measured the pre-funded warrants at the fair value of the equity instruments as of the date of the April 2023 Private Placement. See Note 8 for additional information.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Noncontrolling Interest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April 2023, the Company’s subsidiary, ZB17, issued a share-based payment award to a third party in connection with 2023 Lilly License representing a noncontrolling interest (See Note 6 for additional information). A noncontrolling interest in a subsidiary is considered an ownership interest in a majority-owned subsidiary that is not attributable to the parent. The Company includes noncontrolling interest as a component of total shareholders’ equity on the Company’s condensed consolidated balance sheet. The option to acquire ZB17 ownership interests do not provide the option-holder with rights to participate in the profits and losses of the subsidiary prior to the exercise of the option.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bookmarkStart w:id="1155" w:name="Tc_rBFvM6W5XkuCa7PcLnlojQ_8_0"/>
      <w:bookmarkStart w:id="1156" w:name="Tc_jl2n4gwtVk2OBu8zZqEeZQ_7_4"/>
      <w:bookmarkStart w:id="1157" w:name="Tc_CV0b-2qN1kGAYqb0BOO5_g_7_0"/>
      <w:bookmarkStart w:id="1158" w:name="Tc_CXFzf_xbTU-4hAt4GpSHmA_6_4"/>
      <w:bookmarkStart w:id="1159" w:name="Tc_vTme1J_9hE-Y4OYc-fK6tQ_6_0"/>
      <w:bookmarkStart w:id="1160" w:name="Tc_LriLWzn8lkqMFV0WOk4kMg_5_0"/>
      <w:bookmarkStart w:id="1161" w:name="Tc_imsaLdL7ukq7f5qV4QeF8Q_4_4"/>
      <w:bookmarkStart w:id="1162" w:name="Tc_C353UX9Ks0COcd4VaMi32g_4_0"/>
      <w:bookmarkStart w:id="1163" w:name="Tc_UYfCbFdtM0aVF4QDe0DOTQ_3_2"/>
      <w:bookmarkStart w:id="1164" w:name="Tc_vTf08X8wvEq3twVBSImPiQ_3_0"/>
      <w:bookmarkStart w:id="1165" w:name="Tc_DErg3TLo_U-nILS3Q1YGMg_2_4"/>
      <w:bookmarkStart w:id="1166" w:name="Tc_06a6-Aug7kKXUM6MKXLQnw_2_2"/>
      <w:bookmarkStart w:id="1167" w:name="Tc_yblfmBXYgU6UoYSK_N4Nzw_1_4"/>
      <w:bookmarkStart w:id="1168" w:name="Tc_qj4UKZNQXkW5PeUTYVilNw_1_2"/>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r>
        <w:rPr>
          <w:rFonts w:ascii="Times New Roman;Times;serif" w:hAnsi="Times New Roman;Times;serif"/>
          <w:b/>
          <w:i/>
          <w:sz w:val="20"/>
        </w:rPr>
        <w:t>Net 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net loss per share is computed by dividing net loss attributable to Class A Ordinary Shareholders by the weighted-average number of Class A Ordinary Shares outstanding, including Pre-Funded Warrants, during the period. Diluted net loss per share excludes the potential impact of the Company’s convertible preferred shares and options to purchase Class A Ordinary Shares because their effect would be anti-dilutive due to the Company’s net loss for the period presented. Since the Company had a net loss in the period presented, basic and diluted net loss per share are the same.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provides potentially dilutive securities not included in the calculation of the diluted net loss per share because to do so would be anti-dilutive:</w:t>
      </w:r>
    </w:p>
    <w:p>
      <w:pPr>
        <w:pStyle w:val="TextBody"/>
        <w:bidi w:val="0"/>
        <w:spacing w:before="0" w:after="0"/>
        <w:ind w:left="0" w:right="0" w:hanging="0"/>
        <w:jc w:val="left"/>
        <w:rPr/>
      </w:pPr>
      <w:r>
        <w:rPr/>
        <w:t>​</w:t>
      </w:r>
    </w:p>
    <w:tbl>
      <w:tblPr>
        <w:tblW w:w="9835" w:type="dxa"/>
        <w:jc w:val="left"/>
        <w:tblInd w:w="0" w:type="dxa"/>
        <w:tblLayout w:type="fixed"/>
        <w:tblCellMar>
          <w:top w:w="0" w:type="dxa"/>
          <w:left w:w="0" w:type="dxa"/>
          <w:bottom w:w="0" w:type="dxa"/>
          <w:right w:w="0" w:type="dxa"/>
        </w:tblCellMar>
      </w:tblPr>
      <w:tblGrid>
        <w:gridCol w:w="6766"/>
        <w:gridCol w:w="326"/>
        <w:gridCol w:w="1186"/>
        <w:gridCol w:w="326"/>
        <w:gridCol w:w="1231"/>
      </w:tblGrid>
      <w:tr>
        <w:trPr/>
        <w:tc>
          <w:tcPr>
            <w:tcW w:w="6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296410" cy="175260"/>
                      <wp:effectExtent l="0" t="0" r="0" b="0"/>
                      <wp:wrapNone/>
                      <wp:docPr id="84" name="Frame84"/>
                      <a:graphic xmlns:a="http://schemas.openxmlformats.org/drawingml/2006/main">
                        <a:graphicData uri="http://schemas.microsoft.com/office/word/2010/wordprocessingShape">
                          <wps:wsp>
                            <wps:cNvSpPr txBox="1"/>
                            <wps:spPr>
                              <a:xfrm>
                                <a:off x="0" y="0"/>
                                <a:ext cx="429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753110" cy="175260"/>
                      <wp:effectExtent l="0" t="0" r="0" b="0"/>
                      <wp:wrapNone/>
                      <wp:docPr id="86" name="Frame86"/>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781685" cy="175260"/>
                      <wp:effectExtent l="0" t="0" r="0" b="0"/>
                      <wp:wrapNone/>
                      <wp:docPr id="88" name="Frame88"/>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center"/>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6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2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preferred shares</w:t>
            </w:r>
          </w:p>
        </w:tc>
        <w:tc>
          <w:tcPr>
            <w:tcW w:w="326" w:type="dxa"/>
            <w:tcBorders/>
            <w:shd w:fill="CCEEFF" w:val="clear"/>
            <w:vAlign w:val="center"/>
          </w:tcPr>
          <w:p>
            <w:pPr>
              <w:pStyle w:val="TableContents"/>
              <w:bidi w:val="0"/>
              <w:spacing w:before="0" w:after="1"/>
              <w:ind w:left="0" w:right="0" w:hanging="0"/>
              <w:jc w:val="center"/>
              <w:rPr/>
            </w:pPr>
            <w:r>
              <w:rPr/>
              <w:t>​</w:t>
            </w:r>
          </w:p>
        </w:tc>
        <w:tc>
          <w:tcPr>
            <w:tcW w:w="11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13,510,415</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issuable upon exercise of the Warrants to purchase Class A Ordinary Shares</w:t>
            </w:r>
          </w:p>
        </w:tc>
        <w:tc>
          <w:tcPr>
            <w:tcW w:w="32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12,809,996</w:t>
            </w:r>
          </w:p>
        </w:tc>
        <w:tc>
          <w:tcPr>
            <w:tcW w:w="326" w:type="dxa"/>
            <w:tcBorders/>
            <w:vAlign w:val="center"/>
          </w:tcPr>
          <w:p>
            <w:pPr>
              <w:pStyle w:val="TableContents"/>
              <w:bidi w:val="0"/>
              <w:spacing w:before="0" w:after="1"/>
              <w:ind w:left="0" w:right="0" w:hanging="0"/>
              <w:jc w:val="left"/>
              <w:rPr/>
            </w:pPr>
            <w:r>
              <w:rPr/>
              <w:t> </w:t>
            </w:r>
          </w:p>
        </w:tc>
        <w:tc>
          <w:tcPr>
            <w:tcW w:w="1231" w:type="dxa"/>
            <w:tcBorders/>
            <w:vAlign w:val="center"/>
          </w:tcPr>
          <w:p>
            <w:pPr>
              <w:pStyle w:val="TableContents"/>
              <w:bidi w:val="0"/>
              <w:spacing w:before="0" w:after="1"/>
              <w:ind w:left="0" w:right="0" w:hanging="0"/>
              <w:jc w:val="right"/>
              <w:rPr/>
            </w:pPr>
            <w:r>
              <w:rPr/>
              <w:t>—</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issuable upon exercise of options to purchase Class A Ordinary Shares</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5,681,471</w:t>
            </w:r>
          </w:p>
        </w:tc>
        <w:tc>
          <w:tcPr>
            <w:tcW w:w="326" w:type="dxa"/>
            <w:tcBorders/>
            <w:shd w:fill="CCEEFF" w:val="clear"/>
            <w:vAlign w:val="center"/>
          </w:tcPr>
          <w:p>
            <w:pPr>
              <w:pStyle w:val="TableContents"/>
              <w:bidi w:val="0"/>
              <w:spacing w:before="0" w:after="1"/>
              <w:ind w:left="0" w:right="0" w:hanging="0"/>
              <w:jc w:val="left"/>
              <w:rPr/>
            </w:pPr>
            <w:r>
              <w:rPr/>
              <w:t>​</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383,371</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issuable upon exercise of Z33 Series Seed Preferred Shares call option</w:t>
            </w:r>
          </w:p>
        </w:tc>
        <w:tc>
          <w:tcPr>
            <w:tcW w:w="32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2,000,000</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right"/>
              <w:rPr/>
            </w:pPr>
            <w:r>
              <w:rPr/>
              <w:t>—</w:t>
            </w:r>
          </w:p>
        </w:tc>
      </w:tr>
      <w:tr>
        <w:trPr/>
        <w:tc>
          <w:tcPr>
            <w:tcW w:w="6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share units</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2,213,011</w:t>
            </w:r>
          </w:p>
        </w:tc>
        <w:tc>
          <w:tcPr>
            <w:tcW w:w="326" w:type="dxa"/>
            <w:tcBorders/>
            <w:shd w:fill="CCEEFF" w:val="clear"/>
            <w:vAlign w:val="center"/>
          </w:tcPr>
          <w:p>
            <w:pPr>
              <w:pStyle w:val="TableContents"/>
              <w:bidi w:val="0"/>
              <w:spacing w:before="0" w:after="1"/>
              <w:ind w:left="0" w:right="0" w:hanging="0"/>
              <w:jc w:val="left"/>
              <w:rPr/>
            </w:pPr>
            <w:r>
              <w:rPr/>
              <w:t>​</w:t>
            </w:r>
          </w:p>
        </w:tc>
        <w:tc>
          <w:tcPr>
            <w:tcW w:w="12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26" w:type="dxa"/>
            <w:tcBorders/>
            <w:vAlign w:val="center"/>
          </w:tcPr>
          <w:p>
            <w:pPr>
              <w:pStyle w:val="TableContents"/>
              <w:bidi w:val="0"/>
              <w:spacing w:before="0" w:after="1"/>
              <w:ind w:left="0" w:right="0" w:hanging="0"/>
              <w:jc w:val="left"/>
              <w:rPr/>
            </w:pPr>
            <w:r>
              <w:rPr/>
              <w:t>​</w:t>
            </w:r>
          </w:p>
        </w:tc>
        <w:tc>
          <w:tcPr>
            <w:tcW w:w="11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22,704,478</w:t>
            </w:r>
          </w:p>
        </w:tc>
        <w:tc>
          <w:tcPr>
            <w:tcW w:w="326" w:type="dxa"/>
            <w:tcBorders/>
            <w:vAlign w:val="center"/>
          </w:tcPr>
          <w:p>
            <w:pPr>
              <w:pStyle w:val="TableContents"/>
              <w:bidi w:val="0"/>
              <w:spacing w:before="0" w:after="1"/>
              <w:ind w:left="0" w:right="0" w:hanging="0"/>
              <w:jc w:val="left"/>
              <w:rPr/>
            </w:pPr>
            <w:r>
              <w:rPr/>
              <w:t>​</w:t>
            </w:r>
          </w:p>
        </w:tc>
        <w:tc>
          <w:tcPr>
            <w:tcW w:w="123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13,893,786</w:t>
            </w:r>
          </w:p>
        </w:tc>
      </w:tr>
    </w:tbl>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Shares issuable upon the exercise of performance-based share options (“PSOs”) are excluded from the calculation of diluted net loss per share until the Company’s management deems it probable that the performance conditions will be satisfied.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June 2022, the Financial Accounting Standards Board (“FASB”) issued Accounting Standards Update (“ASU”) 2022-03, Fair Value Measurement (Topic 820): Fair Value Measurement of Equity Securities Subject to Contractual Sale Restrictions, which clarifies the guidance of measuring the fair value of equity securities subject to contractual restrictions that prohibit the sale of the equity securities. The Company early adopted this standard effective January 1, 2023. The adoption of this standard did not have a material effect on our condensed consolidated financial statements and related disclosures.</w:t>
      </w:r>
    </w:p>
    <w:tbl>
      <w:tblPr>
        <w:tblW w:w="1926" w:type="dxa"/>
        <w:jc w:val="left"/>
        <w:tblInd w:w="0" w:type="dxa"/>
        <w:tblLayout w:type="fixed"/>
        <w:tblCellMar>
          <w:top w:w="28" w:type="dxa"/>
          <w:left w:w="28" w:type="dxa"/>
          <w:bottom w:w="28" w:type="dxa"/>
          <w:right w:w="28" w:type="dxa"/>
        </w:tblCellMar>
      </w:tblPr>
      <w:tblGrid>
        <w:gridCol w:w="124"/>
        <w:gridCol w:w="256"/>
        <w:gridCol w:w="1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1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Recapitalization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discussed in Note 1, Organization and Description of Business, on the Closing Date, JATT completed the acquisition of Legacy Zura and acquired 100% of Legacy Zura’s shares and Legacy Zura received proceeds of $56.7 million which includes proceeds from issuance of Class A Ordinary Shares upon the consummation of the Business Combination, including the Redemption Backstop shares (as defined below), proceeds from the PIPE investment (as defined below), and proceeds from the Forward Purchase Agreement (as defined below). The Company recorded $4.0 million of transaction costs, which consisted of legal, accounting, and other professional services directly related to the Business Combination. These costs were included in additional paid-in capital on the Company’s condensed consolidated balance sheet. On the Closing Date, each holder of Legacy Zura’s ordinary shares received approximately 108.083 shares of the Company’s Class A Ordinary Shares, par value $0.0001 per share. See Note 7 for additional details of the Company’s shareholders’ equity (deficit) prior to and subsequent to the Business Combination.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equity awards of Legacy Zura were assumed by the Company and converted into comparable equity awards that are settled or exercisable for shares of the Company’s Class A Ordinary Shares. As a result, each outstanding share option was converted into an option exercisable for the Company’s Class A Ordinary Shares based on an exchange ratio of approximately 108.083 and each outstanding restricted share unit was converted into restricted units of the Company that, upon vesting, will be settled for the Company’s Class A Ordinary Shares based on an exchange ratio of approximately 108.083.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public and private placement warrant of JATT that was unexercised at the time of the Business Combination was assumed by the Company and represents the right to purchase one Class A Ordinary Share upon exercise of such warrant. Refer to Note 2 and Note 8 for further details.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169" w:name="Tc_xwm1EACQDEuDzMQ-_o6wkg_10_5"/>
      <w:bookmarkStart w:id="1170" w:name="Tc_TRS8lvcRdUyC0A9MFGC4dQ_10_0"/>
      <w:bookmarkStart w:id="1171" w:name="Tc_HvLDPxCKkEOYrRZ7pbgC_w_9_5"/>
      <w:bookmarkStart w:id="1172" w:name="Tc_IaY3ZNoAN0WR8j9cRQ8DDw_9_0"/>
      <w:bookmarkStart w:id="1173" w:name="Tc_hLw9OhrmR0yLQ48we3u-eQ_8_5"/>
      <w:bookmarkStart w:id="1174" w:name="Tc_uucaYnQppEmRVPbxiXwxOA_8_0"/>
      <w:bookmarkStart w:id="1175" w:name="Tc_PgFBRxmPFEaNCGYMB6Rj1w_7_5"/>
      <w:bookmarkStart w:id="1176" w:name="Tc_6J5AThBdWEC-o8NCYiJa8g_7_0"/>
      <w:bookmarkStart w:id="1177" w:name="Tc_cZWPpwSKX0e2RsymRPauuQ_6_5"/>
      <w:bookmarkStart w:id="1178" w:name="Tc_3pmYRqL6Jkm7W4RAWy60Lw_6_0"/>
      <w:bookmarkStart w:id="1179" w:name="Tc_QDE25vRJyEywCOB5tSvjKQ_5_5"/>
      <w:bookmarkStart w:id="1180" w:name="Tc_d3Gf7tdudU6D42UclIRBog_5_0"/>
      <w:bookmarkStart w:id="1181" w:name="Tc_anCbAH8Nmk2JxcMl2ECLcQ_4_5"/>
      <w:bookmarkStart w:id="1182" w:name="Tc_6l4YJZBtgkKIgHmltxERhw_4_0"/>
      <w:bookmarkStart w:id="1183" w:name="Tc_Zhy9HMbIB06oMIG8Cu3JKg_3_5"/>
      <w:bookmarkStart w:id="1184" w:name="Tc_o_nZuw0X8E6FZ0qT9JtiVg_3_0"/>
      <w:bookmarkStart w:id="1185" w:name="Tc_Mxwvm4aSPUKhxK5pUVAmiA_2_5"/>
      <w:bookmarkStart w:id="1186" w:name="Tc_xtukVwmNgEOS-cuVBI0qgQ_2_0"/>
      <w:bookmarkStart w:id="1187" w:name="Tc_TJIkXyuxGEWlul1lSVLfcw_1_4"/>
      <w:bookmarkStart w:id="1188" w:name="Tc_ISl8tlISt0qu-5Zl_xENSQ_1_2"/>
      <w:bookmarkStart w:id="1189" w:name="_b51f49a9_00d2_45f5_a885_35c3bea2398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r>
        <w:rPr>
          <w:rFonts w:ascii="Times New Roman;Times;serif" w:hAnsi="Times New Roman;Times;serif"/>
          <w:sz w:val="20"/>
        </w:rPr>
        <w:t>The Business Combination was accounted for as a reverse recapitalization with Legacy Zura as the accounting acquirer and JATT as the acquired company for accounting purposes. Legacy Zura was determined to be the accounting acquirer since Legacy Zura’s shareholders as a group prior to the Business Combination held the majority voting interest in the combined entity, Legacy Zura’s shareholders appointed 4 out of the 7 directors of the combined Board of Directors, Legacy Zura’s management holds certain key positions in the management of the combined entity, and Legacy Zura is the largest of the combining entities based on historical operating activity and comprises all of the ongoing operations. Accordingly, all historical financial information presented in these condensed consolidated financial statements represents the accounts of Legacy Zura. Net assets were stated at historical cost consistent with the treatment of the transaction as a reverse recapitalization of Legacy Zura. The Company’s convertible preferred shares and Class A Ordinary Shares prior to the closing of the Business Combination (as defined in Note 1) have been retroactively restated to reflect the exchange ratio of approximately 108.083 established in the Business Combination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number of Class A Ordinary Shares issued and outstanding immediately following the Business Combination on March 20, 2023 was:</w:t>
      </w:r>
    </w:p>
    <w:tbl>
      <w:tblPr>
        <w:tblW w:w="5846" w:type="dxa"/>
        <w:jc w:val="left"/>
        <w:tblInd w:w="0" w:type="dxa"/>
        <w:tblLayout w:type="fixed"/>
        <w:tblCellMar>
          <w:top w:w="0" w:type="dxa"/>
          <w:left w:w="0" w:type="dxa"/>
          <w:bottom w:w="0" w:type="dxa"/>
          <w:right w:w="0" w:type="dxa"/>
        </w:tblCellMar>
      </w:tblPr>
      <w:tblGrid>
        <w:gridCol w:w="3271"/>
        <w:gridCol w:w="326"/>
        <w:gridCol w:w="1036"/>
        <w:gridCol w:w="326"/>
        <w:gridCol w:w="571"/>
        <w:gridCol w:w="316"/>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7085" cy="175260"/>
                      <wp:effectExtent l="0" t="0" r="0" b="0"/>
                      <wp:wrapNone/>
                      <wp:docPr id="89" name="Frame89"/>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57860" cy="175260"/>
                      <wp:effectExtent l="0" t="0" r="0" b="0"/>
                      <wp:wrapNone/>
                      <wp:docPr id="91" name="Frame9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62585" cy="175260"/>
                      <wp:effectExtent l="0" t="0" r="0" b="0"/>
                      <wp:wrapNone/>
                      <wp:docPr id="93" name="Frame9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0660" cy="175260"/>
                      <wp:effectExtent l="0" t="0" r="0" b="0"/>
                      <wp:wrapNone/>
                      <wp:docPr id="94" name="Frame9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JATT Public shareholders</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182,498</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Zura shares issued – 2022 Lilly license</w:t>
            </w:r>
          </w:p>
        </w:tc>
        <w:tc>
          <w:tcPr>
            <w:tcW w:w="326" w:type="dxa"/>
            <w:tcBorders/>
            <w:vAlign w:val="center"/>
          </w:tcPr>
          <w:p>
            <w:pPr>
              <w:pStyle w:val="TableContents"/>
              <w:bidi w:val="0"/>
              <w:spacing w:before="0" w:after="0"/>
              <w:ind w:left="0" w:right="0" w:hanging="0"/>
              <w:jc w:val="left"/>
              <w:rPr>
                <w:color w:val="231F20"/>
              </w:rPr>
            </w:pPr>
            <w:r>
              <w:rPr>
                <w:color w:val="231F20"/>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550,000</w:t>
            </w:r>
          </w:p>
        </w:tc>
        <w:tc>
          <w:tcPr>
            <w:tcW w:w="326" w:type="dxa"/>
            <w:tcBorders/>
            <w:vAlign w:val="center"/>
          </w:tcPr>
          <w:p>
            <w:pPr>
              <w:pStyle w:val="TableContents"/>
              <w:bidi w:val="0"/>
              <w:spacing w:before="0" w:after="0"/>
              <w:ind w:left="0" w:right="0" w:hanging="0"/>
              <w:jc w:val="left"/>
              <w:rPr>
                <w:color w:val="231F20"/>
              </w:rPr>
            </w:pPr>
            <w:r>
              <w:rPr>
                <w:color w:val="231F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w:t>
            </w:r>
          </w:p>
        </w:tc>
        <w:tc>
          <w:tcPr>
            <w:tcW w:w="31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Redemption Backstop</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1,301,633</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Redemption Backstop Consideration</w:t>
            </w:r>
          </w:p>
        </w:tc>
        <w:tc>
          <w:tcPr>
            <w:tcW w:w="326" w:type="dxa"/>
            <w:tcBorders/>
            <w:vAlign w:val="center"/>
          </w:tcPr>
          <w:p>
            <w:pPr>
              <w:pStyle w:val="TableContents"/>
              <w:bidi w:val="0"/>
              <w:spacing w:before="0" w:after="0"/>
              <w:ind w:left="0" w:right="0" w:hanging="0"/>
              <w:jc w:val="left"/>
              <w:rPr>
                <w:color w:val="231F20"/>
              </w:rPr>
            </w:pPr>
            <w:r>
              <w:rPr>
                <w:color w:val="231F20"/>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2,500,000</w:t>
            </w:r>
          </w:p>
        </w:tc>
        <w:tc>
          <w:tcPr>
            <w:tcW w:w="326" w:type="dxa"/>
            <w:tcBorders/>
            <w:vAlign w:val="center"/>
          </w:tcPr>
          <w:p>
            <w:pPr>
              <w:pStyle w:val="TableContents"/>
              <w:bidi w:val="0"/>
              <w:spacing w:before="0" w:after="0"/>
              <w:ind w:left="0" w:right="0" w:hanging="0"/>
              <w:jc w:val="left"/>
              <w:rPr>
                <w:color w:val="231F20"/>
              </w:rPr>
            </w:pPr>
            <w:r>
              <w:rPr>
                <w:color w:val="231F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9.2</w:t>
            </w:r>
          </w:p>
        </w:tc>
        <w:tc>
          <w:tcPr>
            <w:tcW w:w="31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JATT Founders</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3,450,000</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PIPE Investment</w:t>
            </w:r>
          </w:p>
        </w:tc>
        <w:tc>
          <w:tcPr>
            <w:tcW w:w="326" w:type="dxa"/>
            <w:tcBorders/>
            <w:vAlign w:val="center"/>
          </w:tcPr>
          <w:p>
            <w:pPr>
              <w:pStyle w:val="TableContents"/>
              <w:bidi w:val="0"/>
              <w:spacing w:before="0" w:after="0"/>
              <w:ind w:left="0" w:right="0" w:hanging="0"/>
              <w:jc w:val="left"/>
              <w:rPr>
                <w:color w:val="231F20"/>
              </w:rPr>
            </w:pPr>
            <w:r>
              <w:rPr>
                <w:color w:val="231F20"/>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2,009,950</w:t>
            </w:r>
          </w:p>
        </w:tc>
        <w:tc>
          <w:tcPr>
            <w:tcW w:w="326" w:type="dxa"/>
            <w:tcBorders/>
            <w:vAlign w:val="center"/>
          </w:tcPr>
          <w:p>
            <w:pPr>
              <w:pStyle w:val="TableContents"/>
              <w:bidi w:val="0"/>
              <w:spacing w:before="0" w:after="0"/>
              <w:ind w:left="0" w:right="0" w:hanging="0"/>
              <w:jc w:val="left"/>
              <w:rPr>
                <w:color w:val="231F20"/>
              </w:rPr>
            </w:pPr>
            <w:r>
              <w:rPr>
                <w:color w:val="231F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7.4</w:t>
            </w:r>
          </w:p>
        </w:tc>
        <w:tc>
          <w:tcPr>
            <w:tcW w:w="31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Forward Purchase Agreement</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3,000,000</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Legacy Zura Equityholders</w:t>
            </w:r>
          </w:p>
        </w:tc>
        <w:tc>
          <w:tcPr>
            <w:tcW w:w="326" w:type="dxa"/>
            <w:tcBorders/>
            <w:vAlign w:val="center"/>
          </w:tcPr>
          <w:p>
            <w:pPr>
              <w:pStyle w:val="TableContents"/>
              <w:bidi w:val="0"/>
              <w:spacing w:before="0" w:after="0"/>
              <w:ind w:left="0" w:right="0" w:hanging="0"/>
              <w:jc w:val="left"/>
              <w:rPr>
                <w:color w:val="231F20"/>
              </w:rPr>
            </w:pPr>
            <w:r>
              <w:rPr>
                <w:color w:val="231F20"/>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14,058,074</w:t>
            </w:r>
          </w:p>
        </w:tc>
        <w:tc>
          <w:tcPr>
            <w:tcW w:w="326" w:type="dxa"/>
            <w:tcBorders/>
            <w:vAlign w:val="center"/>
          </w:tcPr>
          <w:p>
            <w:pPr>
              <w:pStyle w:val="TableContents"/>
              <w:bidi w:val="0"/>
              <w:spacing w:before="0" w:after="0"/>
              <w:ind w:left="0" w:right="0" w:hanging="0"/>
              <w:jc w:val="left"/>
              <w:rPr>
                <w:color w:val="231F20"/>
              </w:rPr>
            </w:pPr>
            <w:r>
              <w:rPr>
                <w:color w:val="231F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52.0</w:t>
            </w:r>
          </w:p>
        </w:tc>
        <w:tc>
          <w:tcPr>
            <w:tcW w:w="31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shares outstanding</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27,052,155</w:t>
            </w:r>
          </w:p>
        </w:tc>
        <w:tc>
          <w:tcPr>
            <w:tcW w:w="32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PIPE Investment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Concurrently with the execution of the Business Combination Agreement, JATT entered into subscription agreements with certain “accredited investors” (as defined by Rule 501 of Regulation D) (the “PIPE Investors”) on June 16, 2022, as amended on November 25, 2022, (the “Ewon PIPE Subscription Agreement”) and March 13, 2023 (the “Eugene PIPE Subscription Agreement”), pursuant to which the PIPE Investors collectively subscribed for and agreed to purchase an aggregate of 2,009,950 JATT Class A Ordinary Shares at a purchase price of $10.00 per share for $20,099,500.</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Forward Purchase Agreement and Redemption Backstop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27, 2022, JATT entered into an Amended Forward Purchase Agreement (the “Forward Purchase Agreement”) with two institutional investors (the “FPA Investors”) providing that at the Closing of the Business Combination: (i) the purchasers will purchase an aggregate of 3,000,000 Class A Ordinary Shares at $10 per share for $30,000,000; and (ii) the purchase of, in a binding redemption backstop (the “Redemption Backstop”), up to an additional $15 million of Class A Ordinary Shares in the event that public Class A Ordinary Share redemptions are greater than 90% in connection with the Business Combination (the “Excess Redemptions”). On the Closing Date, FPA Investors purchased 1,301,633 JATT Class A Ordinary Shares at $10 per share for $13,016,330. In addition, the FPA Investors were issued an additional 2,500,000 Class A Ordinary Shares (“Redemption Backstop Consideration”) for no additional consideration.</w:t>
      </w:r>
    </w:p>
    <w:tbl>
      <w:tblPr>
        <w:tblW w:w="2721" w:type="dxa"/>
        <w:jc w:val="left"/>
        <w:tblInd w:w="0" w:type="dxa"/>
        <w:tblLayout w:type="fixed"/>
        <w:tblCellMar>
          <w:top w:w="28" w:type="dxa"/>
          <w:left w:w="28" w:type="dxa"/>
          <w:bottom w:w="28" w:type="dxa"/>
          <w:right w:w="28" w:type="dxa"/>
        </w:tblCellMar>
      </w:tblPr>
      <w:tblGrid>
        <w:gridCol w:w="124"/>
        <w:gridCol w:w="256"/>
        <w:gridCol w:w="2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measures certain financial assets and liabilities at fair value on a recurring basis. The Company determines fair value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These levels are:</w:t>
      </w:r>
    </w:p>
    <w:p>
      <w:pPr>
        <w:pStyle w:val="TextBody"/>
        <w:bidi w:val="0"/>
        <w:spacing w:before="0" w:after="240"/>
        <w:ind w:left="490" w:right="0" w:hanging="0"/>
        <w:jc w:val="both"/>
        <w:rPr>
          <w:rFonts w:ascii="Times New Roman;Times;serif" w:hAnsi="Times New Roman;Times;serif"/>
          <w:sz w:val="20"/>
        </w:rPr>
      </w:pPr>
      <w:r>
        <w:rPr>
          <w:rFonts w:ascii="Times New Roman;Times;serif" w:hAnsi="Times New Roman;Times;serif"/>
          <w:b/>
          <w:sz w:val="20"/>
        </w:rPr>
        <w:t>Level 1:</w:t>
      </w:r>
      <w:r>
        <w:rPr>
          <w:rFonts w:ascii="Times New Roman;Times;serif" w:hAnsi="Times New Roman;Times;serif"/>
          <w:sz w:val="20"/>
        </w:rPr>
        <w:t xml:space="preserve"> Inputs are unadjusted, quoted prices in active markets for identical assets or liabilities at the measurement date;</w:t>
      </w:r>
    </w:p>
    <w:p>
      <w:pPr>
        <w:pStyle w:val="TextBody"/>
        <w:bidi w:val="0"/>
        <w:spacing w:before="0" w:after="240"/>
        <w:ind w:left="490" w:right="0" w:hanging="0"/>
        <w:jc w:val="both"/>
        <w:rPr>
          <w:rFonts w:ascii="Times New Roman;Times;serif" w:hAnsi="Times New Roman;Times;serif"/>
          <w:sz w:val="20"/>
        </w:rPr>
      </w:pPr>
      <w:r>
        <w:rPr>
          <w:rFonts w:ascii="Times New Roman;Times;serif" w:hAnsi="Times New Roman;Times;serif"/>
          <w:b/>
          <w:sz w:val="20"/>
        </w:rPr>
        <w:t>Level 2:</w:t>
      </w:r>
      <w:r>
        <w:rPr>
          <w:rFonts w:ascii="Times New Roman;Times;serif" w:hAnsi="Times New Roman;Times;serif"/>
          <w:sz w:val="20"/>
        </w:rPr>
        <w:t xml:space="preserve">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490" w:right="0" w:hanging="0"/>
        <w:jc w:val="both"/>
        <w:rPr>
          <w:rFonts w:ascii="Times New Roman;Times;serif" w:hAnsi="Times New Roman;Times;serif"/>
          <w:sz w:val="20"/>
        </w:rPr>
      </w:pPr>
      <w:bookmarkStart w:id="1190" w:name="Tc_zQ6mythe8ku0Fijv_KoPNA_7_3"/>
      <w:bookmarkStart w:id="1191" w:name="Tc_Gs_n1-DUCk-Z8hFqMFxVOA_7_2"/>
      <w:bookmarkStart w:id="1192" w:name="Tc_eoMHqlQpvEScFseQ6m8inw_7_0"/>
      <w:bookmarkStart w:id="1193" w:name="Tc_5mdDaAu1RUOhvbU9PSNVdQ_6_0"/>
      <w:bookmarkStart w:id="1194" w:name="Tc_0eoSQJ0BzEOTKdFkvsomlQ_5_0"/>
      <w:bookmarkStart w:id="1195" w:name="Tc_zmITMBe2dUO0GGJvTHwjmg_4_2"/>
      <w:bookmarkStart w:id="1196" w:name="Tc_-dibN4O3QkmcxKIzFZ940g_4_0"/>
      <w:bookmarkStart w:id="1197" w:name="Tc_K7zHG1_jtUaWJ5-vMCasig_3_2"/>
      <w:bookmarkStart w:id="1198" w:name="Tc_22lBio-E-0iED_v4aRiBOA_2_2"/>
      <w:bookmarkStart w:id="1199" w:name="Tc_romwcuBq2kmOPPWPMy04LA_1_2"/>
      <w:bookmarkStart w:id="1200" w:name="_afc04556_0680_42a5_8c3d_7813943baa04_4"/>
      <w:bookmarkStart w:id="1201" w:name="_afc04556_0680_42a5_8c3d_7813943baa04_3"/>
      <w:bookmarkStart w:id="1202" w:name="_afc04556_0680_42a5_8c3d_7813943baa04_2"/>
      <w:bookmarkStart w:id="1203" w:name="_afc04556_0680_42a5_8c3d_7813943baa04"/>
      <w:bookmarkStart w:id="1204" w:name="_5bd520bf_84ad_471a_a05b_ad53e7c93b04_4"/>
      <w:bookmarkStart w:id="1205" w:name="_5bd520bf_84ad_471a_a05b_ad53e7c93b04_3"/>
      <w:bookmarkStart w:id="1206" w:name="_5bd520bf_84ad_471a_a05b_ad53e7c93b04_2"/>
      <w:bookmarkStart w:id="1207" w:name="_5bd520bf_84ad_471a_a05b_ad53e7c93b04"/>
      <w:bookmarkStart w:id="1208" w:name="Tc_4ZhnSAaKYEWeFT0zNic-OA_5_11"/>
      <w:bookmarkStart w:id="1209" w:name="Tc_5mN6YW_THUe1iQ6iS_6pVQ_5_8"/>
      <w:bookmarkStart w:id="1210" w:name="Tc_tLTSMnz-7Eu0WTZCWdqa3w_5_6"/>
      <w:bookmarkStart w:id="1211" w:name="Tc_rIZJ_EeUe0C73CYgBacnyQ_5_5"/>
      <w:bookmarkStart w:id="1212" w:name="Tc_ynVoCSnGm0aUgCzR_pVpsQ_5_3"/>
      <w:bookmarkStart w:id="1213" w:name="Tc_kdlj-Xy-v0ijWIu6mzWzlw_5_2"/>
      <w:bookmarkStart w:id="1214" w:name="Tc_5yfphBYf2ESpTCh4_SxTFg_5_0"/>
      <w:bookmarkStart w:id="1215" w:name="Tc_UurtQ7_jMUy2yRiDs40LSQ_4_11"/>
      <w:bookmarkStart w:id="1216" w:name="Tc_A3Sil_uqV0uYoIL3vW7jOQ_4_8"/>
      <w:bookmarkStart w:id="1217" w:name="Tc_XmWMdoWlNkybFuKuK-Vgaw_4_6"/>
      <w:bookmarkStart w:id="1218" w:name="Tc_gC0LlTtLCUy4hPNqx4MIfA_4_5"/>
      <w:bookmarkStart w:id="1219" w:name="Tc_4s_sjaY500-zitxYIJBYOA_4_3"/>
      <w:bookmarkStart w:id="1220" w:name="Tc_yUki-uVcfk60VAD2Kdh5KA_4_2"/>
      <w:bookmarkStart w:id="1221" w:name="Tc_nh_ix_jz_EC9Xy2Kb4o3kg_4_0"/>
      <w:bookmarkStart w:id="1222" w:name="Tc_mOzZbZwTC0GZAnxPE3pl0g_3_0"/>
      <w:bookmarkStart w:id="1223" w:name="Tc_YYPxv9DPfUOE5Ln54H94pw_2_11"/>
      <w:bookmarkStart w:id="1224" w:name="Tc_0d2lj5iGXkWemVKgYwAK0Q_2_8"/>
      <w:bookmarkStart w:id="1225" w:name="Tc_o32p-lTsek-Ip1TZMJBNtA_2_5"/>
      <w:bookmarkStart w:id="1226" w:name="Tc_sFu-mkMWQUOtW9EJtAc9GQ_2_2"/>
      <w:bookmarkStart w:id="1227" w:name="Tc_rOhC7AdnRUOTp7zYyAHdKw_1_2"/>
      <w:bookmarkStart w:id="1228" w:name="_8e2a5c87_dd31_4a26_9a05_eb484ac5fda3"/>
      <w:bookmarkStart w:id="1229" w:name="Tc_9NuWVxzpr0i2bsNYh1_V6g_6_11"/>
      <w:bookmarkStart w:id="1230" w:name="Tc_w4VMGSrTv0myNSx9nCEO1g_6_9"/>
      <w:bookmarkStart w:id="1231" w:name="Tc_yRInz10cs0GXHuszTFP2nw_6_8"/>
      <w:bookmarkStart w:id="1232" w:name="Tc_9CADA9vwHEaeFmTWLXs3NA_6_5"/>
      <w:bookmarkStart w:id="1233" w:name="Tc_1_YEEM909USGaLSw5E6YSQ_6_3"/>
      <w:bookmarkStart w:id="1234" w:name="Tc_XU62zjWTl0SDU7eo2AwKsw_6_2"/>
      <w:bookmarkStart w:id="1235" w:name="Tc_35j-Tv2opU2KrpMNIJobOg_6_0"/>
      <w:bookmarkStart w:id="1236" w:name="Tc_uVq_-0_QXkS54G3ad2B6hw_5_0"/>
      <w:bookmarkStart w:id="1237" w:name="Tc_g8kt-xC7d0Oh2Z7nBaV_CQ_4_11"/>
      <w:bookmarkStart w:id="1238" w:name="Tc_3jolAd_3Q0GHqEbVeyRLBg_4_9"/>
      <w:bookmarkStart w:id="1239" w:name="Tc_BNrrr5P990Gs3mFrYagQCw_4_8"/>
      <w:bookmarkStart w:id="1240" w:name="Tc_p90VsUO0lk-nyCdV0PP1lw_4_6"/>
      <w:bookmarkStart w:id="1241" w:name="Tc_VDA_NgT_m0-_wpb7fyxgQw_4_5"/>
      <w:bookmarkStart w:id="1242" w:name="Tc_DG-aiWzEiE-30U6dRv4Few_4_2"/>
      <w:bookmarkStart w:id="1243" w:name="Tc_0527NRyyMUO8wMcVNA1R3Q_4_0"/>
      <w:bookmarkStart w:id="1244" w:name="Tc_LKeUZg9ORUaHik5hFqfgLA_3_0"/>
      <w:bookmarkStart w:id="1245" w:name="Tc_hrXYAuL4NEeB-4vd9Qictw_2_11"/>
      <w:bookmarkStart w:id="1246" w:name="Tc_9AEMme0Pu02Q_D4sWZX8-w_2_8"/>
      <w:bookmarkStart w:id="1247" w:name="Tc_r8G86jM26UeXF5yVWjXfAw_2_5"/>
      <w:bookmarkStart w:id="1248" w:name="Tc_TAnfNx5qRkOjsu-wmpCWdw_2_2"/>
      <w:bookmarkStart w:id="1249" w:name="Tc_FNAVY2blyk20WifuXRSQww_1_2"/>
      <w:bookmarkStart w:id="1250" w:name="_3f4efb83_6008_4743_ade8_d87f7c7daf97"/>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r>
        <w:rPr>
          <w:rFonts w:ascii="Times New Roman;Times;serif" w:hAnsi="Times New Roman;Times;serif"/>
          <w:b/>
          <w:sz w:val="20"/>
        </w:rPr>
        <w:t>Level 3:</w:t>
      </w:r>
      <w:r>
        <w:rPr>
          <w:rFonts w:ascii="Times New Roman;Times;serif" w:hAnsi="Times New Roman;Times;serif"/>
          <w:sz w:val="20"/>
        </w:rPr>
        <w:t xml:space="preserve"> Unobservable inputs that are significant to the measurement of the fair value of the assets or liabilities that are supported by little or no market data.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instruments consist of cash and cash equivalents, prepaid and other current assets, accounts payable and accrued expenses, note payable, private placement warrants, and research and development license consideration. The carrying values of the Company’s cash and cash equivalents, prepaid and other current assets, and accounts payable and accrued expenses approximate their fair value due to the short-term maturity of these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information about the Company’s financial assets and liabilities measured at fair value on a recurring basis as of September 30, 2023 and December 31, 2022, and the fair value hierarchy of the valuation techniques utilized.</w:t>
      </w:r>
    </w:p>
    <w:p>
      <w:pPr>
        <w:pStyle w:val="TextBody"/>
        <w:bidi w:val="0"/>
        <w:spacing w:before="0" w:after="0"/>
        <w:ind w:left="0" w:right="0" w:hanging="0"/>
        <w:jc w:val="left"/>
        <w:rPr/>
      </w:pPr>
      <w:r>
        <w:rPr/>
        <w:t>​</w:t>
      </w:r>
    </w:p>
    <w:tbl>
      <w:tblPr>
        <w:tblW w:w="7042" w:type="dxa"/>
        <w:jc w:val="left"/>
        <w:tblInd w:w="0" w:type="dxa"/>
        <w:tblLayout w:type="fixed"/>
        <w:tblCellMar>
          <w:top w:w="0" w:type="dxa"/>
          <w:left w:w="0" w:type="dxa"/>
          <w:bottom w:w="0" w:type="dxa"/>
          <w:right w:w="0" w:type="dxa"/>
        </w:tblCellMar>
      </w:tblPr>
      <w:tblGrid>
        <w:gridCol w:w="2296"/>
        <w:gridCol w:w="326"/>
        <w:gridCol w:w="211"/>
        <w:gridCol w:w="781"/>
        <w:gridCol w:w="326"/>
        <w:gridCol w:w="211"/>
        <w:gridCol w:w="571"/>
        <w:gridCol w:w="326"/>
        <w:gridCol w:w="239"/>
        <w:gridCol w:w="392"/>
        <w:gridCol w:w="326"/>
        <w:gridCol w:w="211"/>
        <w:gridCol w:w="826"/>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457960" cy="175260"/>
                      <wp:effectExtent l="0" t="0" r="0" b="0"/>
                      <wp:wrapNone/>
                      <wp:docPr id="95" name="Frame95"/>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95935" cy="175260"/>
                      <wp:effectExtent l="0" t="0" r="0" b="0"/>
                      <wp:wrapNone/>
                      <wp:docPr id="98" name="Frame9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62585" cy="175260"/>
                      <wp:effectExtent l="0" t="0" r="0" b="0"/>
                      <wp:wrapNone/>
                      <wp:docPr id="101" name="Frame10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51765" cy="175260"/>
                      <wp:effectExtent l="0" t="0" r="0" b="0"/>
                      <wp:wrapNone/>
                      <wp:docPr id="103" name="Frame10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48920" cy="175260"/>
                      <wp:effectExtent l="0" t="0" r="0" b="0"/>
                      <wp:wrapNone/>
                      <wp:docPr id="104" name="Frame104"/>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24510" cy="175260"/>
                      <wp:effectExtent l="0" t="0" r="0" b="0"/>
                      <wp:wrapNone/>
                      <wp:docPr id="107" name="Frame10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420"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r>
      <w:tr>
        <w:trPr/>
        <w:tc>
          <w:tcPr>
            <w:tcW w:w="22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101,950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101,950</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Private placement warrants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1,950</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1,950</w:t>
            </w:r>
          </w:p>
        </w:tc>
      </w:tr>
    </w:tbl>
    <w:p>
      <w:pPr>
        <w:pStyle w:val="TextBody"/>
        <w:bidi w:val="0"/>
        <w:spacing w:before="0" w:after="240"/>
        <w:ind w:left="0" w:right="0" w:hanging="0"/>
        <w:jc w:val="both"/>
        <w:rPr/>
      </w:pPr>
      <w:r>
        <w:rPr/>
        <w:t>​</w:t>
      </w:r>
    </w:p>
    <w:tbl>
      <w:tblPr>
        <w:tblW w:w="8316" w:type="dxa"/>
        <w:jc w:val="left"/>
        <w:tblInd w:w="0" w:type="dxa"/>
        <w:tblLayout w:type="fixed"/>
        <w:tblCellMar>
          <w:top w:w="0" w:type="dxa"/>
          <w:left w:w="0" w:type="dxa"/>
          <w:bottom w:w="0" w:type="dxa"/>
          <w:right w:w="0" w:type="dxa"/>
        </w:tblCellMar>
      </w:tblPr>
      <w:tblGrid>
        <w:gridCol w:w="4081"/>
        <w:gridCol w:w="326"/>
        <w:gridCol w:w="239"/>
        <w:gridCol w:w="392"/>
        <w:gridCol w:w="326"/>
        <w:gridCol w:w="239"/>
        <w:gridCol w:w="392"/>
        <w:gridCol w:w="326"/>
        <w:gridCol w:w="211"/>
        <w:gridCol w:w="571"/>
        <w:gridCol w:w="326"/>
        <w:gridCol w:w="211"/>
        <w:gridCol w:w="676"/>
      </w:tblGrid>
      <w:tr>
        <w:trPr/>
        <w:tc>
          <w:tcPr>
            <w:tcW w:w="4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591435" cy="175260"/>
                      <wp:effectExtent l="0" t="0" r="0" b="0"/>
                      <wp:wrapNone/>
                      <wp:docPr id="108" name="Frame108"/>
                      <a:graphic xmlns:a="http://schemas.openxmlformats.org/drawingml/2006/main">
                        <a:graphicData uri="http://schemas.microsoft.com/office/word/2010/wordprocessingShape">
                          <wps:wsp>
                            <wps:cNvSpPr txBox="1"/>
                            <wps:spPr>
                              <a:xfrm>
                                <a:off x="0" y="0"/>
                                <a:ext cx="2591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51765" cy="175260"/>
                      <wp:effectExtent l="0" t="0" r="0" b="0"/>
                      <wp:wrapNone/>
                      <wp:docPr id="110" name="Frame11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48920" cy="175260"/>
                      <wp:effectExtent l="0" t="0" r="0" b="0"/>
                      <wp:wrapNone/>
                      <wp:docPr id="111" name="Frame111"/>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51765" cy="175260"/>
                      <wp:effectExtent l="0" t="0" r="0" b="0"/>
                      <wp:wrapNone/>
                      <wp:docPr id="113" name="Frame11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48920" cy="175260"/>
                      <wp:effectExtent l="0" t="0" r="0" b="0"/>
                      <wp:wrapNone/>
                      <wp:docPr id="114" name="Frame114"/>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362585" cy="175260"/>
                      <wp:effectExtent l="0" t="0" r="0" b="0"/>
                      <wp:wrapNone/>
                      <wp:docPr id="117" name="Frame1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29260" cy="175260"/>
                      <wp:effectExtent l="0" t="0" r="0" b="0"/>
                      <wp:wrapNone/>
                      <wp:docPr id="120" name="Frame1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0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4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0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center"/>
              <w:rPr/>
            </w:pPr>
            <w:r>
              <w:rPr/>
              <w:t>​</w:t>
            </w:r>
          </w:p>
        </w:tc>
        <w:tc>
          <w:tcPr>
            <w:tcW w:w="392"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center"/>
              <w:rPr/>
            </w:pPr>
            <w:r>
              <w:rPr/>
              <w:t>​</w:t>
            </w:r>
          </w:p>
        </w:tc>
        <w:tc>
          <w:tcPr>
            <w:tcW w:w="392"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r>
      <w:tr>
        <w:trPr/>
        <w:tc>
          <w:tcPr>
            <w:tcW w:w="4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payable</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7,756</w:t>
            </w:r>
          </w:p>
        </w:tc>
      </w:tr>
      <w:tr>
        <w:trPr/>
        <w:tc>
          <w:tcPr>
            <w:tcW w:w="4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license consideration</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2,634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were no transfers into or out of Level 1, Level 2, or Level 3 during the three and nine months ended September 30, 2023 and the period ended December 31, 2022.</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Note payable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elected the fair value option to account for its Note payable to Hydra, LLC (see Note 10). The fair value of the Note payable at issuance was measured as the cash proceeds from the Note. The fair value of the Note payable subsequent to issuance was estimated using the probability-weighted expected return method (“PWERM”), whereby the total settlement obligation under the Note was determined based on the amounts payable to Hydra under various scenarios. The PWERM’s output is determined based on inputs not observable in the market, which represented a Level 3 measurement within the fair value hierarchy. The PWERM contemplated three scenarios: i) the Company consummates the Business Combination without triggering an event of default, ii) the Company triggers an event of default, and consummates the Business Combination, and iii) the Company does not consummate the Business Combination. The settlement value of each scenario was determined using a discounted cash flow model. Significant estimates in the cash flow model include the discount rate and time to repayment. As of December 31, 2022, the weighted average discount rate was 9.0%, and the weighted average time to repayment was 0.6 years, each weighted by the probability of the scenario. Upon the Closing Date of the Business Combination, the Note was remeasured to the settlement value and subsequently repaid for a total of $10.0 million. The following table provides a summary of changes in the estimated fair value of the Note:</w:t>
      </w:r>
    </w:p>
    <w:p>
      <w:pPr>
        <w:pStyle w:val="TextBody"/>
        <w:bidi w:val="0"/>
        <w:spacing w:before="0" w:after="0"/>
        <w:ind w:left="0" w:right="0" w:hanging="0"/>
        <w:jc w:val="left"/>
        <w:rPr/>
      </w:pPr>
      <w:r>
        <w:rPr/>
        <w:t>​</w:t>
      </w:r>
    </w:p>
    <w:tbl>
      <w:tblPr>
        <w:tblW w:w="9717" w:type="dxa"/>
        <w:jc w:val="left"/>
        <w:tblInd w:w="0" w:type="dxa"/>
        <w:tblLayout w:type="fixed"/>
        <w:tblCellMar>
          <w:top w:w="0" w:type="dxa"/>
          <w:left w:w="0" w:type="dxa"/>
          <w:bottom w:w="0" w:type="dxa"/>
          <w:right w:w="0" w:type="dxa"/>
        </w:tblCellMar>
      </w:tblPr>
      <w:tblGrid>
        <w:gridCol w:w="7801"/>
        <w:gridCol w:w="326"/>
        <w:gridCol w:w="336"/>
        <w:gridCol w:w="1254"/>
      </w:tblGrid>
      <w:tr>
        <w:trPr/>
        <w:tc>
          <w:tcPr>
            <w:tcW w:w="7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953635" cy="175260"/>
                      <wp:effectExtent l="0" t="0" r="0" b="0"/>
                      <wp:wrapNone/>
                      <wp:docPr id="121" name="Frame121"/>
                      <a:graphic xmlns:a="http://schemas.openxmlformats.org/drawingml/2006/main">
                        <a:graphicData uri="http://schemas.microsoft.com/office/word/2010/wordprocessingShape">
                          <wps:wsp>
                            <wps:cNvSpPr txBox="1"/>
                            <wps:spPr>
                              <a:xfrm>
                                <a:off x="0" y="0"/>
                                <a:ext cx="4953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3360" cy="175260"/>
                      <wp:effectExtent l="0" t="0" r="0" b="0"/>
                      <wp:wrapNone/>
                      <wp:docPr id="123" name="Frame123"/>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796290" cy="175260"/>
                      <wp:effectExtent l="0" t="0" r="0" b="0"/>
                      <wp:wrapNone/>
                      <wp:docPr id="124" name="Frame124"/>
                      <a:graphic xmlns:a="http://schemas.openxmlformats.org/drawingml/2006/main">
                        <a:graphicData uri="http://schemas.microsoft.com/office/word/2010/wordprocessingShape">
                          <wps:wsp>
                            <wps:cNvSpPr txBox="1"/>
                            <wps:spPr>
                              <a:xfrm>
                                <a:off x="0" y="0"/>
                                <a:ext cx="796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w:t>
            </w:r>
          </w:p>
        </w:tc>
      </w:tr>
      <w:tr>
        <w:trPr/>
        <w:tc>
          <w:tcPr>
            <w:tcW w:w="7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r>
      <w:tr>
        <w:trPr/>
        <w:tc>
          <w:tcPr>
            <w:tcW w:w="7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r>
      <w:tr>
        <w:trPr/>
        <w:tc>
          <w:tcPr>
            <w:tcW w:w="7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7,756</w:t>
            </w:r>
          </w:p>
        </w:tc>
      </w:tr>
      <w:tr>
        <w:trPr/>
        <w:tc>
          <w:tcPr>
            <w:tcW w:w="7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Remeasurement of the Note to settlement value upon the Closing of the Business Combination</w:t>
            </w:r>
          </w:p>
        </w:tc>
        <w:tc>
          <w:tcPr>
            <w:tcW w:w="326"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left"/>
              <w:rPr/>
            </w:pPr>
            <w:r>
              <w:rPr/>
              <w:t> </w:t>
            </w:r>
          </w:p>
        </w:tc>
        <w:tc>
          <w:tcPr>
            <w:tcW w:w="12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2,244</w:t>
            </w:r>
          </w:p>
        </w:tc>
      </w:tr>
      <w:tr>
        <w:trPr/>
        <w:tc>
          <w:tcPr>
            <w:tcW w:w="7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Settlement of the Note</w:t>
            </w:r>
          </w:p>
        </w:tc>
        <w:tc>
          <w:tcPr>
            <w:tcW w:w="326" w:type="dxa"/>
            <w:tcBorders/>
            <w:shd w:fill="CCEEFF" w:val="clear"/>
            <w:vAlign w:val="center"/>
          </w:tcPr>
          <w:p>
            <w:pPr>
              <w:pStyle w:val="TableContents"/>
              <w:bidi w:val="0"/>
              <w:spacing w:before="0" w:after="1"/>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7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September 30, 2023</w:t>
            </w:r>
          </w:p>
        </w:tc>
        <w:tc>
          <w:tcPr>
            <w:tcW w:w="326" w:type="dxa"/>
            <w:tcBorders/>
            <w:vAlign w:val="center"/>
          </w:tcPr>
          <w:p>
            <w:pPr>
              <w:pStyle w:val="TableContents"/>
              <w:bidi w:val="0"/>
              <w:spacing w:before="0" w:after="1"/>
              <w:ind w:left="0" w:right="0" w:hanging="0"/>
              <w:jc w:val="left"/>
              <w:rPr/>
            </w:pPr>
            <w:r>
              <w:rPr/>
              <w:t>​</w:t>
            </w:r>
          </w:p>
        </w:tc>
        <w:tc>
          <w:tcPr>
            <w:tcW w:w="33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recorded a loss on remeasurement of the Note of </w:t>
      </w:r>
      <w:r>
        <w:rPr>
          <w:rFonts w:ascii="Times New Roman;Times;serif" w:hAnsi="Times New Roman;Times;serif"/>
          <w:b w:val="false"/>
          <w:i w:val="false"/>
          <w:caps w:val="false"/>
          <w:smallCaps w:val="false"/>
          <w:sz w:val="20"/>
        </w:rPr>
        <w:t>$2.2</w:t>
      </w:r>
      <w:r>
        <w:rPr>
          <w:rFonts w:ascii="Times New Roman;Times;serif" w:hAnsi="Times New Roman;Times;serif"/>
          <w:sz w:val="20"/>
        </w:rPr>
        <w:t> million for the nine months ended September 30, 2023 within change in fair value of note payable on the condensed consolidated statement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bookmarkStart w:id="1251" w:name="Tc_M82M4-OK9Uu5VsSnf9Yd9w_8_2"/>
      <w:bookmarkStart w:id="1252" w:name="Tc_XqHkHeNT_02PaixV4_tmQQ_8_0"/>
      <w:bookmarkStart w:id="1253" w:name="Tc_NBrIEGcRt0uuEYyEyDKe1g_7_0"/>
      <w:bookmarkStart w:id="1254" w:name="Tc_0shSystFJUK5iayVW_l0nA_6_2"/>
      <w:bookmarkStart w:id="1255" w:name="Tc_cuOhV0Y_WEG0Mqwris9gaQ_6_0"/>
      <w:bookmarkStart w:id="1256" w:name="Tc_MaY-mrfpFE6GVW6A8Ai0Tw_5_0"/>
      <w:bookmarkStart w:id="1257" w:name="Tc_QmZhI9rpzUOEZZmHUZKegw_4_0"/>
      <w:bookmarkStart w:id="1258" w:name="Tc_9VkFQ-rdzESRQgFz1Zia0g_3_0"/>
      <w:bookmarkStart w:id="1259" w:name="Tc_AYnkHp8AN0S0kslBCiaW6A_2_0"/>
      <w:bookmarkStart w:id="1260" w:name="Tc_3ZLyXKbFgUmQPpXnkQD4Sw_1_3"/>
      <w:bookmarkStart w:id="1261" w:name="Tc_iMmmZM0iS063k5cTAo5ndg_1_2"/>
      <w:bookmarkStart w:id="1262" w:name="Tc_AcPqZcZM60qE4i0-UH0FPw_1_0"/>
      <w:bookmarkStart w:id="1263" w:name="Tc_jDtxA6mo2UGjiqoQvFnSbw_7_3"/>
      <w:bookmarkStart w:id="1264" w:name="Tc_4XcS4_vc_UCeI1UtjA_cOw_7_2"/>
      <w:bookmarkStart w:id="1265" w:name="Tc_JCN8IX_k4Eqx9_kEhwuMpw_7_0"/>
      <w:bookmarkStart w:id="1266" w:name="Tc_5f2Xh1hHv02MGL_QZyAelA_6_0"/>
      <w:bookmarkStart w:id="1267" w:name="Tc_y1v_mTx7-0iZ8HBSTXgSyQ_5_0"/>
      <w:bookmarkStart w:id="1268" w:name="Tc_qR36id0GA0eRLu7YKzJwxw_4_2"/>
      <w:bookmarkStart w:id="1269" w:name="Tc_gFYq-j8KrkywUaxaKS8g0g_4_0"/>
      <w:bookmarkStart w:id="1270" w:name="Tc_KJbD6FGFUEGrArhlJz73WQ_3_2"/>
      <w:bookmarkStart w:id="1271" w:name="Tc_yCSp0hUiDEOjPNtrUUCaKw_2_2"/>
      <w:bookmarkStart w:id="1272" w:name="Tc_u0yi2FjYAkCitSyV40PgsA_1_2"/>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r>
        <w:rPr>
          <w:rFonts w:ascii="Times New Roman;Times;serif" w:hAnsi="Times New Roman;Times;serif"/>
          <w:b/>
          <w:i/>
          <w:sz w:val="20"/>
        </w:rPr>
        <w:t>Research and development license consideration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consideration for the 2022 Lilly License (see Note 6), Lilly agreed to receive either 550,000 Zura Class A Ordinary Shares upon the closing of the Business Combination (subject to certain lock-up provisions) or 4,702,867 shares of Z33 Series Seed Preferred Shares (the subsidiary redeemable preferred shares) if the Business Combination was not consummated. As of December 31, 2022, the arrangement was liability classified and remeasured at fair value at each reporting date (the research and development license consideration liability). The fair value of the research and development license consideration liability was estimated using the PWERM, whereby the total settlement obligation was determined based upon the fair value of the JATT Class A Ordinary Shares, the Z33 Series Seed Preferred Shares, and the probability of the consummation of the Business Combination. As certain of the inputs to the PWERM are not observable in the market, the research and development license consideration liability represented a Level 3 measurement within the fair value hierarchy. As of December 31, 2022, the fair value of JATT Class A Ordinary Shares was determined to be $7.66 per share, a discount to the trading price due to the shares being subject to a lock-up provision. As of December 31, 2022, the fair value of Z33 Series Seed Preferred Shares was determined to be $0.15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the Closing Date of the Business Combination, the liability was remeasured to its settlement value and subsequently settled through the issuance of 550,000 Class A Ordinary Shares of Zura. The aggregate fair value of the Class A Ordinary Shares of Zura issued to Lilly was determined to be $4.5 million, or $8.16 per share. The following table provides a summary of changes in the estimated fair value of the liability:</w:t>
      </w:r>
    </w:p>
    <w:p>
      <w:pPr>
        <w:pStyle w:val="TextBody"/>
        <w:bidi w:val="0"/>
        <w:spacing w:before="0" w:after="0"/>
        <w:ind w:left="0" w:right="0" w:hanging="0"/>
        <w:jc w:val="left"/>
        <w:rPr/>
      </w:pPr>
      <w:r>
        <w:rPr/>
        <w:t>​</w:t>
      </w:r>
    </w:p>
    <w:tbl>
      <w:tblPr>
        <w:tblW w:w="9987" w:type="dxa"/>
        <w:jc w:val="left"/>
        <w:tblInd w:w="0" w:type="dxa"/>
        <w:tblLayout w:type="fixed"/>
        <w:tblCellMar>
          <w:top w:w="0" w:type="dxa"/>
          <w:left w:w="0" w:type="dxa"/>
          <w:bottom w:w="0" w:type="dxa"/>
          <w:right w:w="0" w:type="dxa"/>
        </w:tblCellMar>
      </w:tblPr>
      <w:tblGrid>
        <w:gridCol w:w="8071"/>
        <w:gridCol w:w="326"/>
        <w:gridCol w:w="377"/>
        <w:gridCol w:w="1213"/>
      </w:tblGrid>
      <w:tr>
        <w:trPr/>
        <w:tc>
          <w:tcPr>
            <w:tcW w:w="8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125085" cy="175260"/>
                      <wp:effectExtent l="0" t="0" r="0" b="0"/>
                      <wp:wrapNone/>
                      <wp:docPr id="125" name="Frame125"/>
                      <a:graphic xmlns:a="http://schemas.openxmlformats.org/drawingml/2006/main">
                        <a:graphicData uri="http://schemas.microsoft.com/office/word/2010/wordprocessingShape">
                          <wps:wsp>
                            <wps:cNvSpPr txBox="1"/>
                            <wps:spPr>
                              <a:xfrm>
                                <a:off x="0" y="0"/>
                                <a:ext cx="5125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39395" cy="175260"/>
                      <wp:effectExtent l="0" t="0" r="0" b="0"/>
                      <wp:wrapNone/>
                      <wp:docPr id="127" name="Frame127"/>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770255" cy="175260"/>
                      <wp:effectExtent l="0" t="0" r="0" b="0"/>
                      <wp:wrapNone/>
                      <wp:docPr id="128" name="Frame128"/>
                      <a:graphic xmlns:a="http://schemas.openxmlformats.org/drawingml/2006/main">
                        <a:graphicData uri="http://schemas.microsoft.com/office/word/2010/wordprocessingShape">
                          <wps:wsp>
                            <wps:cNvSpPr txBox="1"/>
                            <wps:spPr>
                              <a:xfrm>
                                <a:off x="0" y="0"/>
                                <a:ext cx="770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0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w:t>
            </w:r>
          </w:p>
        </w:tc>
      </w:tr>
      <w:tr>
        <w:trPr/>
        <w:tc>
          <w:tcPr>
            <w:tcW w:w="80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 </w:t>
            </w:r>
          </w:p>
        </w:tc>
      </w:tr>
      <w:tr>
        <w:trPr/>
        <w:tc>
          <w:tcPr>
            <w:tcW w:w="80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r>
      <w:tr>
        <w:trPr/>
        <w:tc>
          <w:tcPr>
            <w:tcW w:w="8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2,634</w:t>
            </w:r>
          </w:p>
        </w:tc>
      </w:tr>
      <w:tr>
        <w:trPr/>
        <w:tc>
          <w:tcPr>
            <w:tcW w:w="8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Remeasurement of the liability to settlement value upon the Closing of the Business Combination</w:t>
            </w:r>
          </w:p>
        </w:tc>
        <w:tc>
          <w:tcPr>
            <w:tcW w:w="326"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pPr>
            <w:r>
              <w:rPr/>
              <w:t> </w:t>
            </w:r>
          </w:p>
        </w:tc>
        <w:tc>
          <w:tcPr>
            <w:tcW w:w="12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1,854</w:t>
            </w:r>
          </w:p>
        </w:tc>
      </w:tr>
      <w:tr>
        <w:trPr/>
        <w:tc>
          <w:tcPr>
            <w:tcW w:w="8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Settlement of the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3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(4,488)</w:t>
            </w:r>
          </w:p>
        </w:tc>
      </w:tr>
      <w:tr>
        <w:trPr/>
        <w:tc>
          <w:tcPr>
            <w:tcW w:w="8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September 30, 2023</w:t>
            </w:r>
          </w:p>
        </w:tc>
        <w:tc>
          <w:tcPr>
            <w:tcW w:w="326" w:type="dxa"/>
            <w:tcBorders/>
            <w:vAlign w:val="center"/>
          </w:tcPr>
          <w:p>
            <w:pPr>
              <w:pStyle w:val="TableContents"/>
              <w:bidi w:val="0"/>
              <w:spacing w:before="0" w:after="1"/>
              <w:ind w:left="0" w:right="0" w:hanging="0"/>
              <w:jc w:val="left"/>
              <w:rPr/>
            </w:pPr>
            <w:r>
              <w:rPr/>
              <w:t>​</w:t>
            </w:r>
          </w:p>
        </w:tc>
        <w:tc>
          <w:tcPr>
            <w:tcW w:w="37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3"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recorded a loss on the remeasurement of the research and development license consideration liability of $1.9 million for the nine months ended September 30, 2023 within research and development on the condensed consolidated statement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Private Placement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September 30, 2023, the Company has private placement warrants assumed in connection with the Business Combination (see Note 8). Such warrants are measured at fair value on a recurring basis. Because the transfer of private placement warrants to non-permitted transferees would result in the private placement warrants having substantially the same terms as the public warrants, the Company determined that the fair value of each private placement warrant is consistent with that of a public warrant. Accordingly, the private placement warrants are classified as Level 2 financial instruments. The following table provides a summary of changes in the estimated fair value of the private placement warrants:</w:t>
      </w:r>
    </w:p>
    <w:p>
      <w:pPr>
        <w:pStyle w:val="TextBody"/>
        <w:bidi w:val="0"/>
        <w:spacing w:before="0" w:after="0"/>
        <w:ind w:left="0" w:right="0" w:hanging="0"/>
        <w:jc w:val="left"/>
        <w:rPr/>
      </w:pPr>
      <w:r>
        <w:rPr/>
        <w:t>​</w:t>
      </w:r>
    </w:p>
    <w:tbl>
      <w:tblPr>
        <w:tblW w:w="4522" w:type="dxa"/>
        <w:jc w:val="left"/>
        <w:tblInd w:w="0" w:type="dxa"/>
        <w:tblLayout w:type="fixed"/>
        <w:tblCellMar>
          <w:top w:w="0" w:type="dxa"/>
          <w:left w:w="0" w:type="dxa"/>
          <w:bottom w:w="0" w:type="dxa"/>
          <w:right w:w="0" w:type="dxa"/>
        </w:tblCellMar>
      </w:tblPr>
      <w:tblGrid>
        <w:gridCol w:w="3526"/>
        <w:gridCol w:w="109"/>
        <w:gridCol w:w="211"/>
        <w:gridCol w:w="676"/>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239010" cy="175260"/>
                      <wp:effectExtent l="0" t="0" r="0" b="0"/>
                      <wp:wrapNone/>
                      <wp:docPr id="129" name="Frame129"/>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30" name="Frame1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29260" cy="175260"/>
                      <wp:effectExtent l="0" t="0" r="0" b="0"/>
                      <wp:wrapNone/>
                      <wp:docPr id="132" name="Frame13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pPr>
            <w:r>
              <w:rPr/>
              <w:t>—</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Assumption of private placement warrants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1,714</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March 31, 2023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1,537</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June 30, 2023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2,069</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September 30, 2023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1,950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recorded a gain from the change in fair value of the private placement warrants of $0.1 million for the three months ended September 30, 2023 and a loss of $0.2 million for the nine months ended September 30, 2023, within change in fair value of private placement warrants on the condensed consolidated statement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273" w:name="Tc_UwnhCxnAV0mtxHoP2HZeHA_11_5"/>
      <w:bookmarkStart w:id="1274" w:name="Tc_YEvPZmsUq0OjdjuDn0F7qA_11_2"/>
      <w:bookmarkStart w:id="1275" w:name="Tc_lvP4Rxrz50GL30vT3uYP6Q_11_0"/>
      <w:bookmarkStart w:id="1276" w:name="Tc_AZTrTUIYiUSnes34UO90pg_10_0"/>
      <w:bookmarkStart w:id="1277" w:name="Tc_w0ZVjhbPsE6sP1Wd9Z2eJw_9_0"/>
      <w:bookmarkStart w:id="1278" w:name="Tc_zc1o1LLwh0KFw19MkNAw0Q_8_0"/>
      <w:bookmarkStart w:id="1279" w:name="Tc_dCLgfAZ3R0GkG_WJimuQsw_7_0"/>
      <w:bookmarkStart w:id="1280" w:name="Tc_NzD2ZTRqV0yIyaE0xGWAFQ_6_0"/>
      <w:bookmarkStart w:id="1281" w:name="Tc_rWm_5uCg-0SQXivj8Pr9jw_5_6"/>
      <w:bookmarkStart w:id="1282" w:name="Tc_nEC16L8qvkSJv3zYV-ACrA_5_0"/>
      <w:bookmarkStart w:id="1283" w:name="Tc_26nia0dGMUmh_faCKfiXzA_4_0"/>
      <w:bookmarkStart w:id="1284" w:name="Tc_OVmjgzuxXkiBRwtTiKnVUQ_3_3"/>
      <w:bookmarkStart w:id="1285" w:name="Tc_A_2FROSLHECQowrkQcQufw_3_0"/>
      <w:bookmarkStart w:id="1286" w:name="Tc_SCmGWi5fI0CeZZvsSh116A_2_5"/>
      <w:bookmarkStart w:id="1287" w:name="Tc_ps1-c7Fa1UGmcEMZifJm-g_2_2"/>
      <w:bookmarkStart w:id="1288" w:name="Tc_yIFRSStTUEuhhWvM7O-5CQ_2_0"/>
      <w:bookmarkStart w:id="1289" w:name="Tc_vJK0YGP35k6Spp4eukZY_A_1_5"/>
      <w:bookmarkStart w:id="1290" w:name="Tc_aM-k_LKYQUq7Se-n6DaMqA_1_2"/>
      <w:bookmarkStart w:id="1291" w:name="Tc_UwnhCxnAV0mtxHoP2HZeHA_11_5"/>
      <w:bookmarkStart w:id="1292" w:name="Tc_YEvPZmsUq0OjdjuDn0F7qA_11_2"/>
      <w:bookmarkStart w:id="1293" w:name="Tc_lvP4Rxrz50GL30vT3uYP6Q_11_0"/>
      <w:bookmarkStart w:id="1294" w:name="Tc_AZTrTUIYiUSnes34UO90pg_10_0"/>
      <w:bookmarkStart w:id="1295" w:name="Tc_w0ZVjhbPsE6sP1Wd9Z2eJw_9_0"/>
      <w:bookmarkStart w:id="1296" w:name="Tc_zc1o1LLwh0KFw19MkNAw0Q_8_0"/>
      <w:bookmarkStart w:id="1297" w:name="Tc_dCLgfAZ3R0GkG_WJimuQsw_7_0"/>
      <w:bookmarkStart w:id="1298" w:name="Tc_NzD2ZTRqV0yIyaE0xGWAFQ_6_0"/>
      <w:bookmarkStart w:id="1299" w:name="Tc_rWm_5uCg-0SQXivj8Pr9jw_5_6"/>
      <w:bookmarkStart w:id="1300" w:name="Tc_nEC16L8qvkSJv3zYV-ACrA_5_0"/>
      <w:bookmarkStart w:id="1301" w:name="Tc_26nia0dGMUmh_faCKfiXzA_4_0"/>
      <w:bookmarkStart w:id="1302" w:name="Tc_OVmjgzuxXkiBRwtTiKnVUQ_3_3"/>
      <w:bookmarkStart w:id="1303" w:name="Tc_A_2FROSLHECQowrkQcQufw_3_0"/>
      <w:bookmarkStart w:id="1304" w:name="Tc_SCmGWi5fI0CeZZvsSh116A_2_5"/>
      <w:bookmarkStart w:id="1305" w:name="Tc_ps1-c7Fa1UGmcEMZifJm-g_2_2"/>
      <w:bookmarkStart w:id="1306" w:name="Tc_yIFRSStTUEuhhWvM7O-5CQ_2_0"/>
      <w:bookmarkStart w:id="1307" w:name="Tc_vJK0YGP35k6Spp4eukZY_A_1_5"/>
      <w:bookmarkStart w:id="1308" w:name="Tc_aM-k_LKYQUq7Se-n6DaMqA_1_2"/>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p>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360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Accounts Payable</w:t>
            </w:r>
            <w:r>
              <w:rPr>
                <w:caps w:val="false"/>
                <w:smallCaps w:val="false"/>
              </w:rPr>
              <w:t xml:space="preserve"> </w:t>
            </w:r>
            <w:r>
              <w:rPr>
                <w:rFonts w:ascii="Times New Roman;Times;serif" w:hAnsi="Times New Roman;Times;serif"/>
                <w:b/>
                <w:i w:val="false"/>
                <w:caps w:val="false"/>
                <w:smallCaps w:val="false"/>
                <w:sz w:val="20"/>
              </w:rPr>
              <w:t>and Accrued Expenses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Accounts payable and accrued expenses is comprised of the following as of September 30, 2023 and December 31, 2022:</w:t>
      </w:r>
    </w:p>
    <w:p>
      <w:pPr>
        <w:pStyle w:val="TextBody"/>
        <w:bidi w:val="0"/>
        <w:spacing w:before="0" w:after="0"/>
        <w:ind w:left="0" w:right="0" w:hanging="0"/>
        <w:jc w:val="left"/>
        <w:rPr/>
      </w:pPr>
      <w:r>
        <w:rPr/>
        <w:t>​</w:t>
      </w:r>
    </w:p>
    <w:tbl>
      <w:tblPr>
        <w:tblW w:w="7554" w:type="dxa"/>
        <w:jc w:val="left"/>
        <w:tblInd w:w="0" w:type="dxa"/>
        <w:tblLayout w:type="fixed"/>
        <w:tblCellMar>
          <w:top w:w="0" w:type="dxa"/>
          <w:left w:w="0" w:type="dxa"/>
          <w:bottom w:w="0" w:type="dxa"/>
          <w:right w:w="0" w:type="dxa"/>
        </w:tblCellMar>
      </w:tblPr>
      <w:tblGrid>
        <w:gridCol w:w="3811"/>
        <w:gridCol w:w="326"/>
        <w:gridCol w:w="367"/>
        <w:gridCol w:w="1178"/>
        <w:gridCol w:w="326"/>
        <w:gridCol w:w="367"/>
        <w:gridCol w:w="1179"/>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419985" cy="175260"/>
                      <wp:effectExtent l="0" t="0" r="0" b="0"/>
                      <wp:wrapNone/>
                      <wp:docPr id="133" name="Frame133"/>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33045" cy="175260"/>
                      <wp:effectExtent l="0" t="0" r="0" b="0"/>
                      <wp:wrapNone/>
                      <wp:docPr id="135" name="Frame135"/>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48030" cy="175260"/>
                      <wp:effectExtent l="0" t="0" r="0" b="0"/>
                      <wp:wrapNone/>
                      <wp:docPr id="136" name="Frame136"/>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33045" cy="175260"/>
                      <wp:effectExtent l="0" t="0" r="0" b="0"/>
                      <wp:wrapNone/>
                      <wp:docPr id="138" name="Frame138"/>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748665" cy="175260"/>
                      <wp:effectExtent l="0" t="0" r="0" b="0"/>
                      <wp:wrapNone/>
                      <wp:docPr id="139" name="Frame139"/>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1,645</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2,010</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offering costs</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payroll</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2023 Lilly License costs</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pPr>
            <w:r>
              <w:rPr/>
              <w:t>—</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legal costs</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research and development costs</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3,833</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bonus</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745</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consulting fees</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accounts payable and accrued expenses</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17,012</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4,428</w:t>
            </w:r>
          </w:p>
        </w:tc>
      </w:tr>
    </w:tbl>
    <w:tbl>
      <w:tblPr>
        <w:tblW w:w="399" w:type="dxa"/>
        <w:jc w:val="left"/>
        <w:tblInd w:w="0" w:type="dxa"/>
        <w:tblLayout w:type="fixed"/>
        <w:tblCellMar>
          <w:top w:w="28" w:type="dxa"/>
          <w:left w:w="28" w:type="dxa"/>
          <w:bottom w:w="28" w:type="dxa"/>
          <w:right w:w="28" w:type="dxa"/>
        </w:tblCellMar>
      </w:tblPr>
      <w:tblGrid>
        <w:gridCol w:w="124"/>
        <w:gridCol w:w="12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
              </w:rPr>
            </w:pPr>
            <w:r>
              <w:rPr>
                <w:rFonts w:ascii="Times New Roman;Times;serif" w:hAnsi="Times New Roman;Times;serif"/>
                <w:b/>
                <w:sz w:val="2"/>
              </w:rPr>
              <w:t>6.</w:t>
            </w:r>
          </w:p>
        </w:tc>
        <w:tc>
          <w:tcPr>
            <w:tcW w:w="154" w:type="dxa"/>
            <w:tcBorders/>
            <w:tcMar>
              <w:top w:w="0" w:type="dxa"/>
              <w:left w:w="0" w:type="dxa"/>
              <w:bottom w:w="0" w:type="dxa"/>
              <w:right w:w="0" w:type="dxa"/>
            </w:tcMar>
            <w:vAlign w:val="center"/>
          </w:tcPr>
          <w:p>
            <w:pPr>
              <w:pStyle w:val="TableContents"/>
              <w:bidi w:val="0"/>
              <w:spacing w:before="0" w:after="240"/>
              <w:ind w:left="0" w:right="0" w:hanging="0"/>
              <w:jc w:val="left"/>
              <w:rPr/>
            </w:pPr>
            <w:r>
              <w:rPr/>
              <w:t>​</w:t>
            </w:r>
          </w:p>
        </w:tc>
      </w:tr>
    </w:tbl>
    <w:p>
      <w:pPr>
        <w:pStyle w:val="TextBody"/>
        <w:bidi w:val="0"/>
        <w:spacing w:before="0" w:after="240"/>
        <w:ind w:left="0" w:right="0" w:hanging="0"/>
        <w:jc w:val="both"/>
        <w:rPr/>
      </w:pPr>
      <w:r>
        <w:rPr/>
        <w:t>​</w:t>
      </w:r>
    </w:p>
    <w:tbl>
      <w:tblPr>
        <w:tblW w:w="2226" w:type="dxa"/>
        <w:jc w:val="left"/>
        <w:tblInd w:w="0" w:type="dxa"/>
        <w:tblLayout w:type="fixed"/>
        <w:tblCellMar>
          <w:top w:w="28" w:type="dxa"/>
          <w:left w:w="28" w:type="dxa"/>
          <w:bottom w:w="28" w:type="dxa"/>
          <w:right w:w="28" w:type="dxa"/>
        </w:tblCellMar>
      </w:tblPr>
      <w:tblGrid>
        <w:gridCol w:w="124"/>
        <w:gridCol w:w="256"/>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 Agreements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Pfizer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22, 2022, the Company entered into a license agreement and a Series A-1 Subscription and Shareholder’s Agreement (collectively, the “Pfizer Agreement”) with Pfizer. Under the Pfizer Agreement, the Company acquired a license for a compound initially developed by Pfizer, in exchange for $5.0 million in cash and 2,702,083 shares (as adjusted by the exchange ratio established in the Business Combination Agreement) of the Company’s Series A-1 convertible preferred shares, representing a 20% interest in the Company. In accordance with ASC 805, the Pfizer Agreement is accounted for as an asset acquisition as substantially all of the $7.5 million value transferred to the Company was allocated to in-process research and development. On the acquisition date, the compound licensed had not yet received regulatory approval and the in-process research and development did not have an alternative use.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consideration transferred on March 22, 2022, the Company is obligated to make 12 development and regulatory milestone payments aggregating up to $70.0 million and sales milestone payments up to an aggregate of $525.0 million based on respective thresholds of net sales of products (developed from the licensed compound) (the “Products”). In further consideration for the license, the Company will also pay an annual earned royalty at a marginal royalty rate in the mid-single digits to low double digits (less than 20%), based on thresholds of nets sales of Products. Royalties are payable on a country-by-country basis for a certain period of years or upon the later expiration of regulatory exclusivity of the Company’s Products in a country.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also subject to a potential multi-million dollar transaction payment if, within a certain period the Company has (a) certain changes in control, excluding an initial public offering or any business combination where the securities of the Company are listed on a stock exchange (e.g., a transaction with a special purpose acquisition company), or (b) the Company sublicenses or divests of its rights to the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Pfizer Agreement also has an anti-dilution provision to allow Pfizer to maintain an 18% interest in the Company, as detailed in Note 7. Immediately prior to the Closing Date of the Business Combination, additional share options and restricted share units were issued to certain employees, executives, and directors that would result in the dilution of Pfizer’s ownership in the Company. In accordance with the anti-dilution provision of the Pfizer Agreement, Pfizer was issued additional Series A-1 convertible preferred shares upon the closing of the Business Combination that were immediately converted to 267,939 Class A Ordinary Shares. In accordance with ASC 718, the Company recognized expense related to these Class A Ordinary Shares based on their grant date fair value. Following the Business Combination, the anti-dilution provision is no longer in effect.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September 30, 2023, the Company does not owe any amounts under the Pfizer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Lonza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July 2022, the Company entered into a license agreement (the “Lonza License”) with Lonza Sales AG (“Lonza”) for a worldwide non-exclusive license for Lonza’s gene expression system in exchange for varying considerations depending on a number of factors such as whether the Company enters further into manufacturing agreements with Lonza or with a third party, and whether the Company enters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The Company is free to terminate the Lonza License at any time upon 60 days’ notice, with or without cause. Lonza may terminate the Lonza License for cause upon a breach by the Company or for other commercially standard reasons.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2022 Lilly License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8, 2022, the Company’s consolidated subsidiary, Z33 Bio Inc. (“Z33”), entered into a license agreement (the “2022 Lilly License”) with Lilly pursuant to which Lilly granted Z33 an exclusive (even as to Lilly), royalty-bearing global license to develop, manufacture, and commercialize certain intellectual property owned by Lilly relating to its IL-33 compound. As consideration, the Company paid Lilly an upfront fee of $7.0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consideration for the 2022 Lilly License, Lilly agreed to receive either 550,000 Class A Ordinary Shares upon the closing of the Business Combination (subject to certain lock-up provisions) or 4,702,867 shares of Z33 Series Seed Preferred Shares (the subsidiary redeemable preferred shares) if the Business Combination was not consummated. The obligation to issue shares represents contingent consideration and is classified as a liability on the consolidated balance sheet (research and development license consideration liability) as of December 31, 2022. The liability is measured at fair value on the acquisition date and remeasured to fair value at each reporting date. Upon the Closing Date of the Business Combination, the Company issued Lilly 550,000 Class A Ordinary Shares at an aggregate fair value of $4.5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acquisition was accounted for as an asset acquisition as substantially all of the fair value of the assets acquired is concentrated in a group of similar identifiable IPR&amp;D assets (as defined below). On the acquisition date, the compound licensed had not yet received regulatory approval and the in-process research and development did not have an alternative use. Accordingly, the Company expensed the entire cost of the 2022 Lilly License as a component of research and development in the consolidated statement of operations during the period ended December 31,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finder’s fee in connection with arranging the acquisition, Z33 issued to Stone Peach Properties, LLC (“Stone Peach”) 4,900,222 shares of Z33 Series Seed Preferred Shares, which is included in the measurement of the cost of the acquired asset. Zura has the right, but not the obligation to purchase up to 50% of the Series Seed Preferred Shares issued to Stone Peach at a price per share of $2.448869 for a period of two years from the date of the agreement. Stone Peach has the right, but not the obligation to sell up to 50% of the Series Seed Preferred Shares issued to Stone Peach to Zura for a price per share of $2.040724. Stone Peach may exercise its option at any time between the first anniversary and the second anniversary of the transaction. In April 2023, the Company agreed to, within six months of April 24, 2023, exercise its call option on 50% of the Z33 Series Seed Preferred Shares previously issued to Stone Peach. The Company agreed to settle its call option by issuing 2,000,000 Class A Ordinary Shares. See Note 12 for further information. The Company and Stone Peach are renegotiating the terms of the exercise of the call option.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consideration transferred on December 8, 2022, the Company is obligated to pay $3.0 million to Lilly upon the completion of a financing by the Company with gross proceeds exceeding $100 million. The Company is further obligated to make 10 commercial, development and regulatory milestone payments up to an aggregate of $155.0 million and sales milestone payments up to an aggregate of $440.0 million based on respective thresholds of net sales of products developed from the licensed compound. The Company will also pay an annual earned royalty to Lilly at a marginal royalty rate between in the mid-single to low-double digits (less than 20%), with increasing rates based on Net Sales in the respective calendar year, based on a percentage of sales within varying thresholds for a certain period of the year. The Company will account for these contingent payments when they become due. As of September 30, 2023, none of the contingent payments were due.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2023 Lilly License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April 26, 2023, the Company’s newly-formed subsidiary ZB17 LLC (“ZB17”) entered into a license agreement (the “2023 Lilly License” and, together with the 2022 Lilly License, the “Lilly Licenses”) with Lilly, for an exclusive license to develop, manufacture and commercialize a certain bispecific antibody relating to IL-17 and BAFF (“ZB-106”) in exchange for an upfront payment consisting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of $5.8 million as well as 1,000,000 Class A Ordinary Shares issued at a fair value of $7.84 per Class A Ordinary Share. In addition, ZB17 will make a payment of $5.0 million upon the receipt of certain know-how, data, information and materials that Lilly is required to provide under the license agreement.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acquisition was accounted for as an asset acquisition as substantially all of the fair value of the assets acquired is concentrated in a group of similar identifiable IPR&amp;D assets. On the acquisition date, the compound licensed had not yet received regulatory approval and the in-process research and development did not have an alternative use. Accordingly, the Company expensed the entire cost of the 2023 Lilly License as a component of research and development in the condensed consolidated statement of operations during the nine months ended September 30, 2023.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a finder’s fee for arranging the acquisition of the 2023 Lilly License, ZB17 granted to Stone Peach the right, but not the obligation, to purchase 4.99% of the fully diluted equity of ZB17 for $1.0 million (the “Stone Peach Call Right”). The Stone Peach Call Right is not exercisable until after the last patient is dosed in any single next clinical trial with ZB-106 and expires one year from the date of first indication approval for ZB-106 by the FDA or the European Medicines Agency (“EMA”). The Company recognized the Stone Peach Call Right at a grant-date fair value of $1.5 million as a component of research and development in the condensed consolidated statement of operations during the nine months ended September 30, 2023. The Stone Peach Call Right represents noncontrolling interest in the Company’s subsidiary, ZB17.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September 30, 2023 and December 31, 2022, the noncontrolling interest balance was $1.5 million and $-0-,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additional consideration, Stone Peach will receive annual payments first of $0.6 million, and increasing by 10% annually, so long as the Company maintains its license for ZB-106 and beginning on May 1, 2023. The Company will account for these annual payments when they become due. The Company recognized the first $0.6 million annual payment as a component of research and development in the condensed consolidated statement of operations during the nine months ended September 30,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finder’s fee for arranging the acquisition of the 2023 Lilly License, the Company agreed to make a one-time milestone payment of $5.0 million to BAFFX17, Ltd (“BAFFX17”) upon the occurrence of either: (i) a change of control transaction, (ii) the closing of an issuance of equity or equity-linked securities by the Company of at least $100.0 million (iii) the consummation of a sale of assets resulting in net proceeds in excess of $100.0 million, or (iv) the Company’s fully diluted shares outstanding exceed 52,500,000 shares (on a split adjusted basis). As the Company’s fully diluted shares outstanding exceeded 52,500,000 shares prior to September 30, 2023, the $5.0 million fee was recorded in accounts payable and accrued expenses in the condensed consolidated balance sheet as of September 30, 2023 and within research and development in the condensed consolidated statement of operations for the nine months ended September 30,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consideration transferred during the nine months ended September 30, 2023, the Company is obligated to make 4 development milestone payments to Lilly up to an aggregate of $155.0 million, and sales milestone payments up to an aggregate of $440 million based on respective thresholds of net sales of products developed from ZB-106. The Company is also obligated to pay Lilly over a multi-year period (twelve years, or upon the later expiration of regulatory exclusivity of ZB-106 in a country) an annual earned royalty at a marginal royalty rate in the mid-single digits to low-double digits, with increasing rates depending on net sales in the respective calendar year, based on a percentage of sales within varying thresholds for a certain period of years. The Company is also obligated to pay BAFFX17 a fee equal to 3% of any milestone or royalty payments due to Lilly pursuant to the terms of either the 2022 Lilly License and the 2023 Lilly License with Lilly. Upon receiving written approval from the FDA, EMA, or similar regulatory authority of the Investigational New Drug (“IND”) and commencement and the commencement of a clinical trial in the applicable jurisdiction for ZB-106, Stone Peach will also receive a one-time payment of $4.5 million. Stone Peach will also receive a one-time milestone payment of $25 million upon either (i) certain equity-related transactions, or (ii) the receipt of regulatory approval from the applicable regulatory authority for any new indication in the applicable jurisdiction. Furthermore, Stone Peach was granted a royalty of 2% of the aggregate net sales of any products developed from the Compound. The Company will account for these contingent payments when they become due. As of September 30, 2023, none of the contingent payments were due.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WuXi Biologics License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July 2023, the Company entered into a cell line license agreement (the "Cell Line License Agreement") with WuXi Biologics and its Affiliates ("WuXi Biologics"). The Cell Line License Agreement provides the Company with a non-exclusive, worldwide, sublicensable license to certain of WuXi Biologics's know-how, cell line, and biological materials (the "WuXi Biologics Licensed Technology") to manufacture, have manufactured, use, sell and import certain products produced through the use of the cell line licensed by WuXi Biologics under the Cell Line License Agreement (the "WuXi Biologics Licensed Products"). In consideration for the license,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 agreed to pay WuXi Biologics a non-refundable license fee of $150,000. Additionally, if the Company manufactures all of its commercial supplies of bulk drug product with a manufacturer other than WuXi Biologics or its affiliates, the Company is required to make royalty payments to WuXi Biologics in an amount equal to a fraction of a single digit percentage of global net sales of WuXi Biologics Licensed Products manufactured by a third-party manufacturer (the "Royalty"). If the Company manufactures part of its commercial supplies of the WuXi Biologics Licensed Products with WuXi Biologics or its affiliates, then the Royalty will be reduced accordingly on a pro rata basis. The Cell Line License Agreement will continue indefinitely unless terminated (i) by the Company upon three months' prior written notice and its payment of all undisputed amounts due to WuXi Biologics through the effective date of termination, (ii) by WuXi Biologics for a material breach by the Company that remains uncured for 30 days after written notice, or (iii) by WuXi Biologics if the Company fails to make a payment and such failure continues for 30 days after receiving notice of such failure.</w:t>
      </w:r>
    </w:p>
    <w:tbl>
      <w:tblPr>
        <w:tblW w:w="5961" w:type="dxa"/>
        <w:jc w:val="left"/>
        <w:tblInd w:w="0" w:type="dxa"/>
        <w:tblLayout w:type="fixed"/>
        <w:tblCellMar>
          <w:top w:w="28" w:type="dxa"/>
          <w:left w:w="28" w:type="dxa"/>
          <w:bottom w:w="28" w:type="dxa"/>
          <w:right w:w="28" w:type="dxa"/>
        </w:tblCellMar>
      </w:tblPr>
      <w:tblGrid>
        <w:gridCol w:w="124"/>
        <w:gridCol w:w="256"/>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558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Convertible Preferred</w:t>
            </w:r>
            <w:r>
              <w:rPr>
                <w:caps w:val="false"/>
                <w:smallCaps w:val="false"/>
              </w:rPr>
              <w:t xml:space="preserve"> </w:t>
            </w:r>
            <w:r>
              <w:rPr>
                <w:rFonts w:ascii="Times New Roman;Times;serif" w:hAnsi="Times New Roman;Times;serif"/>
                <w:b/>
                <w:i w:val="false"/>
                <w:caps w:val="false"/>
                <w:smallCaps w:val="false"/>
                <w:sz w:val="20"/>
              </w:rPr>
              <w:t>Shares and Shareholders’ Equity (Deficit)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Prior to the Business Combination, Legacy Zura was authorized to issue Ordinary Shares and Series A-1 convertible preferred shares. The outstanding Ordinary Shares and Series A-1 convertible preferred shares of Legacy Zura are presented on the consolidated balance sheet and on the statement of changes in convertible preferred shares, redeemable noncontrolling interest and shareholders’ deficit for the annual period ended December 31, 2022.</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Business Combination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Immediately prior to the Closing Date of the Business Combination, Pfizer was issued additional Series A-1 convertible preferred shares upon the closing of the Business Combination that were immediately converted to 267,939 Class A Ordinary Shares. The shares were issued in accordance with the anti-dilution provision of the Pfizer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the Closing Date and in accordance with the terms and subject to the conditions of the Business Combination, each Ordinary Share of Legacy Zura, par value $0.001 per share, Series A-1 convertible preferred share, outstanding option (whether vested or unvested), and restricted share unit (whether vested or unvested) were canceled and converted into a comparable number of awards that consisted of either the rights to receive or acquire the Company’s Class A Ordinary Shares, par value $0.0001 per share, as determined by the exchange ratio pursuant to the Business Combination Agreement. The exchange ratio is approximately 108.083.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16, 2023, in connection with the closing of the Business Combination and effective upon the Closing Date, the Company authorized 300,000,000 Class A Ordinary Shares, par value of $0.0001 and 1,000,000 preferred shares, par value of $0.0001.</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April 2023 Private Placement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26, 2023, the Company entered into its second PIPE subscription agreement (the “April 2023 Private Placement”) with certain accredited investors (the “Subscribers”), whereby the Company issued 15,041,530 Class A Ordinary Shares, par value $0.0001 per share and pre-funded warrants (the “Pre-Funded Warrants”) to purchase up to 3,782,000 Class A Ordinary Shares. Each Class A Ordinary Share was sold at a price of $4.25 per Class A Ordinary Share and each Pre-Funded Warrant was sold at a price of $4.249 per Pre-Funded Warrant for an aggregate purchase price of $80.0 million. See Note 8 for further information on the Pre-Funded Warrants.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Series A-1 Convertible Preferred Shares Rights and Preferences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Conversion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Series A-1 convertible preferred share is convertible, at the option of the holder thereof, at any time after the date of issuance of such share, into such number shares of the Company’s Ordinary Shares, subject to adjustment.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Series A-1 convertible preferred share will automatically be converted into a share of the Company’s Ordinary Shares, subject to adjustment, immediately upon the occurrence of an initial public offering with a gross aggregate subscription with respect to new Ordinary Shares of greater than $50.0 million. The Ordinary Shares resulting from this conversion will rank pari passu with the existing Ordinary Shares at the time of conversion.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Anti-Dilution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Company issues equity securities, other than pursuant to a share option plan, the Company shall issue such number of Series A-1 convertible preferred shares to Pfizer as necessary to maintain Pfizer’s ownership interest of 18%, until the Company raises in excess of $30.0 million in equity, where any capital raised above this threshold is not subject to anti-dilution.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Dividends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holders of shares of Series A-1 convertible preferred shares are entitled to receive dividends, of profits available for distribution as determined by the Company’s board of directors with the consent of the majority of the shareholders, payable on a pro rata, pari passu basis. No dividends have been declared by the Company’s board of directors.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Liquidation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of any voluntary or involuntary liquidation or return of capital (other than a conversion, redemption or purchase of shares) of the Company, the holders of the Series A-1 convertible preferred shares are entitled to receive a liquidation preference prior to any distribution to the holders of Ordinary Shares in the amount $131 per share.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Voting Rights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holders of the Series A-1 convertible preferred shares are entitled to one vote per share, unless the Series A-1 shares are convertible into a greater number of Ordinary Shares or the holders of Series A-1 convertible preferred shares are entitled to any anti-dilution shares, in which case the holders of Series A-1 convertible preferred shares are entitled to the number of votes that the holder would be entitled upon conversion to Ordinary Shares or after the issuance of the anti-dilution shares, respectively.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Redemption Rights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Series A-1 convertible preferred shares are not mandatorily redeemable at the option of the holder.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September 30, 2023, no convertible preferred shares were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outstanding.</w:t>
      </w:r>
    </w:p>
    <w:tbl>
      <w:tblPr>
        <w:tblW w:w="1356" w:type="dxa"/>
        <w:jc w:val="left"/>
        <w:tblInd w:w="0" w:type="dxa"/>
        <w:tblLayout w:type="fixed"/>
        <w:tblCellMar>
          <w:top w:w="0" w:type="dxa"/>
          <w:left w:w="0" w:type="dxa"/>
          <w:bottom w:w="0" w:type="dxa"/>
          <w:right w:w="0" w:type="dxa"/>
        </w:tblCellMar>
      </w:tblPr>
      <w:tblGrid>
        <w:gridCol w:w="124"/>
        <w:gridCol w:w="256"/>
        <w:gridCol w:w="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8.</w:t>
            </w:r>
          </w:p>
        </w:tc>
        <w:tc>
          <w:tcPr>
            <w:tcW w:w="9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Warrants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the accounting acquirer, Zura Bio is deemed to have assumed 5,910,000 private placement warrants to purchase Class A Ordinary Shares that were held by JATT Ventures, L.P. (the “Sponsor”) at an exercise price of $11.50 and 6,899,996 public warrants to purchase Class A Ordinary Shares that were held by JATT’s public shareholders at an exercise price of $11.50. The public and private placement warrants will expire five years after the completion of the Business Combination, or earlier upon redemption or liquidation.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Public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public warrants became exercisable into Class A Ordinary Shares commencing 30 days after the Business Combination and expire five years from the date of the Business Combination, or earlier upon redemption or liquidation. Each warrant entitles the holder to purchase one share of the Company’s Class A Ordinary Shares at a price of $11.50 per share, subject to certain adjustments.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may redeem, with 30 days written notice, each whole outstanding public warrant for cash at a price of $0.01 per warrant if the Reference Value (as defined below) equals or exceeds $18.00 per share, subject to certain adjustments. The warrant holders have the right to exercise their outstanding warrants prior to the scheduled redemption date at $11.50 per share, subject to certain adjustments. If the Company calls the public warrants for redemption, the Company will have the option to require all holders that wish to exercise the Public Warrants to do so on a “cashless basis”, as described in the warrant agreement. For purposes of the redemption, “Reference Value” shall mean the last reported sales price of the Company’s Class A Ordinary Shares for any </w:t>
      </w:r>
      <w:r>
        <w:rPr>
          <w:rFonts w:ascii="Times New Roman;Times;serif" w:hAnsi="Times New Roman;Times;serif"/>
          <w:b w:val="false"/>
          <w:i w:val="false"/>
          <w:caps w:val="false"/>
          <w:smallCaps w:val="false"/>
          <w:sz w:val="20"/>
        </w:rPr>
        <w:t>twenty</w:t>
      </w:r>
      <w:r>
        <w:rPr>
          <w:rFonts w:ascii="Times New Roman;Times;serif" w:hAnsi="Times New Roman;Times;serif"/>
          <w:sz w:val="20"/>
        </w:rPr>
        <w:t> trading days within the thirty trading-day period ending on the third trading day prior to the date on which notice of the redemption is given.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Private Placement Warrants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private placement warrants were identical to the public warrants, except that the private placement warrants are not transferable, assignable or salable until 30 days after the completion of a Business Combination, subject to certain limited exceptions. Additionally,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private placement warrants are exercisable on a cashless basis and are non-redeemable so long as they are held by the initial purchasers or their permitted transferees. If the private placement warrants are held by someone other than the initial purchasers or their permitted transferees, then such warrants will be redeemable by the Company and exercisable by the warrant holders on the same basis as the public warrants.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Pre-Funded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April 2023 Private Placement, the Company sold to accredited investors Pre-Funded Warrants to purchase up to 3,782,000 Class A Ordinary Shares at a price of $4.249 per Pre-Funded Warrant for an aggregate purchase price of approximately $16.1 million. Each Pre-Funded Warrant has an exercise price of $0.001 per Class A Ordinary Share and is exercisable for one Class A Ordinary Share at any time or times on or after April 26, 2023 until exercised in full.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w:t>
      </w:r>
      <w:r>
        <w:rPr>
          <w:rFonts w:ascii="Times New Roman;Times;serif" w:hAnsi="Times New Roman;Times;serif"/>
          <w:b w:val="false"/>
          <w:i w:val="false"/>
          <w:caps w:val="false"/>
          <w:smallCaps w:val="false"/>
          <w:sz w:val="20"/>
        </w:rPr>
        <w:t>September 30, 2023</w:t>
      </w:r>
      <w:r>
        <w:rPr>
          <w:rFonts w:ascii="Times New Roman;Times;serif" w:hAnsi="Times New Roman;Times;serif"/>
          <w:sz w:val="20"/>
        </w:rPr>
        <w:t>, no Warrants have been exercised or redeemed.</w:t>
      </w:r>
    </w:p>
    <w:p>
      <w:pPr>
        <w:pStyle w:val="TextBody"/>
        <w:bidi w:val="0"/>
        <w:spacing w:before="0" w:after="240"/>
        <w:ind w:left="0" w:right="0" w:firstLine="360"/>
        <w:jc w:val="both"/>
        <w:rPr/>
      </w:pPr>
      <w:r>
        <w:rPr/>
        <w:t>​</w:t>
      </w:r>
    </w:p>
    <w:tbl>
      <w:tblPr>
        <w:tblW w:w="2826" w:type="dxa"/>
        <w:jc w:val="left"/>
        <w:tblInd w:w="0" w:type="dxa"/>
        <w:tblLayout w:type="fixed"/>
        <w:tblCellMar>
          <w:top w:w="0" w:type="dxa"/>
          <w:left w:w="0" w:type="dxa"/>
          <w:bottom w:w="0" w:type="dxa"/>
          <w:right w:w="0"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9.</w:t>
            </w:r>
          </w:p>
        </w:tc>
        <w:tc>
          <w:tcPr>
            <w:tcW w:w="24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Share-based Compensation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8, 2022, Legacy Zura’s board of directors approved two stock option plans, the UK Plan (the “UK Plan”) and the US Plan (the “US Plan”) (collectively, the “Option Plans”) which permit the granting of nonqualified share options to certain employees and directors. There were 1,501,165 Ordinary Shares available for issuance under the Option Plans, of which 383,371 Ordinary Shares were authorized for issuance under the US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March 16, 2023, JATT’s board of directors approved the Zura Bio Limited 2023 Equity Incentive Plan (the “Equity Incentive Plan”) which became effective on the day immediately preceding the Closing Date of the Business Combination. The Equity Incentive Plan allows for the grant of share options, both incentive and nonqualified share options; SARs, alone or in conjunction with other awards; restricted shares and restricted share units (“RSUs”); incentive bonuses, which may be paid in cash, shares, or a combination thereof; and other share-based awards. On June 1, 2023, the Company’s board of directors approved an increase to the number of Class A Ordinary Shares that may be issued under the Equity Incentive Plan by an additional 5,564,315 Class A Ordinary Shares. As of September 30, 2023, a maximum of 9,594,213 Class A Ordinary Shares may be issued under the Equity Incentive Plan.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Class A Ordinary Shares issuable under the Equity Incentive Plan are subject to an annual increase on January 1st of each calendar year beginning on January 1, 2024 and ending on and including January 1, 2029, equal to the lesser of (i) 5.0% of the aggregate number of Class A Ordinary Shares outstanding on the final day of the immediately preceding calendar year, (ii) 8,059,796 Class A Ordinary Shares or (iii) such smaller number of shares as is determined by the board.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16, 2023, JATT’s board of directors approved the Zura Bio Limited 2023 Employee Stock Purchase Plan (the “ESPP”) which became effective on the day immediately preceding the Closing Date of the Business Combination. The maximum number of Class A Ordinary Shares that may be issued under the ESPP is 4,029,898, plus an aggregate number of Class A Ordinary Shares that are added under the Equity Incentive Plan on January 1st of each calendar year, beginning on January 1, 2024 and ending on and including January 1, 2029, as discussed above. The ESPP enables eligible employees of the Company and designated affiliates to purchase Class A Ordinary Shares at a discount of 15%. As of September 30, 2023, no shares have been issued under the ESPP.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closing of the Business Combination, all equity awards of Legacy Zura that were issued and outstanding under the Option Plans were converted into comparable equity awards that are settled or exercisable for shares of the Company’s Class A Ordinary Shares under the Equity Incentive Plan. As a result, each of Legacy Zura’s equity awards were converted into an option to purchase Class A Ordinary Shares of the Company based on an exchange ratio of approximately 108.083.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Equity Incentive Plan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Share Options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fair value of Equity Incentive Plan share options are estimated on the date of grant using the Black-Scholes option pricing model. The Company lacks significant company-specific historical and implied volatility information. Therefore, it estimates its expected share volatility based on the historical volatility of a publicly traded set of peer companies. Due to the lack of historical exercise history, the expected term of the Company’s share options has been determined using the “simplified” method for awards. The risk-free interest rate is determined by reference to the U.S. Treasury yield curve in effect at the time of grant of the award for time periods approximately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309" w:name="Tc_bM6qlNWboEuIZjGGS6wldg_12_9"/>
      <w:bookmarkStart w:id="1310" w:name="Tc_338iXY2r906aax_e8j9lYA_12_4"/>
      <w:bookmarkStart w:id="1311" w:name="Tc_iPQuDEULA0CqRWMf682adg_12_0"/>
      <w:bookmarkStart w:id="1312" w:name="Tc_3T9V2W4uIU2PeU9sfmktag_11_9"/>
      <w:bookmarkStart w:id="1313" w:name="Tc_H9hff-2eW02m5xfEg935qQ_11_4"/>
      <w:bookmarkStart w:id="1314" w:name="Tc_jBM6jTAnVUuXu1iKz9axmA_11_0"/>
      <w:bookmarkStart w:id="1315" w:name="Tc_qg3N4CuCskqSTr-mxCkQKA_10_10"/>
      <w:bookmarkStart w:id="1316" w:name="Tc_e6tS9ghyHEq_J0BXn0Ywhw_10_7"/>
      <w:bookmarkStart w:id="1317" w:name="Tc_RWYOjH5UKEmd-XPj8q1Bjw_10_0"/>
      <w:bookmarkStart w:id="1318" w:name="Tc_b95DqzAXVUm2-ZtoHUtWGA_9_10"/>
      <w:bookmarkStart w:id="1319" w:name="Tc_NG6gElTEqk6KJv46COomNg_9_7"/>
      <w:bookmarkStart w:id="1320" w:name="Tc_2v9gclriFUu3e2vpo64qGQ_9_0"/>
      <w:bookmarkStart w:id="1321" w:name="Tc_jFB1MDKKvkOBN-AgLTgpTA_8_0"/>
      <w:bookmarkStart w:id="1322" w:name="Tc_aK7IOlXVGU2MKmDIyrKeSQ_7_10"/>
      <w:bookmarkStart w:id="1323" w:name="Tc_R-1iHs06kEixh-3BVFJwCg_7_7"/>
      <w:bookmarkStart w:id="1324" w:name="Tc_8Mt3VR6vBkSaGk7B6iD_bw_7_0"/>
      <w:bookmarkStart w:id="1325" w:name="Tc_8Rd9eo7rCkiSCgS7yCf6HQ_6_9"/>
      <w:bookmarkStart w:id="1326" w:name="Tc_u5fS42d1cEqfGCYEhix0rQ_6_4"/>
      <w:bookmarkStart w:id="1327" w:name="Tc_bW5jA-YUrUK8iiW9qkaDgg_6_0"/>
      <w:bookmarkStart w:id="1328" w:name="Tc_3QdBSKOjKUeMbeh8Jalwjg_5_9"/>
      <w:bookmarkStart w:id="1329" w:name="Tc_oGhZnX-DdEKQ53zysfGKyg_5_7"/>
      <w:bookmarkStart w:id="1330" w:name="Tc_72VdgSui40ytQ0ifQfzOYA_5_4"/>
      <w:bookmarkStart w:id="1331" w:name="Tc_3j4PbtpFQE2ZbbpmLwAHfQ_5_2"/>
      <w:bookmarkStart w:id="1332" w:name="Tc_FDnjbAvzxUaKgVpMN8WYHQ_4_9"/>
      <w:bookmarkStart w:id="1333" w:name="Tc_bAU-eFAfqkiXYL8lbzXngA_4_7"/>
      <w:bookmarkStart w:id="1334" w:name="Tc_Ck0CfSBWykuZV72c4B95gA_4_4"/>
      <w:bookmarkStart w:id="1335" w:name="Tc_u9UXEO3TFUiPhogAU6q5yA_4_2"/>
      <w:bookmarkStart w:id="1336" w:name="Tc_UOKgFP02_UuqBFvJohSqtw_3_9"/>
      <w:bookmarkStart w:id="1337" w:name="Tc_ir-nseSOCk6ufh3LHIfUKw_3_7"/>
      <w:bookmarkStart w:id="1338" w:name="Tc_ZduVMFAcfUaW2FqHqOkr3g_3_4"/>
      <w:bookmarkStart w:id="1339" w:name="Tc_bb_pPnVwc0GythzP1m5MJA_2_9"/>
      <w:bookmarkStart w:id="1340" w:name="Tc_TsAjR3sVKEqo2SNVoe8IZg_2_7"/>
      <w:bookmarkStart w:id="1341" w:name="Tc_4aHYOjTTB0ehR4hl-FWNnQ_2_4"/>
      <w:bookmarkStart w:id="1342" w:name="Tc_g6_CN4JSMUO6MP9dH5oIOw_1_7"/>
      <w:bookmarkStart w:id="1343" w:name="Tc_EZQVfZKTR0eS6i54aKQ9PA_10_13"/>
      <w:bookmarkStart w:id="1344" w:name="Tc_72ZgbANJSk6UIuo_bkb3cA_10_12"/>
      <w:bookmarkStart w:id="1345" w:name="Tc_4NMbkF7gH0CVhRRvA9MJAQ_10_10"/>
      <w:bookmarkStart w:id="1346" w:name="Tc_STWPKbg7Nke6An2nAOTdiw_10_9"/>
      <w:bookmarkStart w:id="1347" w:name="Tc_xzTzjA7HL0K6a_aJ1lIZkw_10_7"/>
      <w:bookmarkStart w:id="1348" w:name="Tc_0r7BfJWq3kOp1Umh_8ehxg_10_6"/>
      <w:bookmarkStart w:id="1349" w:name="Tc_-q42FYLc2kmj9cSeCwGIWw_10_4"/>
      <w:bookmarkStart w:id="1350" w:name="Tc_Zf45-Cj-10CC36eTx5BJDA_10_3"/>
      <w:bookmarkStart w:id="1351" w:name="Tc_2hDiEzVu0020hXkk5Czdjw_10_0"/>
      <w:bookmarkStart w:id="1352" w:name="Tc_gC7jbgVAiUmuQTkyiaIQvA_9_12"/>
      <w:bookmarkStart w:id="1353" w:name="Tc_p94AXVHbNEmTUUUwBBgGrw_9_9"/>
      <w:bookmarkStart w:id="1354" w:name="Tc_BM5OO1AoCUOxKpWajdIB8A_9_6"/>
      <w:bookmarkStart w:id="1355" w:name="Tc_AzsmQUcs4EWcGMUuuc4IhQ_9_3"/>
      <w:bookmarkStart w:id="1356" w:name="Tc_WnO2UjOr2EOMF2P2c6Ex8Q_9_0"/>
      <w:bookmarkStart w:id="1357" w:name="Tc_KFB1--o4GEeFUj7PSn9T9Q_8_13"/>
      <w:bookmarkStart w:id="1358" w:name="Tc__9grUzSMYEmyy6D8fGtlSQ_8_10"/>
      <w:bookmarkStart w:id="1359" w:name="Tc_vvrKdvcSWkWyaoPkBeCeCQ_8_7"/>
      <w:bookmarkStart w:id="1360" w:name="Tc_r4Ap7kQBP0mZMbnxgaDZkg_8_6"/>
      <w:bookmarkStart w:id="1361" w:name="Tc_YV_xwyS1MkmOuOwhQxleKw_8_4"/>
      <w:bookmarkStart w:id="1362" w:name="Tc_YIzoSw4zbUObgVs0RI94tA_8_3"/>
      <w:bookmarkStart w:id="1363" w:name="Tc_-6sepzwdj0aoWfr_9yt6ww_8_0"/>
      <w:bookmarkStart w:id="1364" w:name="Tc_xEL1-x7epk2mVibhy9J4Og_7_13"/>
      <w:bookmarkStart w:id="1365" w:name="Tc_mSnDia3g70240vPBztiY-w_7_10"/>
      <w:bookmarkStart w:id="1366" w:name="Tc_At5OwgO3OUOIgxqoKy_RJg_7_7"/>
      <w:bookmarkStart w:id="1367" w:name="Tc_cVyKIDj1wkukopDKW5kZjA_7_6"/>
      <w:bookmarkStart w:id="1368" w:name="Tc_gGdGZrvsqkq-qHh9deXRLQ_7_4"/>
      <w:bookmarkStart w:id="1369" w:name="Tc_yYU0_tEoZkOW3M-M0M84GA_7_3"/>
      <w:bookmarkStart w:id="1370" w:name="Tc_sQxvG7Hhh0G6bj8ocO62JA_7_0"/>
      <w:bookmarkStart w:id="1371" w:name="Tc_9hEvREy4dUufCRcsc3XSCg_6_11"/>
      <w:bookmarkStart w:id="1372" w:name="Tc_DEufAtKS1UK1bmW0dK4j0w_6_8"/>
      <w:bookmarkStart w:id="1373" w:name="Tc_rdAy7a0xYEmMiiCCv2xFiQ_6_6"/>
      <w:bookmarkStart w:id="1374" w:name="Tc_ighaAL7ji0KC9Qu0dcgnVQ_6_5"/>
      <w:bookmarkStart w:id="1375" w:name="Tc_wFDgRciLDkmBQfuHJBngDw_6_3"/>
      <w:bookmarkStart w:id="1376" w:name="Tc_udK9amfJfkWHMg35us6Ltg_6_2"/>
      <w:bookmarkStart w:id="1377" w:name="Tc_p3VI8d7Rv0maE9IZqCw78g_6_0"/>
      <w:bookmarkStart w:id="1378" w:name="Tc_c_8X2kz_n02VIOSn9PwNjg_5_11"/>
      <w:bookmarkStart w:id="1379" w:name="Tc_MujNww03p06K49VJA4zIFw_5_8"/>
      <w:bookmarkStart w:id="1380" w:name="Tc_7OwiUvUHyU-WwHRlZ2JDEg_5_5"/>
      <w:bookmarkStart w:id="1381" w:name="Tc_iCektODdFEuDDy2ceqv87A_5_2"/>
      <w:bookmarkStart w:id="1382" w:name="Tc_6omq43OfQEissYGNYsgT1Q_4_11"/>
      <w:bookmarkStart w:id="1383" w:name="Tc_50blOCKxDkmi5M55ZK_77g_4_8"/>
      <w:bookmarkStart w:id="1384" w:name="Tc_Y3RdHvDGvkSkzlLiPrvtOg_4_2"/>
      <w:bookmarkStart w:id="1385" w:name="Tc_EcpQxiJL8EOgZlNGWPlzmA_3_11"/>
      <w:bookmarkStart w:id="1386" w:name="Tc_0r76sWD2ykSwribfXVe5PQ_3_2"/>
      <w:bookmarkStart w:id="1387" w:name="Tc_k0PbMoNrPUq45xVzs6XEkw_2_11"/>
      <w:bookmarkStart w:id="1388" w:name="Tc_EK5fHQbjVEGlFL1LXMp7Vg_1_11"/>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r>
        <w:rPr>
          <w:rFonts w:ascii="Times New Roman;Times;serif" w:hAnsi="Times New Roman;Times;serif"/>
          <w:sz w:val="20"/>
        </w:rPr>
        <w:t>equal to the expected term of the award. Expected dividend yield is zero based on the fact that the Company has never paid cash dividends and does not expect to pay any cash dividends in the foreseeable future.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weighted-average assumptions were used to estimate the fair value of the Equity Incentive Plan share options issued during the three and nine months ended September 30, 2023 and the periods ended September 30, 2022:</w:t>
      </w:r>
    </w:p>
    <w:p>
      <w:pPr>
        <w:pStyle w:val="TextBody"/>
        <w:bidi w:val="0"/>
        <w:spacing w:before="0" w:after="0"/>
        <w:ind w:left="0" w:right="0" w:hanging="0"/>
        <w:jc w:val="left"/>
        <w:rPr/>
      </w:pPr>
      <w:r>
        <w:rPr/>
        <w:t>​</w:t>
      </w:r>
    </w:p>
    <w:tbl>
      <w:tblPr>
        <w:tblW w:w="9255" w:type="dxa"/>
        <w:jc w:val="left"/>
        <w:tblInd w:w="0" w:type="dxa"/>
        <w:tblLayout w:type="fixed"/>
        <w:tblCellMar>
          <w:top w:w="0" w:type="dxa"/>
          <w:left w:w="0" w:type="dxa"/>
          <w:bottom w:w="0" w:type="dxa"/>
          <w:right w:w="0" w:type="dxa"/>
        </w:tblCellMar>
      </w:tblPr>
      <w:tblGrid>
        <w:gridCol w:w="2131"/>
        <w:gridCol w:w="326"/>
        <w:gridCol w:w="321"/>
        <w:gridCol w:w="526"/>
        <w:gridCol w:w="496"/>
        <w:gridCol w:w="321"/>
        <w:gridCol w:w="526"/>
        <w:gridCol w:w="326"/>
        <w:gridCol w:w="583"/>
        <w:gridCol w:w="1457"/>
        <w:gridCol w:w="326"/>
        <w:gridCol w:w="313"/>
        <w:gridCol w:w="1232"/>
        <w:gridCol w:w="371"/>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53185" cy="175260"/>
                      <wp:effectExtent l="0" t="0" r="0" b="0"/>
                      <wp:wrapNone/>
                      <wp:docPr id="140" name="Frame140"/>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3835" cy="175260"/>
                      <wp:effectExtent l="0" t="0" r="0" b="0"/>
                      <wp:wrapNone/>
                      <wp:docPr id="142" name="Frame142"/>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334010" cy="175260"/>
                      <wp:effectExtent l="0" t="0" r="0" b="0"/>
                      <wp:wrapNone/>
                      <wp:docPr id="143" name="Frame143"/>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14960" cy="175260"/>
                      <wp:effectExtent l="0" t="0" r="0" b="0"/>
                      <wp:wrapNone/>
                      <wp:docPr id="144" name="Frame144"/>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3835" cy="175260"/>
                      <wp:effectExtent l="0" t="0" r="0" b="0"/>
                      <wp:wrapNone/>
                      <wp:docPr id="145" name="Frame145"/>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334010" cy="175260"/>
                      <wp:effectExtent l="0" t="0" r="0" b="0"/>
                      <wp:wrapNone/>
                      <wp:docPr id="146" name="Frame146"/>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70205" cy="175260"/>
                      <wp:effectExtent l="0" t="0" r="0" b="0"/>
                      <wp:wrapNone/>
                      <wp:docPr id="148" name="Frame148"/>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925195" cy="175260"/>
                      <wp:effectExtent l="0" t="0" r="0" b="0"/>
                      <wp:wrapNone/>
                      <wp:docPr id="149" name="Frame149"/>
                      <a:graphic xmlns:a="http://schemas.openxmlformats.org/drawingml/2006/main">
                        <a:graphicData uri="http://schemas.microsoft.com/office/word/2010/wordprocessingShape">
                          <wps:wsp>
                            <wps:cNvSpPr txBox="1"/>
                            <wps:spPr>
                              <a:xfrm>
                                <a:off x="0" y="0"/>
                                <a:ext cx="925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98755" cy="175260"/>
                      <wp:effectExtent l="0" t="0" r="0" b="0"/>
                      <wp:wrapNone/>
                      <wp:docPr id="151" name="Frame151"/>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782320" cy="175260"/>
                      <wp:effectExtent l="0" t="0" r="0" b="0"/>
                      <wp:wrapNone/>
                      <wp:docPr id="152" name="Frame152"/>
                      <a:graphic xmlns:a="http://schemas.openxmlformats.org/drawingml/2006/main">
                        <a:graphicData uri="http://schemas.microsoft.com/office/word/2010/wordprocessingShape">
                          <wps:wsp>
                            <wps:cNvSpPr txBox="1"/>
                            <wps:spPr>
                              <a:xfrm>
                                <a:off x="0" y="0"/>
                                <a:ext cx="782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35585" cy="175260"/>
                      <wp:effectExtent l="0" t="0" r="0" b="0"/>
                      <wp:wrapNone/>
                      <wp:docPr id="153" name="Frame153"/>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32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left"/>
              <w:rPr/>
            </w:pPr>
            <w:r>
              <w:rPr/>
              <w:t>​</w:t>
            </w:r>
          </w:p>
        </w:tc>
        <w:tc>
          <w:tcPr>
            <w:tcW w:w="145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5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Period</w:t>
            </w:r>
          </w:p>
        </w:tc>
        <w:tc>
          <w:tcPr>
            <w:tcW w:w="371" w:type="dxa"/>
            <w:tcBorders/>
            <w:vAlign w:val="center"/>
          </w:tcPr>
          <w:p>
            <w:pPr>
              <w:pStyle w:val="TableContents"/>
              <w:bidi w:val="0"/>
              <w:spacing w:before="0" w:after="1"/>
              <w:ind w:left="0" w:right="0" w:hanging="0"/>
              <w:jc w:val="center"/>
              <w:rPr/>
            </w:pPr>
            <w:r>
              <w:rPr/>
              <w:t>    </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left"/>
              <w:rPr/>
            </w:pPr>
            <w:r>
              <w:rPr/>
              <w:t>​</w:t>
            </w:r>
          </w:p>
        </w:tc>
        <w:tc>
          <w:tcPr>
            <w:tcW w:w="145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5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from January 18,</w:t>
            </w:r>
          </w:p>
        </w:tc>
        <w:tc>
          <w:tcPr>
            <w:tcW w:w="371" w:type="dxa"/>
            <w:tcBorders/>
            <w:vAlign w:val="center"/>
          </w:tcPr>
          <w:p>
            <w:pPr>
              <w:pStyle w:val="TableContents"/>
              <w:bidi w:val="0"/>
              <w:spacing w:before="0" w:after="1"/>
              <w:ind w:left="0" w:right="0" w:hanging="0"/>
              <w:jc w:val="center"/>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9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2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left"/>
              <w:rPr/>
            </w:pPr>
            <w:r>
              <w:rPr/>
              <w:t>​</w:t>
            </w:r>
          </w:p>
        </w:tc>
        <w:tc>
          <w:tcPr>
            <w:tcW w:w="145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5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2022 (date of </w:t>
            </w:r>
          </w:p>
        </w:tc>
        <w:tc>
          <w:tcPr>
            <w:tcW w:w="371" w:type="dxa"/>
            <w:tcBorders/>
            <w:vAlign w:val="center"/>
          </w:tcPr>
          <w:p>
            <w:pPr>
              <w:pStyle w:val="TableContents"/>
              <w:bidi w:val="0"/>
              <w:spacing w:before="0" w:after="1"/>
              <w:ind w:left="0" w:right="0" w:hanging="0"/>
              <w:jc w:val="center"/>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1"/>
              <w:ind w:left="0" w:right="0" w:hanging="0"/>
              <w:jc w:val="left"/>
              <w:rPr/>
            </w:pPr>
            <w:r>
              <w:rPr/>
              <w:t>​</w:t>
            </w:r>
          </w:p>
        </w:tc>
        <w:tc>
          <w:tcPr>
            <w:tcW w:w="20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 Months</w:t>
            </w:r>
          </w:p>
        </w:tc>
        <w:tc>
          <w:tcPr>
            <w:tcW w:w="326" w:type="dxa"/>
            <w:tcBorders/>
            <w:vAlign w:val="center"/>
          </w:tcPr>
          <w:p>
            <w:pPr>
              <w:pStyle w:val="TableContents"/>
              <w:bidi w:val="0"/>
              <w:spacing w:before="0" w:after="1"/>
              <w:ind w:left="0" w:right="0" w:hanging="0"/>
              <w:jc w:val="left"/>
              <w:rPr/>
            </w:pPr>
            <w:r>
              <w:rPr/>
              <w:t>​</w:t>
            </w:r>
          </w:p>
        </w:tc>
        <w:tc>
          <w:tcPr>
            <w:tcW w:w="15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inception) to</w:t>
            </w:r>
          </w:p>
        </w:tc>
        <w:tc>
          <w:tcPr>
            <w:tcW w:w="371" w:type="dxa"/>
            <w:tcBorders/>
            <w:vAlign w:val="center"/>
          </w:tcPr>
          <w:p>
            <w:pPr>
              <w:pStyle w:val="TableContents"/>
              <w:bidi w:val="0"/>
              <w:spacing w:before="0" w:after="1"/>
              <w:ind w:left="0" w:right="0" w:hanging="0"/>
              <w:jc w:val="center"/>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96" w:type="dxa"/>
            <w:tcBorders/>
            <w:vAlign w:val="center"/>
          </w:tcPr>
          <w:p>
            <w:pPr>
              <w:pStyle w:val="TableContents"/>
              <w:bidi w:val="0"/>
              <w:spacing w:before="0" w:after="1"/>
              <w:ind w:left="0" w:right="0" w:hanging="0"/>
              <w:jc w:val="left"/>
              <w:rPr/>
            </w:pPr>
            <w:r>
              <w:rPr/>
              <w:t>    </w:t>
            </w:r>
          </w:p>
        </w:tc>
        <w:tc>
          <w:tcPr>
            <w:tcW w:w="8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20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September 30, 2023</w:t>
            </w:r>
          </w:p>
        </w:tc>
        <w:tc>
          <w:tcPr>
            <w:tcW w:w="326" w:type="dxa"/>
            <w:tcBorders/>
            <w:vAlign w:val="center"/>
          </w:tcPr>
          <w:p>
            <w:pPr>
              <w:pStyle w:val="TableContents"/>
              <w:bidi w:val="0"/>
              <w:spacing w:before="0" w:after="1"/>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2022</w:t>
            </w:r>
          </w:p>
        </w:tc>
        <w:tc>
          <w:tcPr>
            <w:tcW w:w="371" w:type="dxa"/>
            <w:tcBorders/>
            <w:vAlign w:val="center"/>
          </w:tcPr>
          <w:p>
            <w:pPr>
              <w:pStyle w:val="TableContents"/>
              <w:bidi w:val="0"/>
              <w:spacing w:before="0" w:after="1"/>
              <w:ind w:left="0" w:right="0" w:hanging="0"/>
              <w:jc w:val="center"/>
              <w:rPr/>
            </w:pPr>
            <w:r>
              <w:rPr/>
              <w:t> </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1"/>
              <w:ind w:left="0" w:right="0" w:hanging="0"/>
              <w:jc w:val="right"/>
              <w:rPr/>
            </w:pPr>
            <w:r>
              <w:rPr/>
              <w:t>—</w:t>
            </w:r>
          </w:p>
        </w:tc>
        <w:tc>
          <w:tcPr>
            <w:tcW w:w="49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w:t>
            </w:r>
          </w:p>
        </w:tc>
        <w:tc>
          <w:tcPr>
            <w:tcW w:w="326"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0.77</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pPr>
            <w:r>
              <w:rPr/>
              <w:t>—</w:t>
            </w:r>
          </w:p>
        </w:tc>
        <w:tc>
          <w:tcPr>
            <w:tcW w:w="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vAlign w:val="center"/>
          </w:tcPr>
          <w:p>
            <w:pPr>
              <w:pStyle w:val="TableContents"/>
              <w:bidi w:val="0"/>
              <w:spacing w:before="0" w:after="1"/>
              <w:ind w:left="0" w:right="0" w:hanging="0"/>
              <w:jc w:val="left"/>
              <w:rPr/>
            </w:pPr>
            <w:r>
              <w:rPr/>
              <w:t>​</w:t>
            </w:r>
          </w:p>
        </w:tc>
        <w:tc>
          <w:tcPr>
            <w:tcW w:w="14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97.1</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13" w:type="dxa"/>
            <w:tcBorders/>
            <w:vAlign w:val="center"/>
          </w:tcPr>
          <w:p>
            <w:pPr>
              <w:pStyle w:val="TableContents"/>
              <w:bidi w:val="0"/>
              <w:spacing w:before="0" w:after="1"/>
              <w:ind w:left="0" w:right="0" w:hanging="0"/>
              <w:jc w:val="left"/>
              <w:rPr/>
            </w:pPr>
            <w:r>
              <w:rPr/>
              <w:t> </w:t>
            </w:r>
          </w:p>
        </w:tc>
        <w:tc>
          <w:tcPr>
            <w:tcW w:w="12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95.1</w:t>
            </w:r>
          </w:p>
        </w:tc>
        <w:tc>
          <w:tcPr>
            <w:tcW w:w="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pPr>
            <w:r>
              <w:rPr/>
              <w:t>—</w:t>
            </w:r>
          </w:p>
        </w:tc>
        <w:tc>
          <w:tcPr>
            <w:tcW w:w="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1"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1"/>
              <w:ind w:left="0" w:right="0" w:hanging="0"/>
              <w:jc w:val="left"/>
              <w:rPr/>
            </w:pPr>
            <w:r>
              <w:rPr/>
              <w:t>​</w:t>
            </w:r>
          </w:p>
        </w:tc>
        <w:tc>
          <w:tcPr>
            <w:tcW w:w="14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13" w:type="dxa"/>
            <w:tcBorders/>
            <w:shd w:fill="CCEEFF" w:val="clear"/>
            <w:vAlign w:val="center"/>
          </w:tcPr>
          <w:p>
            <w:pPr>
              <w:pStyle w:val="TableContents"/>
              <w:bidi w:val="0"/>
              <w:spacing w:before="0" w:after="1"/>
              <w:ind w:left="0" w:right="0" w:hanging="0"/>
              <w:jc w:val="left"/>
              <w:rPr/>
            </w:pPr>
            <w:r>
              <w:rPr/>
              <w:t> </w:t>
            </w:r>
          </w:p>
        </w:tc>
        <w:tc>
          <w:tcPr>
            <w:tcW w:w="12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pPr>
            <w:r>
              <w:rPr/>
              <w:t>—</w:t>
            </w:r>
          </w:p>
        </w:tc>
        <w:tc>
          <w:tcPr>
            <w:tcW w:w="49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left"/>
              <w:rPr/>
            </w:pPr>
            <w:r>
              <w:rPr/>
              <w:t>​</w:t>
            </w:r>
          </w:p>
        </w:tc>
        <w:tc>
          <w:tcPr>
            <w:tcW w:w="14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 years</w:t>
            </w:r>
          </w:p>
        </w:tc>
        <w:tc>
          <w:tcPr>
            <w:tcW w:w="326" w:type="dxa"/>
            <w:tcBorders/>
            <w:vAlign w:val="center"/>
          </w:tcPr>
          <w:p>
            <w:pPr>
              <w:pStyle w:val="TableContents"/>
              <w:bidi w:val="0"/>
              <w:spacing w:before="0" w:after="1"/>
              <w:ind w:left="0" w:right="0" w:hanging="0"/>
              <w:jc w:val="left"/>
              <w:rPr/>
            </w:pPr>
            <w:r>
              <w:rPr/>
              <w:t>​</w:t>
            </w:r>
          </w:p>
        </w:tc>
        <w:tc>
          <w:tcPr>
            <w:tcW w:w="313" w:type="dxa"/>
            <w:tcBorders/>
            <w:vAlign w:val="center"/>
          </w:tcPr>
          <w:p>
            <w:pPr>
              <w:pStyle w:val="TableContents"/>
              <w:bidi w:val="0"/>
              <w:spacing w:before="0" w:after="1"/>
              <w:ind w:left="0" w:right="0" w:hanging="0"/>
              <w:jc w:val="left"/>
              <w:rPr/>
            </w:pPr>
            <w:r>
              <w:rPr/>
              <w:t> </w:t>
            </w:r>
          </w:p>
        </w:tc>
        <w:tc>
          <w:tcPr>
            <w:tcW w:w="12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 years</w:t>
            </w:r>
          </w:p>
        </w:tc>
        <w:tc>
          <w:tcPr>
            <w:tcW w:w="371"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pPr>
            <w:r>
              <w:rPr/>
              <w:t>—</w:t>
            </w:r>
          </w:p>
        </w:tc>
        <w:tc>
          <w:tcPr>
            <w:tcW w:w="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1"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1"/>
              <w:ind w:left="0" w:right="0" w:hanging="0"/>
              <w:jc w:val="left"/>
              <w:rPr/>
            </w:pPr>
            <w:r>
              <w:rPr/>
              <w:t>​</w:t>
            </w:r>
          </w:p>
        </w:tc>
        <w:tc>
          <w:tcPr>
            <w:tcW w:w="14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13" w:type="dxa"/>
            <w:tcBorders/>
            <w:shd w:fill="CCEEFF" w:val="clear"/>
            <w:vAlign w:val="center"/>
          </w:tcPr>
          <w:p>
            <w:pPr>
              <w:pStyle w:val="TableContents"/>
              <w:bidi w:val="0"/>
              <w:spacing w:before="0" w:after="1"/>
              <w:ind w:left="0" w:right="0" w:hanging="0"/>
              <w:jc w:val="left"/>
              <w:rPr/>
            </w:pPr>
            <w:r>
              <w:rPr/>
              <w:t> </w:t>
            </w:r>
          </w:p>
        </w:tc>
        <w:tc>
          <w:tcPr>
            <w:tcW w:w="1232"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share option activity for the nine months ended September 30, 2023:</w:t>
      </w:r>
    </w:p>
    <w:p>
      <w:pPr>
        <w:pStyle w:val="TextBody"/>
        <w:bidi w:val="0"/>
        <w:spacing w:before="0" w:after="0"/>
        <w:ind w:left="0" w:right="0" w:hanging="0"/>
        <w:jc w:val="left"/>
        <w:rPr/>
      </w:pPr>
      <w:r>
        <w:rPr/>
        <w:t>​</w:t>
      </w:r>
    </w:p>
    <w:tbl>
      <w:tblPr>
        <w:tblW w:w="10023" w:type="dxa"/>
        <w:jc w:val="left"/>
        <w:tblInd w:w="0" w:type="dxa"/>
        <w:tblLayout w:type="fixed"/>
        <w:tblCellMar>
          <w:top w:w="0" w:type="dxa"/>
          <w:left w:w="0" w:type="dxa"/>
          <w:bottom w:w="0" w:type="dxa"/>
          <w:right w:w="0" w:type="dxa"/>
        </w:tblCellMar>
      </w:tblPr>
      <w:tblGrid>
        <w:gridCol w:w="4501"/>
        <w:gridCol w:w="326"/>
        <w:gridCol w:w="931"/>
        <w:gridCol w:w="326"/>
        <w:gridCol w:w="282"/>
        <w:gridCol w:w="844"/>
        <w:gridCol w:w="326"/>
        <w:gridCol w:w="991"/>
        <w:gridCol w:w="326"/>
        <w:gridCol w:w="264"/>
        <w:gridCol w:w="906"/>
      </w:tblGrid>
      <w:tr>
        <w:trPr/>
        <w:tc>
          <w:tcPr>
            <w:tcW w:w="4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858135" cy="175260"/>
                      <wp:effectExtent l="0" t="0" r="0" b="0"/>
                      <wp:wrapNone/>
                      <wp:docPr id="154" name="Frame154"/>
                      <a:graphic xmlns:a="http://schemas.openxmlformats.org/drawingml/2006/main">
                        <a:graphicData uri="http://schemas.microsoft.com/office/word/2010/wordprocessingShape">
                          <wps:wsp>
                            <wps:cNvSpPr txBox="1"/>
                            <wps:spPr>
                              <a:xfrm>
                                <a:off x="0" y="0"/>
                                <a:ext cx="2858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91185" cy="175260"/>
                      <wp:effectExtent l="0" t="0" r="0" b="0"/>
                      <wp:wrapNone/>
                      <wp:docPr id="156" name="Frame15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79070" cy="175260"/>
                      <wp:effectExtent l="0" t="0" r="0" b="0"/>
                      <wp:wrapNone/>
                      <wp:docPr id="158" name="Frame158"/>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35940" cy="175260"/>
                      <wp:effectExtent l="0" t="0" r="0" b="0"/>
                      <wp:wrapNone/>
                      <wp:docPr id="159" name="Frame159"/>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29285" cy="175260"/>
                      <wp:effectExtent l="0" t="0" r="0" b="0"/>
                      <wp:wrapNone/>
                      <wp:docPr id="161" name="Frame16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67640" cy="175260"/>
                      <wp:effectExtent l="0" t="0" r="0" b="0"/>
                      <wp:wrapNone/>
                      <wp:docPr id="163" name="Frame163"/>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75310" cy="175260"/>
                      <wp:effectExtent l="0" t="0" r="0" b="0"/>
                      <wp:wrapNone/>
                      <wp:docPr id="164" name="Frame164"/>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82"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    </w:t>
            </w:r>
          </w:p>
        </w:tc>
        <w:tc>
          <w:tcPr>
            <w:tcW w:w="264"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center"/>
              <w:rPr/>
            </w:pPr>
            <w:r>
              <w:rPr/>
              <w:t>​</w:t>
            </w:r>
          </w:p>
        </w:tc>
      </w:tr>
      <w:tr>
        <w:trPr/>
        <w:tc>
          <w:tcPr>
            <w:tcW w:w="45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5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5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5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26" w:type="dxa"/>
            <w:tcBorders/>
            <w:vAlign w:val="center"/>
          </w:tcPr>
          <w:p>
            <w:pPr>
              <w:pStyle w:val="TableContents"/>
              <w:bidi w:val="0"/>
              <w:spacing w:before="0" w:after="1"/>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outstanding at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3,547</w:t>
            </w:r>
          </w:p>
        </w:tc>
        <w:tc>
          <w:tcPr>
            <w:tcW w:w="32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90.50</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1,804</w:t>
            </w:r>
          </w:p>
        </w:tc>
      </w:tr>
      <w:tr>
        <w:trPr/>
        <w:tc>
          <w:tcPr>
            <w:tcW w:w="45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Recapitalization</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379,824</w:t>
            </w:r>
          </w:p>
        </w:tc>
        <w:tc>
          <w:tcPr>
            <w:tcW w:w="326" w:type="dxa"/>
            <w:tcBorders/>
            <w:vAlign w:val="center"/>
          </w:tcPr>
          <w:p>
            <w:pPr>
              <w:pStyle w:val="TableContents"/>
              <w:bidi w:val="0"/>
              <w:spacing w:before="0" w:after="1"/>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(89.66)</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outstanding at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383,371</w:t>
            </w:r>
          </w:p>
        </w:tc>
        <w:tc>
          <w:tcPr>
            <w:tcW w:w="32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pPr>
            <w:r>
              <w:rPr/>
              <w:t> </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0.84</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1,804</w:t>
            </w:r>
          </w:p>
        </w:tc>
      </w:tr>
      <w:tr>
        <w:trPr/>
        <w:tc>
          <w:tcPr>
            <w:tcW w:w="45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5,874,144</w:t>
            </w:r>
          </w:p>
        </w:tc>
        <w:tc>
          <w:tcPr>
            <w:tcW w:w="326" w:type="dxa"/>
            <w:tcBorders/>
            <w:vAlign w:val="center"/>
          </w:tcPr>
          <w:p>
            <w:pPr>
              <w:pStyle w:val="TableContents"/>
              <w:bidi w:val="0"/>
              <w:spacing w:before="0" w:after="1"/>
              <w:ind w:left="0" w:right="0" w:hanging="0"/>
              <w:jc w:val="left"/>
              <w:rPr/>
            </w:pPr>
            <w:r>
              <w:rPr/>
              <w:t>​</w:t>
            </w:r>
          </w:p>
        </w:tc>
        <w:tc>
          <w:tcPr>
            <w:tcW w:w="282"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r>
      <w:tr>
        <w:trPr/>
        <w:tc>
          <w:tcPr>
            <w:tcW w:w="4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(576,044)</w:t>
            </w:r>
          </w:p>
        </w:tc>
        <w:tc>
          <w:tcPr>
            <w:tcW w:w="326" w:type="dxa"/>
            <w:tcBorders/>
            <w:shd w:fill="CCEEFF" w:val="clear"/>
            <w:vAlign w:val="center"/>
          </w:tcPr>
          <w:p>
            <w:pPr>
              <w:pStyle w:val="TableContents"/>
              <w:bidi w:val="0"/>
              <w:spacing w:before="0" w:after="1"/>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5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outstanding at September 30, 2023</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5,681,471</w:t>
            </w:r>
          </w:p>
        </w:tc>
        <w:tc>
          <w:tcPr>
            <w:tcW w:w="326" w:type="dxa"/>
            <w:tcBorders/>
            <w:vAlign w:val="center"/>
          </w:tcPr>
          <w:p>
            <w:pPr>
              <w:pStyle w:val="TableContents"/>
              <w:bidi w:val="0"/>
              <w:spacing w:before="0" w:after="1"/>
              <w:ind w:left="0" w:right="0" w:hanging="0"/>
              <w:jc w:val="left"/>
              <w:rPr/>
            </w:pPr>
            <w:r>
              <w:rPr/>
              <w:t>​</w:t>
            </w:r>
          </w:p>
        </w:tc>
        <w:tc>
          <w:tcPr>
            <w:tcW w:w="28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vAlign w:val="center"/>
          </w:tcPr>
          <w:p>
            <w:pPr>
              <w:pStyle w:val="TableContents"/>
              <w:bidi w:val="0"/>
              <w:spacing w:before="0" w:after="1"/>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25,626</w:t>
            </w:r>
          </w:p>
        </w:tc>
      </w:tr>
      <w:tr>
        <w:trPr/>
        <w:tc>
          <w:tcPr>
            <w:tcW w:w="4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vested and exercisable at September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1,435,910</w:t>
            </w:r>
          </w:p>
        </w:tc>
        <w:tc>
          <w:tcPr>
            <w:tcW w:w="32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1,808</w:t>
            </w:r>
          </w:p>
        </w:tc>
      </w:tr>
    </w:tbl>
    <w:p>
      <w:pPr>
        <w:pStyle w:val="TextBody"/>
        <w:pBdr/>
        <w:bidi w:val="0"/>
        <w:spacing w:before="0" w:after="240"/>
        <w:ind w:left="0" w:right="0" w:hanging="36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Included in the table above are 45,611 PSOs that vested upon the Company raising external capital of $75 million or more. The milestone was considered outside of the Company’s control, and accordingly the vesting of the PSOs were not considered probable until the financing event occurs. During the nine months ended September 30, 2023, the 45,611 PSOs became vested and an immaterial amount of share-based compensation expense was recognized in relation to these PSOs.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Market-Based Share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March 20, 2023, the Company granted 306,373 options to purchase Class A Ordinary Shares (“Market-Based Share Options”) to a certain Director of the Board. These awards will vest only to the extent that the 20-day volume weighted average trading price (“VWAP”) of the Class A Ordinary Shares is over $30 per Class A Ordinary Share at any time prior to the </w:t>
      </w:r>
      <w:r>
        <w:rPr>
          <w:rFonts w:ascii="Times New Roman;Times;serif" w:hAnsi="Times New Roman;Times;serif"/>
          <w:b w:val="false"/>
          <w:i w:val="false"/>
          <w:caps w:val="false"/>
          <w:smallCaps w:val="false"/>
          <w:sz w:val="20"/>
        </w:rPr>
        <w:t>fifth anniversary</w:t>
      </w:r>
      <w:r>
        <w:rPr>
          <w:rFonts w:ascii="Times New Roman;Times;serif" w:hAnsi="Times New Roman;Times;serif"/>
          <w:sz w:val="20"/>
        </w:rPr>
        <w:t xml:space="preserve"> of the grant date. These awards have an exercise price of $8.16 and become exercisable when vested and the market condition is satisfied. These awards expire 10 years from the date of grant. The fair value of these Market-Based Share Options were estimated using a Monte Carlo valuation method.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389" w:name="Tc_0t9yU675OUCxRAoWSdA97g_8_4"/>
      <w:bookmarkStart w:id="1390" w:name="Tc_FaGBFrvk9EKqD-Bk-GJyNw_8_0"/>
      <w:bookmarkStart w:id="1391" w:name="Tc_wGM1Uv1-0UqUR9vBv0rmjA_7_0"/>
      <w:bookmarkStart w:id="1392" w:name="Tc_yXcbeNd8sEqBPpGcTQOVOw_6_0"/>
      <w:bookmarkStart w:id="1393" w:name="Tc_jbbRtFN2HUmBYUAb3U36-A_5_5"/>
      <w:bookmarkStart w:id="1394" w:name="Tc_eRjX_pOTZU6LFbTa98aFhA_5_4"/>
      <w:bookmarkStart w:id="1395" w:name="Tc_3mHZPitQBUSiY5gBqJFVKw_5_2"/>
      <w:bookmarkStart w:id="1396" w:name="Tc_QzPhYWSDkUG8Zu6soju_-Q_5_0"/>
      <w:bookmarkStart w:id="1397" w:name="Tc__AK1XRoAFECPCQQgpLHLCg_4_4"/>
      <w:bookmarkStart w:id="1398" w:name="Tc_xyARGQjp0kyMnBY69veJog_4_2"/>
      <w:bookmarkStart w:id="1399" w:name="Tc_a7FF7kiCHkyuc8rNoOPLYA_3_4"/>
      <w:bookmarkStart w:id="1400" w:name="Tc_B7ISwLepgUaJq2NjrcbVPg_3_2"/>
      <w:bookmarkStart w:id="1401" w:name="Tc_JhxIpv3GnE2vj4HJuUwB1w_2_4"/>
      <w:bookmarkStart w:id="1402" w:name="Tc_pdaqOclIzkOjhTb1rMXxoA_1_4"/>
      <w:bookmarkStart w:id="1403" w:name="Tc_yxnpGAq9JkGOC3w0juh3nw_9_2"/>
      <w:bookmarkStart w:id="1404" w:name="Tc_RtkRVcTJzkGRbb90xf6nvA_9_0"/>
      <w:bookmarkStart w:id="1405" w:name="Tc_xwxRoFPYe0SwOj7rR21KvA_8_4"/>
      <w:bookmarkStart w:id="1406" w:name="Tc_35jJss7nvEu5byEEN_YVgg_8_3"/>
      <w:bookmarkStart w:id="1407" w:name="Tc_ysK4oWGYh0mtChyQfk9rxg_8_0"/>
      <w:bookmarkStart w:id="1408" w:name="Tc_Mc-k_tOv8Uuyv0BTfleheg_7_3"/>
      <w:bookmarkStart w:id="1409" w:name="Tc_OFK-nTh5uE-oRZLJXRAuGA_7_0"/>
      <w:bookmarkStart w:id="1410" w:name="Tc_64qOukSdqEWBEjNvg49xPw_6_4"/>
      <w:bookmarkStart w:id="1411" w:name="Tc_0sRk58owVE29JQh2yYu0Sw_6_0"/>
      <w:bookmarkStart w:id="1412" w:name="Tc_pwgCISJiHE6_e3eowp3_sg_5_4"/>
      <w:bookmarkStart w:id="1413" w:name="Tc_YV2w6-vPQEi2gptFOwxWAA_5_0"/>
      <w:bookmarkStart w:id="1414" w:name="Tc_fCeAr7EasESKrDNQ2yqFew_4_2"/>
      <w:bookmarkStart w:id="1415" w:name="Tc_mDO0he_IuUi5BoX7DTsD5A_3_2"/>
      <w:bookmarkStart w:id="1416" w:name="Tc_kvfezWVVckiFXmE8P0moPA_2_2"/>
      <w:bookmarkStart w:id="1417" w:name="Tc_ZYcEjv7xmEGQzJyj3r0DmQ_1_2"/>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r>
        <w:rPr>
          <w:rFonts w:ascii="Times New Roman;Times;serif" w:hAnsi="Times New Roman;Times;serif"/>
          <w:sz w:val="20"/>
        </w:rPr>
        <w:t>The following table sets forth the weighted-average assumptions used at the grant date to determine the fair value of the Company’s market-based PSOs granted during the nine months ended September 30, 2023. No Market-Based Share Options were granted during the three months ended September 30, 2023:</w:t>
      </w:r>
    </w:p>
    <w:p>
      <w:pPr>
        <w:pStyle w:val="TextBody"/>
        <w:bidi w:val="0"/>
        <w:spacing w:before="0" w:after="0"/>
        <w:ind w:left="0" w:right="0" w:hanging="0"/>
        <w:jc w:val="left"/>
        <w:rPr/>
      </w:pPr>
      <w:r>
        <w:rPr/>
        <w:t>​</w:t>
      </w:r>
    </w:p>
    <w:tbl>
      <w:tblPr>
        <w:tblW w:w="5384" w:type="dxa"/>
        <w:jc w:val="left"/>
        <w:tblInd w:w="0" w:type="dxa"/>
        <w:tblLayout w:type="fixed"/>
        <w:tblCellMar>
          <w:top w:w="0" w:type="dxa"/>
          <w:left w:w="0" w:type="dxa"/>
          <w:bottom w:w="0" w:type="dxa"/>
          <w:right w:w="0" w:type="dxa"/>
        </w:tblCellMar>
      </w:tblPr>
      <w:tblGrid>
        <w:gridCol w:w="3601"/>
        <w:gridCol w:w="326"/>
        <w:gridCol w:w="235"/>
        <w:gridCol w:w="906"/>
        <w:gridCol w:w="31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286635" cy="175260"/>
                      <wp:effectExtent l="0" t="0" r="0" b="0"/>
                      <wp:wrapNone/>
                      <wp:docPr id="165" name="Frame165"/>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49225" cy="175260"/>
                      <wp:effectExtent l="0" t="0" r="0" b="0"/>
                      <wp:wrapNone/>
                      <wp:docPr id="167" name="Frame167"/>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75310" cy="175260"/>
                      <wp:effectExtent l="0" t="0" r="0" b="0"/>
                      <wp:wrapNone/>
                      <wp:docPr id="168" name="Frame168"/>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0660" cy="175260"/>
                      <wp:effectExtent l="0" t="0" r="0" b="0"/>
                      <wp:wrapNone/>
                      <wp:docPr id="169" name="Frame16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Nine</w:t>
            </w:r>
          </w:p>
        </w:tc>
        <w:tc>
          <w:tcPr>
            <w:tcW w:w="316" w:type="dxa"/>
            <w:tcBorders/>
            <w:vAlign w:val="center"/>
          </w:tcPr>
          <w:p>
            <w:pPr>
              <w:pStyle w:val="TableContents"/>
              <w:bidi w:val="0"/>
              <w:spacing w:before="0" w:after="0"/>
              <w:ind w:left="0" w:right="0" w:hanging="0"/>
              <w:jc w:val="center"/>
              <w:rPr/>
            </w:pPr>
            <w:r>
              <w:rPr/>
              <w:t> </w:t>
            </w:r>
          </w:p>
        </w:tc>
      </w:tr>
      <w:tr>
        <w:trPr/>
        <w:tc>
          <w:tcPr>
            <w:tcW w:w="3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16" w:type="dxa"/>
            <w:tcBorders/>
            <w:vAlign w:val="center"/>
          </w:tcPr>
          <w:p>
            <w:pPr>
              <w:pStyle w:val="TableContents"/>
              <w:bidi w:val="0"/>
              <w:spacing w:before="0" w:after="0"/>
              <w:ind w:left="0" w:right="0" w:hanging="0"/>
              <w:jc w:val="center"/>
              <w:rPr/>
            </w:pPr>
            <w:r>
              <w:rPr/>
              <w:t> </w:t>
            </w:r>
          </w:p>
        </w:tc>
      </w:tr>
      <w:tr>
        <w:trPr/>
        <w:tc>
          <w:tcPr>
            <w:tcW w:w="3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16" w:type="dxa"/>
            <w:tcBorders/>
            <w:vAlign w:val="center"/>
          </w:tcPr>
          <w:p>
            <w:pPr>
              <w:pStyle w:val="TableContents"/>
              <w:bidi w:val="0"/>
              <w:spacing w:before="0" w:after="0"/>
              <w:ind w:left="0" w:right="0" w:hanging="0"/>
              <w:jc w:val="center"/>
              <w:rPr/>
            </w:pPr>
            <w:r>
              <w:rPr/>
              <w:t> </w:t>
            </w:r>
          </w:p>
        </w:tc>
      </w:tr>
      <w:tr>
        <w:trPr/>
        <w:tc>
          <w:tcPr>
            <w:tcW w:w="3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center"/>
              <w:rPr/>
            </w:pPr>
            <w:r>
              <w:rPr/>
              <w:t> </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326"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 years</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per Market-Based Share Options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expense recognized related to Market-Based Share Options during the three and nine months ended September 30, 2023 was approximately $0.2 million and $0.4 million, respectively.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Restricted Share Units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issued RSUs to certain employees, executives, and directors pursuant to the Equity Incentive Plan. The fair value has been estimated based on the closing price of the stock on the grant date.</w:t>
      </w:r>
    </w:p>
    <w:p>
      <w:pPr>
        <w:pStyle w:val="TextBody"/>
        <w:bidi w:val="0"/>
        <w:spacing w:before="0" w:after="0"/>
        <w:ind w:left="0" w:right="0" w:hanging="0"/>
        <w:jc w:val="left"/>
        <w:rPr/>
      </w:pPr>
      <w:r>
        <w:rPr/>
        <w:t>​</w:t>
      </w:r>
    </w:p>
    <w:tbl>
      <w:tblPr>
        <w:tblW w:w="5815" w:type="dxa"/>
        <w:jc w:val="left"/>
        <w:tblInd w:w="0" w:type="dxa"/>
        <w:tblLayout w:type="fixed"/>
        <w:tblCellMar>
          <w:top w:w="0" w:type="dxa"/>
          <w:left w:w="0" w:type="dxa"/>
          <w:bottom w:w="0" w:type="dxa"/>
          <w:right w:w="0" w:type="dxa"/>
        </w:tblCellMar>
      </w:tblPr>
      <w:tblGrid>
        <w:gridCol w:w="3241"/>
        <w:gridCol w:w="326"/>
        <w:gridCol w:w="931"/>
        <w:gridCol w:w="326"/>
        <w:gridCol w:w="266"/>
        <w:gridCol w:w="725"/>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58035" cy="175260"/>
                      <wp:effectExtent l="0" t="0" r="0" b="0"/>
                      <wp:wrapNone/>
                      <wp:docPr id="170" name="Frame170"/>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91185" cy="175260"/>
                      <wp:effectExtent l="0" t="0" r="0" b="0"/>
                      <wp:wrapNone/>
                      <wp:docPr id="172" name="Frame17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68910" cy="175260"/>
                      <wp:effectExtent l="0" t="0" r="0" b="0"/>
                      <wp:wrapNone/>
                      <wp:docPr id="174" name="Frame17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60375" cy="175260"/>
                      <wp:effectExtent l="0" t="0" r="0" b="0"/>
                      <wp:wrapNone/>
                      <wp:docPr id="175" name="Frame175"/>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RSUs</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RSUs at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1"/>
              <w:ind w:left="0" w:right="0" w:hanging="0"/>
              <w:jc w:val="right"/>
              <w:rPr/>
            </w:pPr>
            <w:r>
              <w:rPr/>
              <w:t>—</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2,233,011</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Vested </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RSUs at September 30, 2023</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2,213,011</w:t>
            </w:r>
          </w:p>
        </w:tc>
        <w:tc>
          <w:tcPr>
            <w:tcW w:w="326" w:type="dxa"/>
            <w:tcBorders/>
            <w:vAlign w:val="center"/>
          </w:tcPr>
          <w:p>
            <w:pPr>
              <w:pStyle w:val="TableContents"/>
              <w:bidi w:val="0"/>
              <w:spacing w:before="0" w:after="1"/>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6.50</w:t>
            </w:r>
          </w:p>
        </w:tc>
      </w:tr>
    </w:tbl>
    <w:p>
      <w:pPr>
        <w:pStyle w:val="TextBody"/>
        <w:pBdr/>
        <w:bidi w:val="0"/>
        <w:spacing w:before="0" w:after="240"/>
        <w:ind w:left="0" w:right="0" w:hanging="36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expense recognized related to RSUs during the three and nine months ended September 30, 2023 was approximately $1.0 million and $1.4 million, respectively.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Equity Award Modification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7, 2023, the Company and its President and Chief Operating Officer (the “COO”) entered into an agreement regarding the COO’s departure from the Company (the “Severance Agreement”). In connection with Severance Agreement, 59,594 of the share options previously granted to the COO became fully vested and exercisable, with any shares purchased under the option subject to an 18-month lockup period. The Company recognized approximately $0.6 million of incremental share-based compensation during the nine months ended September 30, 2023 related to this share option modification.</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Other Share-based Compensation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accordance with the anti-dilution provisions of the Pfizer Agreement, Pfizer was issued additional Series A-1 convertible preferred shares upon the closing of the Business Combination that were immediately converted to 267,939 Class A Ordinary Shares. During the three and nine months ended September 30, 2023, the Company recognized expense in the amount of $-0- and $2.2 million, respectively, related to these Class A Ordinary Shares based on their grant-date fair value.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bookmarkStart w:id="1418" w:name="Tc_MERgumqsOUW0dkyjf98m8Q_8_11"/>
      <w:bookmarkStart w:id="1419" w:name="Tc_QjET2uYRWUCkZwSgTisHHg_8_8"/>
      <w:bookmarkStart w:id="1420" w:name="Tc_onHcfr2AiEmmhfEuOl9Ogw_8_5"/>
      <w:bookmarkStart w:id="1421" w:name="Tc_PfxzZZvtkE-8NAjMI9fjAg_8_2"/>
      <w:bookmarkStart w:id="1422" w:name="Tc_JmKxmVn1M0WL_zvYLqWe-w_8_0"/>
      <w:bookmarkStart w:id="1423" w:name="Tc_y1S7lV1hDEabVN8bdDK88w_7_0"/>
      <w:bookmarkStart w:id="1424" w:name="Tc_xUiyI9Oy5U22EJxsimW0ww_6_12"/>
      <w:bookmarkStart w:id="1425" w:name="Tc_BDxa-J1zWUeb7Xj6fH-DTA_6_11"/>
      <w:bookmarkStart w:id="1426" w:name="Tc_lePBTxAjm0eKGY4l8nNmTQ_6_8"/>
      <w:bookmarkStart w:id="1427" w:name="Tc_ISO5vgVtREeHx0C5dHk4Rw_6_6"/>
      <w:bookmarkStart w:id="1428" w:name="Tc_8PJF1oNPQU-Dcns8Nrr12w_6_5"/>
      <w:bookmarkStart w:id="1429" w:name="Tc_AZQ5V8XOeUOCS_63bLRjBw_6_3"/>
      <w:bookmarkStart w:id="1430" w:name="Tc_QVxgSCGKcUSIrXRKo6k1Zw_6_2"/>
      <w:bookmarkStart w:id="1431" w:name="Tc_1TZSqBRfdU-AL3QqJAZKfA_6_0"/>
      <w:bookmarkStart w:id="1432" w:name="Tc_unEhLgFwDUC0xzA2-O1b3A_5_11"/>
      <w:bookmarkStart w:id="1433" w:name="Tc_XI1FjuVXLE25U9bAGuqRwg_5_8"/>
      <w:bookmarkStart w:id="1434" w:name="Tc_uzX-swfWcECSQJrBheqagQ_5_5"/>
      <w:bookmarkStart w:id="1435" w:name="Tc_P8C3-LQ1kUyIyhNGn6hTOw_5_2"/>
      <w:bookmarkStart w:id="1436" w:name="Tc_EiEcDxoV3E68gU2iRuRVLw_4_11"/>
      <w:bookmarkStart w:id="1437" w:name="Tc_dLSrc6H-nEyvKAUbQB-34A_4_8"/>
      <w:bookmarkStart w:id="1438" w:name="Tc_mq7CYIFlcEOjWU9fZaoqXA_4_2"/>
      <w:bookmarkStart w:id="1439" w:name="Tc_xsrpYAJLXEynizmXhEFQGQ_3_11"/>
      <w:bookmarkStart w:id="1440" w:name="Tc_o4OeHef3sEuk6EVY9YkqRA_3_8"/>
      <w:bookmarkStart w:id="1441" w:name="Tc_GassgsgF5kuQ-b-JXt8W5w_3_2"/>
      <w:bookmarkStart w:id="1442" w:name="Tc_6GUmJyuB706MHk2eI_07CA_2_11"/>
      <w:bookmarkStart w:id="1443" w:name="Tc_fVmCwvcOGUq9dBvvs3jNAg_2_8"/>
      <w:bookmarkStart w:id="1444" w:name="Tc_n0ExDcplEE6g20YB32SlPQ_1_11"/>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r>
        <w:rPr>
          <w:rFonts w:ascii="Times New Roman;Times;serif" w:hAnsi="Times New Roman;Times;serif"/>
          <w:b/>
          <w:i/>
          <w:sz w:val="20"/>
        </w:rPr>
        <w:t>Share-based Compensation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Share-based compensation expense for all equity arrangements for the three months ended September 30, 2023 and 2022 and for the nine months ended September 30, 2023 and the period ended September 30, 2022 was as follows:</w:t>
      </w:r>
    </w:p>
    <w:p>
      <w:pPr>
        <w:pStyle w:val="TextBody"/>
        <w:bidi w:val="0"/>
        <w:spacing w:before="0" w:after="0"/>
        <w:ind w:left="0" w:right="0" w:hanging="0"/>
        <w:jc w:val="left"/>
        <w:rPr/>
      </w:pPr>
      <w:r>
        <w:rPr/>
        <w:t>​</w:t>
      </w:r>
    </w:p>
    <w:tbl>
      <w:tblPr>
        <w:tblW w:w="9424" w:type="dxa"/>
        <w:jc w:val="left"/>
        <w:tblInd w:w="0" w:type="dxa"/>
        <w:tblLayout w:type="fixed"/>
        <w:tblCellMar>
          <w:top w:w="0" w:type="dxa"/>
          <w:left w:w="0" w:type="dxa"/>
          <w:bottom w:w="0" w:type="dxa"/>
          <w:right w:w="0" w:type="dxa"/>
        </w:tblCellMar>
      </w:tblPr>
      <w:tblGrid>
        <w:gridCol w:w="3436"/>
        <w:gridCol w:w="326"/>
        <w:gridCol w:w="277"/>
        <w:gridCol w:w="751"/>
        <w:gridCol w:w="428"/>
        <w:gridCol w:w="277"/>
        <w:gridCol w:w="455"/>
        <w:gridCol w:w="326"/>
        <w:gridCol w:w="307"/>
        <w:gridCol w:w="834"/>
        <w:gridCol w:w="326"/>
        <w:gridCol w:w="481"/>
        <w:gridCol w:w="1200"/>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81860" cy="175260"/>
                      <wp:effectExtent l="0" t="0" r="0" b="0"/>
                      <wp:wrapNone/>
                      <wp:docPr id="176" name="Frame176"/>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75895" cy="175260"/>
                      <wp:effectExtent l="0" t="0" r="0" b="0"/>
                      <wp:wrapNone/>
                      <wp:docPr id="178" name="Frame178"/>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76885" cy="175260"/>
                      <wp:effectExtent l="0" t="0" r="0" b="0"/>
                      <wp:wrapNone/>
                      <wp:docPr id="179" name="Frame179"/>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71780" cy="175260"/>
                      <wp:effectExtent l="0" t="0" r="0" b="0"/>
                      <wp:wrapNone/>
                      <wp:docPr id="180" name="Frame180"/>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75895" cy="175260"/>
                      <wp:effectExtent l="0" t="0" r="0" b="0"/>
                      <wp:wrapNone/>
                      <wp:docPr id="181" name="Frame181"/>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88925" cy="175260"/>
                      <wp:effectExtent l="0" t="0" r="0" b="0"/>
                      <wp:wrapNone/>
                      <wp:docPr id="182" name="Frame182"/>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94945" cy="175260"/>
                      <wp:effectExtent l="0" t="0" r="0" b="0"/>
                      <wp:wrapNone/>
                      <wp:docPr id="184" name="Frame184"/>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29590" cy="175260"/>
                      <wp:effectExtent l="0" t="0" r="0" b="0"/>
                      <wp:wrapNone/>
                      <wp:docPr id="185" name="Frame185"/>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05435" cy="175260"/>
                      <wp:effectExtent l="0" t="0" r="0" b="0"/>
                      <wp:wrapNone/>
                      <wp:docPr id="187" name="Frame187"/>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762000" cy="175260"/>
                      <wp:effectExtent l="0" t="0" r="0" b="0"/>
                      <wp:wrapNone/>
                      <wp:docPr id="188" name="Frame188"/>
                      <a:graphic xmlns:a="http://schemas.openxmlformats.org/drawingml/2006/main">
                        <a:graphicData uri="http://schemas.microsoft.com/office/word/2010/wordprocessingShape">
                          <wps:wsp>
                            <wps:cNvSpPr txBox="1"/>
                            <wps:spPr>
                              <a:xfrm>
                                <a:off x="0" y="0"/>
                                <a:ext cx="762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77"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428" w:type="dxa"/>
            <w:tcBorders/>
            <w:vAlign w:val="center"/>
          </w:tcPr>
          <w:p>
            <w:pPr>
              <w:pStyle w:val="TableContents"/>
              <w:bidi w:val="0"/>
              <w:spacing w:before="0" w:after="1"/>
              <w:ind w:left="0" w:right="0" w:hanging="0"/>
              <w:jc w:val="center"/>
              <w:rPr/>
            </w:pPr>
            <w:r>
              <w:rPr/>
              <w:t>​</w:t>
            </w:r>
          </w:p>
        </w:tc>
        <w:tc>
          <w:tcPr>
            <w:tcW w:w="277"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6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Period from</w:t>
            </w:r>
          </w:p>
        </w:tc>
      </w:tr>
      <w:tr>
        <w:trPr/>
        <w:tc>
          <w:tcPr>
            <w:tcW w:w="3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428"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w:t>
            </w:r>
          </w:p>
        </w:tc>
        <w:tc>
          <w:tcPr>
            <w:tcW w:w="326" w:type="dxa"/>
            <w:tcBorders/>
            <w:vAlign w:val="center"/>
          </w:tcPr>
          <w:p>
            <w:pPr>
              <w:pStyle w:val="TableContents"/>
              <w:bidi w:val="0"/>
              <w:spacing w:before="0" w:after="1"/>
              <w:ind w:left="0" w:right="0" w:hanging="0"/>
              <w:jc w:val="left"/>
              <w:rPr/>
            </w:pPr>
            <w:r>
              <w:rPr/>
              <w:t>​</w:t>
            </w:r>
          </w:p>
        </w:tc>
        <w:tc>
          <w:tcPr>
            <w:tcW w:w="16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18, 2022</w:t>
            </w:r>
          </w:p>
        </w:tc>
      </w:tr>
      <w:tr>
        <w:trPr/>
        <w:tc>
          <w:tcPr>
            <w:tcW w:w="3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8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2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26" w:type="dxa"/>
            <w:tcBorders/>
            <w:vAlign w:val="center"/>
          </w:tcPr>
          <w:p>
            <w:pPr>
              <w:pStyle w:val="TableContents"/>
              <w:bidi w:val="0"/>
              <w:spacing w:before="0" w:after="1"/>
              <w:ind w:left="0" w:right="0" w:hanging="0"/>
              <w:jc w:val="left"/>
              <w:rPr/>
            </w:pPr>
            <w:r>
              <w:rPr/>
              <w:t>​</w:t>
            </w:r>
          </w:p>
        </w:tc>
        <w:tc>
          <w:tcPr>
            <w:tcW w:w="16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of inception) to</w:t>
            </w:r>
          </w:p>
        </w:tc>
      </w:tr>
      <w:tr>
        <w:trPr/>
        <w:tc>
          <w:tcPr>
            <w:tcW w:w="3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8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1"/>
              <w:ind w:left="0" w:right="0" w:hanging="0"/>
              <w:jc w:val="left"/>
              <w:rPr/>
            </w:pPr>
            <w:r>
              <w:rPr/>
              <w:t>​</w:t>
            </w:r>
          </w:p>
        </w:tc>
        <w:tc>
          <w:tcPr>
            <w:tcW w:w="16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w:t>
            </w:r>
          </w:p>
        </w:tc>
      </w:tr>
      <w:tr>
        <w:trPr/>
        <w:tc>
          <w:tcPr>
            <w:tcW w:w="3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28" w:type="dxa"/>
            <w:tcBorders/>
            <w:vAlign w:val="center"/>
          </w:tcPr>
          <w:p>
            <w:pPr>
              <w:pStyle w:val="TableContents"/>
              <w:bidi w:val="0"/>
              <w:spacing w:before="0" w:after="1"/>
              <w:ind w:left="0" w:right="0" w:hanging="0"/>
              <w:jc w:val="left"/>
              <w:rPr/>
            </w:pPr>
            <w:r>
              <w:rPr/>
              <w:t>    </w:t>
            </w:r>
          </w:p>
        </w:tc>
        <w:tc>
          <w:tcPr>
            <w:tcW w:w="7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6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428"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2,186</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shd w:fill="CCEEFF" w:val="clear"/>
            <w:vAlign w:val="center"/>
          </w:tcPr>
          <w:p>
            <w:pPr>
              <w:pStyle w:val="TableContents"/>
              <w:bidi w:val="0"/>
              <w:spacing w:before="0" w:after="1"/>
              <w:ind w:left="0" w:right="0" w:hanging="0"/>
              <w:jc w:val="right"/>
              <w:rPr/>
            </w:pPr>
            <w:r>
              <w:rPr/>
              <w:t>—</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2,577</w:t>
            </w:r>
          </w:p>
        </w:tc>
        <w:tc>
          <w:tcPr>
            <w:tcW w:w="428" w:type="dxa"/>
            <w:tcBorders/>
            <w:vAlign w:val="center"/>
          </w:tcPr>
          <w:p>
            <w:pPr>
              <w:pStyle w:val="TableContents"/>
              <w:bidi w:val="0"/>
              <w:spacing w:before="0" w:after="1"/>
              <w:ind w:left="0" w:right="0" w:hanging="0"/>
              <w:jc w:val="righ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1"/>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5,075</w:t>
            </w:r>
          </w:p>
        </w:tc>
        <w:tc>
          <w:tcPr>
            <w:tcW w:w="326" w:type="dxa"/>
            <w:tcBorders/>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share-based compensation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2,577</w:t>
            </w:r>
          </w:p>
        </w:tc>
        <w:tc>
          <w:tcPr>
            <w:tcW w:w="428" w:type="dxa"/>
            <w:tcBorders/>
            <w:shd w:fill="CCEEFF" w:val="clear"/>
            <w:vAlign w:val="center"/>
          </w:tcPr>
          <w:p>
            <w:pPr>
              <w:pStyle w:val="TableContents"/>
              <w:bidi w:val="0"/>
              <w:spacing w:before="0" w:after="1"/>
              <w:ind w:left="0" w:right="0" w:hanging="0"/>
              <w:jc w:val="righ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7,261</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321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September 30, 2023, there was approximately $20.4 million of total unrecognized share-based compensation expense related to options granted to employees, executives, and directors under the Company’s equity plans that is expected to be recognized over a weighted average period of 1.8 years. As of September 30, 2023, there was approximately $13.1 million of total unrecognized share-based compensation expense related to RSUs granted to certain employees, executives, and directors under the Company’s Equity Incentive Plan that is expected to be recognized over a weighted average period of 1.9 years.</w:t>
      </w:r>
    </w:p>
    <w:tbl>
      <w:tblPr>
        <w:tblW w:w="1761" w:type="dxa"/>
        <w:jc w:val="left"/>
        <w:tblInd w:w="0" w:type="dxa"/>
        <w:tblLayout w:type="fixed"/>
        <w:tblCellMar>
          <w:top w:w="0" w:type="dxa"/>
          <w:left w:w="0" w:type="dxa"/>
          <w:bottom w:w="0" w:type="dxa"/>
          <w:right w:w="0" w:type="dxa"/>
        </w:tblCellMar>
      </w:tblPr>
      <w:tblGrid>
        <w:gridCol w:w="124"/>
        <w:gridCol w:w="361"/>
        <w:gridCol w:w="1276"/>
      </w:tblGrid>
      <w:tr>
        <w:trPr/>
        <w:tc>
          <w:tcPr>
            <w:tcW w:w="1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10.</w:t>
            </w:r>
          </w:p>
        </w:tc>
        <w:tc>
          <w:tcPr>
            <w:tcW w:w="12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Note Payable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December 8, 2022, the Company received $7.6 million in net proceeds from the issuance of a promissory note (the “Note”) issued to Hydra, LLC (“Hydra”) with a face amount of $8.0 million. The Note accrues interest at 9% per annum. The maturity date of the Note is the earlier of (i) twelve months from the date of the Note or (ii)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business dates after the date on which the Company consummates the Business Combination. The proceeds from the Note were used to acquire the 2022 Lilly License. If the registration statement on Form S-4 relating to the Business Combination had not been declared effective by the SEC by February 15, 2023, or if the Business Combination was not consummated by March 31, 2023, Hydra had the right to accelerate the Note and receive an amount equal to 120% of the face amount of the Note, plus accrued interest. On March 8, 2023, the Company signed a limited waiver letter under the Note, pursuant to which Hydra agreed to waive its acceleration right in consideration of the Company paying to Hydra 125% of the principal amount (equal to $10.0 million in the aggregate). The Note was repaid on March 20, 2023, upon the consummation of the Business Combination.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elected to account for the Note at fair value (Note 4). The Company recorded any changes in the fair value of the Note during the period through other expense in the condensed consolidated statement of operations.</w:t>
      </w:r>
    </w:p>
    <w:tbl>
      <w:tblPr>
        <w:tblW w:w="3411" w:type="dxa"/>
        <w:jc w:val="left"/>
        <w:tblInd w:w="0" w:type="dxa"/>
        <w:tblLayout w:type="fixed"/>
        <w:tblCellMar>
          <w:top w:w="0" w:type="dxa"/>
          <w:left w:w="0" w:type="dxa"/>
          <w:bottom w:w="0" w:type="dxa"/>
          <w:right w:w="0" w:type="dxa"/>
        </w:tblCellMar>
      </w:tblPr>
      <w:tblGrid>
        <w:gridCol w:w="124"/>
        <w:gridCol w:w="361"/>
        <w:gridCol w:w="2926"/>
      </w:tblGrid>
      <w:tr>
        <w:trPr/>
        <w:tc>
          <w:tcPr>
            <w:tcW w:w="1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11.</w:t>
            </w:r>
          </w:p>
        </w:tc>
        <w:tc>
          <w:tcPr>
            <w:tcW w:w="292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Litigation</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a party to any material legal proceedings and is not aware of any pending or threatened claims. From time to time, the Company may be subject to various legal proceedings and claims that arise in the ordinary course of its business activities.</w:t>
      </w:r>
    </w:p>
    <w:tbl>
      <w:tblPr>
        <w:tblW w:w="3696" w:type="dxa"/>
        <w:jc w:val="left"/>
        <w:tblInd w:w="0" w:type="dxa"/>
        <w:tblLayout w:type="fixed"/>
        <w:tblCellMar>
          <w:top w:w="0" w:type="dxa"/>
          <w:left w:w="0" w:type="dxa"/>
          <w:bottom w:w="0" w:type="dxa"/>
          <w:right w:w="0" w:type="dxa"/>
        </w:tblCellMar>
      </w:tblPr>
      <w:tblGrid>
        <w:gridCol w:w="124"/>
        <w:gridCol w:w="361"/>
        <w:gridCol w:w="3211"/>
      </w:tblGrid>
      <w:tr>
        <w:trPr/>
        <w:tc>
          <w:tcPr>
            <w:tcW w:w="1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12.</w:t>
            </w:r>
          </w:p>
        </w:tc>
        <w:tc>
          <w:tcPr>
            <w:tcW w:w="321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Redeemable Noncontrolling Interest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finder’s fee for the 2022 Lilly License, the Company’s consolidated subsidiary Z33 issued 4,900,222 shares of Z33 Series Seed Preferred Shares to Stone Peach. Zura has the right, but not the obligation to purchase up to 50% of the Series Seed Preferred Shares issued to Stone Peach at a price per share of $2.448869 for a period of two years from the date of the agreement. Stone Peach has the right, but not the obligation to sell up to 50% of the Series Seed Preferred Shares issued to Stone Peach to Zura for a price per share of $2.040724 (the “Put Option”). Stone Peach may exercise its option at any time between the first anniversary and the second anniversary of the transaction. As it is not possible to specifically identify the shares that may be redeemed by exercising the Put Option, and the applicable unit of account is each share, the Company assessed that each share must be considered redeemable until the exercise or the expiration of the Put Option. Accordingly, the Z33 Series Seed Preferred Shares issued to Stone Peach represents redeemable noncontrolling interest.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April 2023, the Company agreed to, within six months of April 24, 2023, exercise its call option on 50% of the Z33 Series Seed Preferred Shares previously issued to Stone Peach. The Company agreed to settle its call option by issuing 2,000,000 Class A Ordinary Shares. The amended settlement terms represented an extinguishment and reissuance of the Z33 Series Seed Preferred Shares. The $10.9 million difference between the estimated fair value of the new instrument issued and the carrying value of the Z33 Series Seed Preferred Shares was recorded as a deemed dividend to the redeemable noncontrolling interest and as an adjustment to net loss to arrive at net loss attributable to Class A ordinary shareholders on the condensed consolidated statement of operations. The Company and Stone Peach are renegotiating the terms of the exercise of the call option.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September 30, 2023 and December 31, 2022, the redeemable noncontrolling interest balance was $20.9 million and $10.0 million, respectively.</w:t>
      </w:r>
    </w:p>
    <w:p>
      <w:pPr>
        <w:pStyle w:val="Normal"/>
        <w:bidi w:val="0"/>
        <w:spacing w:before="0" w:after="0"/>
        <w:jc w:val="left"/>
        <w:rPr>
          <w:sz w:val="4"/>
          <w:szCs w:val="4"/>
        </w:rPr>
      </w:pPr>
      <w:r>
        <w:rPr>
          <w:sz w:val="4"/>
          <w:szCs w:val="4"/>
        </w:rPr>
      </w:r>
      <w:bookmarkStart w:id="1445" w:name="_Hlk134227602"/>
      <w:bookmarkStart w:id="1446" w:name="_Hlk134227602"/>
      <w:bookmarkEnd w:id="1446"/>
    </w:p>
    <w:tbl>
      <w:tblPr>
        <w:tblW w:w="2196" w:type="dxa"/>
        <w:jc w:val="left"/>
        <w:tblInd w:w="0" w:type="dxa"/>
        <w:tblLayout w:type="fixed"/>
        <w:tblCellMar>
          <w:top w:w="0" w:type="dxa"/>
          <w:left w:w="0" w:type="dxa"/>
          <w:bottom w:w="0" w:type="dxa"/>
          <w:right w:w="0" w:type="dxa"/>
        </w:tblCellMar>
      </w:tblPr>
      <w:tblGrid>
        <w:gridCol w:w="124"/>
        <w:gridCol w:w="361"/>
        <w:gridCol w:w="1711"/>
      </w:tblGrid>
      <w:tr>
        <w:trPr/>
        <w:tc>
          <w:tcPr>
            <w:tcW w:w="1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180"/>
              <w:jc w:val="both"/>
              <w:rPr>
                <w:rFonts w:ascii="Times New Roman;Times;serif" w:hAnsi="Times New Roman;Times;serif"/>
                <w:b/>
                <w:sz w:val="20"/>
              </w:rPr>
            </w:pPr>
            <w:r>
              <w:rPr>
                <w:rFonts w:ascii="Times New Roman;Times;serif" w:hAnsi="Times New Roman;Times;serif"/>
                <w:b/>
                <w:sz w:val="20"/>
              </w:rPr>
              <w:t>13.</w:t>
            </w:r>
          </w:p>
        </w:tc>
        <w:tc>
          <w:tcPr>
            <w:tcW w:w="1711" w:type="dxa"/>
            <w:tcBorders/>
            <w:vAlign w:val="center"/>
          </w:tcPr>
          <w:p>
            <w:pPr>
              <w:pStyle w:val="TableContents"/>
              <w:bidi w:val="0"/>
              <w:spacing w:before="0" w:after="180"/>
              <w:jc w:val="both"/>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Lonza Milestone Payment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October 2023, the Company began drug substance manufacturing with a third-party. As a result of manufacturing with a third-party other than Lonza, under the terms of the Lonza License the first annual milestone payment of $0.4 million became due and payable.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447" w:name="Item2ManagementsDiscussionandAnalysisofF"/>
      <w:bookmarkStart w:id="1448" w:name="_0b2b6dfb_b4a6_4c1d_a3dc_be469c4a2eaf"/>
      <w:bookmarkEnd w:id="1447"/>
      <w:bookmarkEnd w:id="1448"/>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The following discussion and analysis provides information that management believes is relevant to an assessment and understanding of our consolidated results of operations and financial condition. You should read the following discussion and analysis of our financial condition and results of operations in conjunction with the audited financial statements of Zura Bio Limited (referred to as “Legacy Zura” herein) as of December 31, 2022, included in the Current Report on Form 8-K filed with the SEC on April 6, 2023 and in conjunction with the unaudited condensed consolidated financial statements and notes thereto included elsewhere in this Quarterly Report on Form 10-Q.</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In addition to historical information, this discussion and analysis contains forward-looking statements. These forward-looking statements are subject to risks and uncertainties, including those discussed in the section titled “Risk Factors” in our Registration Statement on Form S-4/A filed with the SEC on February 23, 2023, that could cause actual results to differ materially from historical results or anticipated results. Unless the context otherwise requires, references in this “Management’s Discussion and Analysis of Financial Condition and Results of Operations” to “Zura,” “we,” “us,” and “our” refer to Zura Bio Limited, a Cayman Islands exempted company formerly known as JATT Acquisition Corp., and its consolidated subsidiaries. References to JATT Acquisition Corp. or “JATT” refer to the Company prior to the consummation of the Business Combination.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Zura Bio Limited, formerly known as JATT Acquisition Corp., is a is a multi-asset clinical-stage biotechnology company focused on developing novel medicines for immune and inflammatory disorders. The experienced leadership team aims to become a leader in the autoimmunology field.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were incorporated as a Cayman Islands exempted company on March 10, 2021. Our wholly owned subsidiary, Zura Bio Limited (“Zura Bio UK”) was formed in the United Kingdom, or UK, on January 18, 2022. Prior to March 20, 2023, our operations were conducted through Zura Bio UK.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a limited operating history. Since our inception, our operations have focused on organizing and staffing our company, business planning, raising capital and entering into collaboration agreements for conducting manufacturing, research and development activities. Our lead product candidates are in the clinical testing stage, however, we have not conducted any clinical tests ourselves, nor have any been conducted during the period since our inception. We do not have any product candidates approved for sale and have not generated any revenue from product sales. We have funded our operations through (i) the sale of equity, raising an aggregate of $10.0 million of gross proceeds from the sale of shares of convertible preferred stock of Zura Bio UK through March 31, 2023; (ii) the issuance of a promissory note, receiving net proceeds of $7.6 million in December 2022; (iii) proceeds from the Business Combination of $56.7 million in March 2023; and (iv) the April 2023 Private Placement, raising an aggregate of $80.0 million of gross proceeds from the sale of Class A Ordinary Shares and Pre-Funded Warrants during the nine months ended September 30,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Since our inception, we have incurred significant operating losses. Our net loss for the three and nine months ended September 30, 2023 was $8.3 million and $51.9 million, respectively. As of September 30, 2023, we had an accumulated deficit of $95.0 million. We anticipate that our expenses will increase significantly in connection with our ongoing activities, as we:</w:t>
      </w:r>
    </w:p>
    <w:tbl>
      <w:tblPr>
        <w:tblW w:w="9741" w:type="dxa"/>
        <w:jc w:val="left"/>
        <w:tblInd w:w="0" w:type="dxa"/>
        <w:tblLayout w:type="fixed"/>
        <w:tblCellMar>
          <w:top w:w="28" w:type="dxa"/>
          <w:left w:w="28" w:type="dxa"/>
          <w:bottom w:w="28" w:type="dxa"/>
          <w:right w:w="28" w:type="dxa"/>
        </w:tblCellMar>
      </w:tblPr>
      <w:tblGrid>
        <w:gridCol w:w="124"/>
        <w:gridCol w:w="256"/>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advance the preclinical and clinical development of our product candidates and preclinical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our planned clinical and preclinical trials of ZB-168, ZB-106, and torudokimab, as well as initiate and complete additional trials of future potential product candidates;</w:t>
            </w:r>
          </w:p>
        </w:tc>
      </w:tr>
    </w:tbl>
    <w:tbl>
      <w:tblPr>
        <w:tblW w:w="8106" w:type="dxa"/>
        <w:jc w:val="left"/>
        <w:tblInd w:w="0" w:type="dxa"/>
        <w:tblLayout w:type="fixed"/>
        <w:tblCellMar>
          <w:top w:w="28" w:type="dxa"/>
          <w:left w:w="28" w:type="dxa"/>
          <w:bottom w:w="28" w:type="dxa"/>
          <w:right w:w="28" w:type="dxa"/>
        </w:tblCellMar>
      </w:tblPr>
      <w:tblGrid>
        <w:gridCol w:w="124"/>
        <w:gridCol w:w="25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regulatory approval for any product candidates that successfully complete clinical trials;</w:t>
            </w:r>
          </w:p>
        </w:tc>
      </w:tr>
    </w:tbl>
    <w:tbl>
      <w:tblPr>
        <w:tblW w:w="4446" w:type="dxa"/>
        <w:jc w:val="left"/>
        <w:tblInd w:w="0" w:type="dxa"/>
        <w:tblLayout w:type="fixed"/>
        <w:tblCellMar>
          <w:top w:w="28" w:type="dxa"/>
          <w:left w:w="28" w:type="dxa"/>
          <w:bottom w:w="28" w:type="dxa"/>
          <w:right w:w="28" w:type="dxa"/>
        </w:tblCellMar>
      </w:tblPr>
      <w:tblGrid>
        <w:gridCol w:w="124"/>
        <w:gridCol w:w="256"/>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scale up our clinical and regulatory capabilities;</w:t>
            </w:r>
          </w:p>
        </w:tc>
      </w:tr>
    </w:tbl>
    <w:tbl>
      <w:tblPr>
        <w:tblW w:w="10026" w:type="dxa"/>
        <w:jc w:val="left"/>
        <w:tblInd w:w="0" w:type="dxa"/>
        <w:tblLayout w:type="fixed"/>
        <w:tblCellMar>
          <w:top w:w="28" w:type="dxa"/>
          <w:left w:w="28" w:type="dxa"/>
          <w:bottom w:w="28" w:type="dxa"/>
          <w:right w:w="28" w:type="dxa"/>
        </w:tblCellMar>
      </w:tblPr>
      <w:tblGrid>
        <w:gridCol w:w="124"/>
        <w:gridCol w:w="256"/>
        <w:gridCol w:w="9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 current good manufacturing practices, or cGMP, material for clinical trials or potential commercial sales;</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and validate a commercial-scale cGMP manufacturing facility, or use a contract manufacturing organization;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 commercialization infrastructure and scale up manufacturing and distribution capabilities to commercialize any product candidates for which we may obtain regulatory approval;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721" w:type="dxa"/>
        <w:jc w:val="left"/>
        <w:tblInd w:w="0" w:type="dxa"/>
        <w:tblLayout w:type="fixed"/>
        <w:tblCellMar>
          <w:top w:w="28" w:type="dxa"/>
          <w:left w:w="28" w:type="dxa"/>
          <w:bottom w:w="28" w:type="dxa"/>
          <w:right w:w="28" w:type="dxa"/>
        </w:tblCellMar>
      </w:tblPr>
      <w:tblGrid>
        <w:gridCol w:w="124"/>
        <w:gridCol w:w="256"/>
        <w:gridCol w:w="8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adapt our regulatory compliance efforts to incorporate requirements applicable to marketed products;</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expand and protect our intellectual property portfolio;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additional clinical, manufacturing quality control, regulatory, manufacturing and scientific and administrative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operational, financial and management information systems and personnel, including personnel to support our product development and planned future commercialization efforts; and</w:t>
            </w:r>
          </w:p>
        </w:tc>
      </w:tr>
    </w:tbl>
    <w:tbl>
      <w:tblPr>
        <w:tblW w:w="7671" w:type="dxa"/>
        <w:jc w:val="left"/>
        <w:tblInd w:w="0" w:type="dxa"/>
        <w:tblLayout w:type="fixed"/>
        <w:tblCellMar>
          <w:top w:w="28" w:type="dxa"/>
          <w:left w:w="28" w:type="dxa"/>
          <w:bottom w:w="28" w:type="dxa"/>
          <w:right w:w="28" w:type="dxa"/>
        </w:tblCellMar>
      </w:tblPr>
      <w:tblGrid>
        <w:gridCol w:w="124"/>
        <w:gridCol w:w="256"/>
        <w:gridCol w:w="7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legal, accounting and other expenses in operating as a public company.</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Business Combination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20, 2023 (the “Closing Date”), we consummated the previously-announced transactions contemplated by the Business Combination Agreement, dated June 16, 2022, as amended on September 20, 2022, November 14, 2022, and January 13, 2023 by and among Zura Bio Limited, a limited company incorporated under the laws of England and Wales (“Zura Bio UK”), JATT Acquisition Corp, a Cayman Islands exempted company (“JATT”), JATT Merger Sub, a Cayman Islands exempted company and wholly owned subsidiary of JATT (“Merger Sub”), JATT Merger Sub 2, a Cayman Islands exempted company and wholly owned subsidiary of JATT (“Merger Sub 2”) and Zura Bio Holdings Ltd, a Cayman Islands exempted company (“Holdco”), following the approval at an extraordinary general meeting of JATT’s shareholders held on March 16,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Business Combination Agreement, (a) before the closing of the Business Combination, Holdco was established as our new holding company and became a party to the Business Combination Agreement; and (b) on the closing date, in sequential order: (i) Merger Sub merged with and into Holdco, with Holdco continuing as the surviving company and a wholly owned subsidiary of JATT (the “Merger”); (ii) immediately following the Merger, Holdco merged with and into Merger Sub 2, with Merger Sub 2 continuing as the surviving company and a wholly owned subsidiary of JATT (the “Subsequent Merger”); and (iii) JATT changed its name to “Zura Bio Limited” (“Zura Bio”).</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Subject to, and in accordance with, the terms and conditions of the Business Combination Agreement, at the Closing, (i) each JATT unit was (to the extent not already separated) automatically separated and the holder thereof was deemed to hold one JATT Class A Ordinary Share and one-half of a JATT warrant; (ii) in consideration for the Merger, JATT issued to holders of Holdco’s issued and outstanding shares immediately prior to the Effective Time (as defined in the Business Combination Agreement) an aggregate of 14,558,067 JATT Class A Ordinary Shares (including 499,993 JATT Class A Ordinary Shares underlying restricted share units granted to Amit Munshi, the Company’s Non-Executive Chairman) plus 1,941,933 options to acquire JATT Class A Ordinary Shares for which outstanding options to acquire Holdco Class A Ordinary Shares were exchanged on Closing; and (iii) pursuant to the terms and conditions of JATT’s existing amended and restated memorandum and articles of association, all then-outstanding Class B Class A Ordinary Shares, par value $0.0001 per share, were automatically converted into JATT Class A Ordinary Shares on a one-for-one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the Closing Date, Ewon Comfortech Co., Ltd. (“Ewon”), an institutional accredited investor which is an indirect investor in Zura through its equity interest in Hana Immunotherapeutics LLC (“Hana”), purchased from JATT 2,000,000 JATT Class A Ordinary Shares and Eugene Investment &amp; Securities Co., Ltd (“Eugene”), an unaffiliated institutional credited investor, purchased from JATT 9,950 JATT Class A Ordinary Shares (Ewon, together with Eugene, the “PIPE Investors”), for an aggregate of 2,009,950 JATT Class A Ordinary Shares (the “PIPE Shares”) at a price of $10.00 per share, for an aggregate purchase price of $20,099,500 (the “PIPE Financing”), pursuant to the subscription agreement entered into by JATT and the Ewon as of June 16, 2022, as amended on November 25, 2022 (the “Ewon PIPE Subscription Agreement”) and the subscription agreement entered into by JATT and Eugene as of March 13, 2023 (the “Eugene PIPE Subscription Agreement” and, together with the Ewon PIPE Subscription Agreement, the “PIPE Subscription Agreements”).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At the Closing of the Business Combination, Athanor Master Fund, LP and Athanor International Master Fund, LP (collectively, the “FPA Investors”), each of which is an unaffiliated institutional investor, purchased (i) an aggregate of 3,000,000 JATT Class A Ordinary Shares at $10 per share for $30,000,000; (ii) an aggregate of 1,301,633 JATT Class A Ordinary Shares at $10 per share for $13,016,330 (the “Redemption Backstop”) as public share redemptions were greater than 90% at the time of the Business Combination (the “Excess Redemptions”); and (iii) an additional 2,500,000 JATT Class A Ordinary Shares in consideration for the FPA Investors entering into the latest amendment, but for no additional monetary consideration, to the forward purchase agreements JATT and the FPA Investors entered into on August 5, 2021, as amended and restated on January 27, 2022 and as amended on March 8, 2023 (the “Forward Purchase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Business Combination, together with the PIPE financing, the Forward Purchase Agreement, and the Redemption Backstop, generated approximately $56.7 million in proceeds. On March 21, 2023, the Company’s Class A Ordinary Shares and public warrants began trading on the Nasdaq under the symbols “ZURA” and “ZURAW,”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April 2023 Private Placement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26, 2023, the Company entered into its second PIPE subscription agreement (the “April 2023 Private Placement”) with certain accredited investors (the “Subscribers”), whereby the Company issued 15,041,530 Class A Ordinary Shares, par value $0.0001 per share and pre-funded warrants (the “Pre-Funded Warrants”) to purchase up to 3,782,000 Class A Ordinary Shares. Each Class A Ordinary Share was sold at a price of $4.25 per Class A Ordinary Share and each Pre-Funded Warrant was sold at a price of $4.249 per Pre-Funded Warrant for an aggregate purchase price of $80.0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Concurrently with the April 2023 Private Placement, the Company agreed to, within six months of April 24, 2023, exercise its call option on 50% of the Z33 Series Seed Preferred Shares previously issued to Stone Peach. The Company agreed to settle its call option by issuing 2,000,000 Class A Ordinary Shares. The amended settlement terms represented an extinguishment and reissuance of the Z33 Series Seed Preferred Shares. The $10.9 million difference between the estimated fair value of the new instrument issued and the carrying value of the Z33 Series Seed Preferred Shares was recorded as a deemed dividend to the redeemable noncontrolling interest. The Company and Stone Peach are renegotiating the terms of the exercise of the call option.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2023 Lilly License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April 26, 2023, the Company’s newly-formed subsidiary ZB17 LLC (“ZB17”) entered into a license agreement (the “2023 Lilly License” and, together with the 2022 Lilly License, the “Lilly Licenses”) with Lilly, for an exclusive license to develop, manufacture and commercialize a certain bispecific antibody relating to IL-17 and BAFF (“ZB-106”) in exchange for an upfront payment consisting of $5.8 million as well as 1,000,000 Class A Ordinary Shares issued at a fair value of $7.84 per Class A Ordinary Share. In addition, ZB17 will make a payment of $5.0 million upon the receipt of certain know-how, data, information and materials that Lilly is required to provide under the license agreement.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a finder’s fee for arranging the acquisition of the 2023 Lilly License, ZB17 granted to Stone Peach the right, but not the obligation, to purchase 4.99% of the fully diluted equity of ZB17 for $1.0 million (the “Stone Peach Call Right”). The Stone Peach Call Right is not exercisable until after the last patient is dosed in any single next clinical trial with ZB-106 and expires one year from the date of first indication approval for ZB-106 by the FDA or the EMA.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additional consideration, Stone Peach will receive annual payments first of $0.6 million, and increasing by 10% annually, so long as the Company maintains its license for ZB-106 and beginning on May 1, 2023.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a finder’s fee for arranging the acquisition of the 2023 Lilly License, the Company agreed to make a one-time milestone payment of $5.0 million to BAFFX17, Ltd (“BAFFX17”) upon the occurrence of either: (i) a change of control transaction, (ii) the closing of an issuance of equity or equity-linked securities by the Company of at least $100.0 million (iii) the consummation of a sale of assets resulting in net proceeds in excess of $100.0 million, or (iv) the Company’s fully diluted shares outstanding exceed 52,500,000 shares (on a split adjusted basis).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the consideration transferred during the nine months ended September 30, 2023, the Company is obligated to make 4 development milestone payments to Lilly up to an aggregate of $155.0 million, and sales milestone payments up to an aggregate of $440 million based on respective thresholds of net sales of products developed from ZB-106. The Company is also obligated to pay Lilly over a multi-year period (twelve years, or upon the later expiration of regulatory exclusivity of ZB-106 in a country) an annual earned royalty at a marginal royalty rate in the mid-single digits to low-double digits, with increasing rates depending on net sales in the respective calendar year, based on a percentage of sales within varying thresholds for a certain period of years. The Company is obligated to pay BAFFX17 a fee equal to 3% of any milestone or royalty payments due to Lilly pursuant to the terms of either the 2022 Lilly License and the 2023 Lilly License with Lilly. Upon receiving written approval from the FDA, EMA, or similar regulatory authority of the Investigational New Drug (“IND”) and commencement and the commencement of a clinical trial in the applicable jurisdiction for ZB-106, Stone Peach will also receive a one-time payment of $4.5 million. Stone Peach will also receive a one-time milestone payment of $25 million upon either (i) certain equity-related transactions, or (ii) the receipt of regulatory approval from the applicable regulatory authority for any new indication in the applicable jurisdiction. Furthermore, Stone Peach was granted a royalty of 2% of the aggregate net sales of any products developed from the Compound.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Appointment of a Director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31, 2023, the Board of Directors (the "Board") of the Company increased the size of the Board from seven directors to nine directors. On June 22, 2023, the Board appointed Parvinder Thiara to fill the vacancy on and serve as a member of the Board, to serve until the next annual meeting of stockholders and until his successor is duly elected and qualified or until his earlier death, resignation or removal. Mr. Thiara has no family relationships with any of the executive officers or directors of the Company. There have been no transactions in the past two years to which the Company or any of its subsidiaries was or is to be a party, in which Mr. Thiara had, or will have, a direct or indirect material interest.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Components of Operating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primarily consist of professional fees for legal, accounting, and consulting costs relating to corporate matters, as well as salaries and related costs for personnel in executive and administrative functions, including share-based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anticipate that our general and administrative expenses will increase in the future as we continue to support research and development activities and incur increased costs of operating as a public company. These costs include increased headcount to support expanded operations and infrastructure.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Additionally, we anticipate increased costs associated with maintaining compliance with Nasdaq rules and SEC requirements such as accounting, audit, legal and consulting services, as well as director and officer liability insurance, investor and public relations activities.</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Research and Development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(“R&amp;D”) expenses consist primarily of consulting fees for medical and manufacturing advisory services and costs related to manufacturing material for preclinical studies. Expenses are recognized as the related goods are delivered or the services are performed.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R&amp;D expenses include the cost of in-process research and development (“IPR&amp;D”) assets purchased in an asset acquisition transaction. IPR&amp;D assets are expensed unless the assets acquired are deemed to have an alternative future use, provided that the acquired asset did not also include processes or activities that would constitute a “business” as defined under U.S. GAAP, the drug has not achieved regulatory approval for marketing and, absent obtaining such approval, has no established alternative future use. Acquired IPR&amp;D payments are immediately expensed in the period in which they are incurred and include upfront payments, as well as transaction fees and subsequent pre-commercial milestone payments. Research and development costs incurred after the acquisition are expensed as incurred. R&amp;D expenses also include the remeasurement of the research and development license consideration liability.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could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including salaries, bonuses, benefits, share-based compensation and other related costs for those employees involved in research and development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research and development expenses incurred under agreements with clinical research organizations, investigative sites and consultants to conduct our preclinical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manufacturing material for preclinical studies and clinical trials, including fees paid to contract manufacturing organizations;</w:t>
            </w:r>
          </w:p>
        </w:tc>
      </w:tr>
    </w:tbl>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laboratory supplies and research materials;</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compliance with regulatory requirements;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depreciation and other allocated expenses, which include direct and allocated expenses for rent, maintenance of facilities, insurance and equipment.</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plan to substantially increase our research and development expenses for the foreseeable future as we develop our product candidates and manufacturing processes and conduct discovery and research activities for our preclinical and 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how we pursue our product candidates and how much funding to direct to each program on an ongoing basis in response to the results of future preclinical studies and clinical trials, regulatory developments and our ongoing assessments as to commercial potential. We will need to raise substantial additional capital in the future. Our clinical development costs are expected to increase as we commence, continue and expand our clinical trials. Our future expenses may vary significantly each period based on factors such as:</w:t>
      </w:r>
    </w:p>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to conduct preclinical studies required to advance our product candidates into clinical trials;</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patient clinical trial costs, including based on the number of doses that patients receive;</w:t>
            </w:r>
          </w:p>
        </w:tc>
      </w:tr>
    </w:tbl>
    <w:tbl>
      <w:tblPr>
        <w:tblW w:w="4986" w:type="dxa"/>
        <w:jc w:val="left"/>
        <w:tblInd w:w="0" w:type="dxa"/>
        <w:tblLayout w:type="fixed"/>
        <w:tblCellMar>
          <w:top w:w="28" w:type="dxa"/>
          <w:left w:w="28" w:type="dxa"/>
          <w:bottom w:w="28" w:type="dxa"/>
          <w:right w:w="28" w:type="dxa"/>
        </w:tblCellMar>
      </w:tblPr>
      <w:tblGrid>
        <w:gridCol w:w="124"/>
        <w:gridCol w:w="256"/>
        <w:gridCol w:w="4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who enroll in each clinical trial;</w:t>
            </w:r>
          </w:p>
        </w:tc>
      </w:tr>
    </w:tbl>
    <w:tbl>
      <w:tblPr>
        <w:tblW w:w="4581" w:type="dxa"/>
        <w:jc w:val="left"/>
        <w:tblInd w:w="0" w:type="dxa"/>
        <w:tblLayout w:type="fixed"/>
        <w:tblCellMar>
          <w:top w:w="28" w:type="dxa"/>
          <w:left w:w="28" w:type="dxa"/>
          <w:bottom w:w="28" w:type="dxa"/>
          <w:right w:w="28" w:type="dxa"/>
        </w:tblCellMar>
      </w:tblPr>
      <w:tblGrid>
        <w:gridCol w:w="124"/>
        <w:gridCol w:w="256"/>
        <w:gridCol w:w="4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clinical trials required for approval;</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sites included in the clinical trials;</w:t>
            </w:r>
          </w:p>
        </w:tc>
      </w:tr>
    </w:tbl>
    <w:tbl>
      <w:tblPr>
        <w:tblW w:w="4986" w:type="dxa"/>
        <w:jc w:val="left"/>
        <w:tblInd w:w="0" w:type="dxa"/>
        <w:tblLayout w:type="fixed"/>
        <w:tblCellMar>
          <w:top w:w="28" w:type="dxa"/>
          <w:left w:w="28" w:type="dxa"/>
          <w:bottom w:w="28" w:type="dxa"/>
          <w:right w:w="28" w:type="dxa"/>
        </w:tblCellMar>
      </w:tblPr>
      <w:tblGrid>
        <w:gridCol w:w="124"/>
        <w:gridCol w:w="256"/>
        <w:gridCol w:w="4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countries in which the clinical trials are conducted;</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time required to enroll eligible patients;</w:t>
            </w:r>
          </w:p>
        </w:tc>
      </w:tr>
    </w:tbl>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drop-out or discontinuation rates of patients;</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additional safety monitoring requested by regulatory agencies;</w:t>
            </w:r>
          </w:p>
        </w:tc>
      </w:tr>
    </w:tbl>
    <w:tbl>
      <w:tblPr>
        <w:tblW w:w="6006" w:type="dxa"/>
        <w:jc w:val="left"/>
        <w:tblInd w:w="0" w:type="dxa"/>
        <w:tblLayout w:type="fixed"/>
        <w:tblCellMar>
          <w:top w:w="28" w:type="dxa"/>
          <w:left w:w="28" w:type="dxa"/>
          <w:bottom w:w="28" w:type="dxa"/>
          <w:right w:w="28" w:type="dxa"/>
        </w:tblCellMar>
      </w:tblPr>
      <w:tblGrid>
        <w:gridCol w:w="124"/>
        <w:gridCol w:w="256"/>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patient participation in clinical trials and follow-up;</w:t>
            </w:r>
          </w:p>
        </w:tc>
      </w:tr>
    </w:tbl>
    <w:tbl>
      <w:tblPr>
        <w:tblW w:w="4701" w:type="dxa"/>
        <w:jc w:val="left"/>
        <w:tblInd w:w="0" w:type="dxa"/>
        <w:tblLayout w:type="fixed"/>
        <w:tblCellMar>
          <w:top w:w="28" w:type="dxa"/>
          <w:left w:w="28" w:type="dxa"/>
          <w:bottom w:w="28" w:type="dxa"/>
          <w:right w:w="28" w:type="dxa"/>
        </w:tblCellMar>
      </w:tblPr>
      <w:tblGrid>
        <w:gridCol w:w="124"/>
        <w:gridCol w:w="256"/>
        <w:gridCol w:w="4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phase of development of the product candidate;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party contractors failing to comply with regulatory requirements or meet their contractual obligations in a timely manner, or at all;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insurance, including product liability insurance, in connection with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tc>
      </w:tr>
    </w:tbl>
    <w:tbl>
      <w:tblPr>
        <w:tblW w:w="5046" w:type="dxa"/>
        <w:jc w:val="left"/>
        <w:tblInd w:w="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profile of our product candidates</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Comparison of the Three Months Ended September 30, 2023 and 2022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 our results of operations for the periods presented (in thousands):</w:t>
      </w:r>
    </w:p>
    <w:tbl>
      <w:tblPr>
        <w:tblW w:w="9953" w:type="dxa"/>
        <w:jc w:val="left"/>
        <w:tblInd w:w="0" w:type="dxa"/>
        <w:tblLayout w:type="fixed"/>
        <w:tblCellMar>
          <w:top w:w="0" w:type="dxa"/>
          <w:left w:w="0" w:type="dxa"/>
          <w:bottom w:w="0" w:type="dxa"/>
          <w:right w:w="0" w:type="dxa"/>
        </w:tblCellMar>
      </w:tblPr>
      <w:tblGrid>
        <w:gridCol w:w="4861"/>
        <w:gridCol w:w="326"/>
        <w:gridCol w:w="211"/>
        <w:gridCol w:w="796"/>
        <w:gridCol w:w="326"/>
        <w:gridCol w:w="211"/>
        <w:gridCol w:w="691"/>
        <w:gridCol w:w="326"/>
        <w:gridCol w:w="211"/>
        <w:gridCol w:w="691"/>
        <w:gridCol w:w="326"/>
        <w:gridCol w:w="661"/>
        <w:gridCol w:w="316"/>
      </w:tblGrid>
      <w:tr>
        <w:trPr/>
        <w:tc>
          <w:tcPr>
            <w:tcW w:w="4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086735" cy="175260"/>
                      <wp:effectExtent l="0" t="0" r="0" b="0"/>
                      <wp:wrapNone/>
                      <wp:docPr id="189" name="Frame189"/>
                      <a:graphic xmlns:a="http://schemas.openxmlformats.org/drawingml/2006/main">
                        <a:graphicData uri="http://schemas.microsoft.com/office/word/2010/wordprocessingShape">
                          <wps:wsp>
                            <wps:cNvSpPr txBox="1"/>
                            <wps:spPr>
                              <a:xfrm>
                                <a:off x="0" y="0"/>
                                <a:ext cx="308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05460" cy="175260"/>
                      <wp:effectExtent l="0" t="0" r="0" b="0"/>
                      <wp:wrapNone/>
                      <wp:docPr id="192" name="Frame19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38785" cy="175260"/>
                      <wp:effectExtent l="0" t="0" r="0" b="0"/>
                      <wp:wrapNone/>
                      <wp:docPr id="195" name="Frame19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38785" cy="175260"/>
                      <wp:effectExtent l="0" t="0" r="0" b="0"/>
                      <wp:wrapNone/>
                      <wp:docPr id="198" name="Frame19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19735" cy="175260"/>
                      <wp:effectExtent l="0" t="0" r="0" b="0"/>
                      <wp:wrapNone/>
                      <wp:docPr id="200" name="Frame200"/>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0660" cy="175260"/>
                      <wp:effectExtent l="0" t="0" r="0" b="0"/>
                      <wp:wrapNone/>
                      <wp:docPr id="201" name="Frame20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4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w:t>
            </w:r>
          </w:p>
        </w:tc>
      </w:tr>
      <w:tr>
        <w:trPr/>
        <w:tc>
          <w:tcPr>
            <w:tcW w:w="4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0"/>
              <w:ind w:left="0" w:right="0" w:hanging="0"/>
              <w:jc w:val="center"/>
              <w:rPr/>
            </w:pPr>
            <w:r>
              <w:rPr/>
              <w:t>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center"/>
              <w:rPr/>
            </w:pPr>
            <w:r>
              <w:rPr/>
              <w:t> </w:t>
            </w:r>
          </w:p>
        </w:tc>
      </w:tr>
      <w:tr>
        <w:trPr/>
        <w:tc>
          <w:tcPr>
            <w:tcW w:w="4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661" w:type="dxa"/>
            <w:tcBorders/>
            <w:shd w:fill="CCEEFF" w:val="clear"/>
            <w:vAlign w:val="center"/>
          </w:tcPr>
          <w:p>
            <w:pPr>
              <w:pStyle w:val="TableContents"/>
              <w:bidi w:val="0"/>
              <w:spacing w:before="0" w:after="0"/>
              <w:ind w:left="0" w:right="0" w:hanging="0"/>
              <w:jc w:val="center"/>
              <w:rPr/>
            </w:pPr>
            <w:r>
              <w:rPr/>
              <w:t>​</w:t>
            </w:r>
          </w:p>
        </w:tc>
        <w:tc>
          <w:tcPr>
            <w:tcW w:w="316" w:type="dxa"/>
            <w:tcBorders/>
            <w:shd w:fill="CCEEFF" w:val="clear"/>
            <w:vAlign w:val="center"/>
          </w:tcPr>
          <w:p>
            <w:pPr>
              <w:pStyle w:val="TableContents"/>
              <w:bidi w:val="0"/>
              <w:spacing w:before="0" w:after="0"/>
              <w:ind w:left="0" w:right="0" w:hanging="0"/>
              <w:jc w:val="center"/>
              <w:rPr/>
            </w:pPr>
            <w:r>
              <w:rPr/>
              <w:t> </w:t>
            </w:r>
          </w:p>
        </w:tc>
      </w:tr>
      <w:tr>
        <w:trPr/>
        <w:tc>
          <w:tcPr>
            <w:tcW w:w="48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3,965</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3,550</w:t>
            </w:r>
          </w:p>
        </w:tc>
        <w:tc>
          <w:tcPr>
            <w:tcW w:w="32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center"/>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6,222</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5,569</w:t>
            </w:r>
          </w:p>
        </w:tc>
        <w:tc>
          <w:tcPr>
            <w:tcW w:w="326" w:type="dxa"/>
            <w:tcBorders/>
            <w:shd w:fill="CCEEFF" w:val="clear"/>
            <w:vAlign w:val="center"/>
          </w:tcPr>
          <w:p>
            <w:pPr>
              <w:pStyle w:val="TableContents"/>
              <w:bidi w:val="0"/>
              <w:spacing w:before="0" w:after="0"/>
              <w:ind w:left="0" w:right="0" w:hanging="0"/>
              <w:jc w:val="center"/>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center"/>
              <w:rPr/>
            </w:pPr>
            <w:r>
              <w:rPr/>
              <w:t>​</w:t>
            </w:r>
          </w:p>
        </w:tc>
      </w:tr>
      <w:tr>
        <w:trPr/>
        <w:tc>
          <w:tcPr>
            <w:tcW w:w="48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10,187</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9,119</w:t>
            </w:r>
          </w:p>
        </w:tc>
        <w:tc>
          <w:tcPr>
            <w:tcW w:w="32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center"/>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(10,187)</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(9,119)</w:t>
            </w:r>
          </w:p>
        </w:tc>
        <w:tc>
          <w:tcPr>
            <w:tcW w:w="326" w:type="dxa"/>
            <w:tcBorders/>
            <w:shd w:fill="CCEEFF" w:val="clear"/>
            <w:vAlign w:val="center"/>
          </w:tcPr>
          <w:p>
            <w:pPr>
              <w:pStyle w:val="TableContents"/>
              <w:bidi w:val="0"/>
              <w:spacing w:before="0" w:after="0"/>
              <w:ind w:left="0" w:right="0" w:hanging="0"/>
              <w:jc w:val="center"/>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center"/>
              <w:rPr/>
            </w:pPr>
            <w:r>
              <w:rPr/>
              <w:t>​</w:t>
            </w:r>
          </w:p>
        </w:tc>
      </w:tr>
      <w:tr>
        <w:trPr/>
        <w:tc>
          <w:tcPr>
            <w:tcW w:w="48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expense/(income), net: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center"/>
              <w:rPr/>
            </w:pPr>
            <w:r>
              <w:rPr/>
              <w:t> </w:t>
            </w:r>
          </w:p>
        </w:tc>
      </w:tr>
      <w:tr>
        <w:trPr/>
        <w:tc>
          <w:tcPr>
            <w:tcW w:w="4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w:t>
            </w:r>
          </w:p>
        </w:tc>
        <w:tc>
          <w:tcPr>
            <w:tcW w:w="3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w:t>
            </w:r>
          </w:p>
        </w:tc>
        <w:tc>
          <w:tcPr>
            <w:tcW w:w="3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private placement warrants</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expense/(income), net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w:t>
            </w:r>
          </w:p>
        </w:tc>
        <w:tc>
          <w:tcPr>
            <w:tcW w:w="32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(7,168)</w:t>
            </w:r>
          </w:p>
        </w:tc>
        <w:tc>
          <w:tcPr>
            <w:tcW w:w="32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before redeemable noncontrolling interest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(7,168)</w:t>
            </w:r>
          </w:p>
        </w:tc>
        <w:tc>
          <w:tcPr>
            <w:tcW w:w="32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redeemable noncontrolling interest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(7,168)</w:t>
            </w:r>
          </w:p>
        </w:tc>
        <w:tc>
          <w:tcPr>
            <w:tcW w:w="32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4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Deemed dividend to redeemable noncontrolling interest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Ordinary Shareholders of Zura</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(7,168)</w:t>
            </w:r>
          </w:p>
        </w:tc>
        <w:tc>
          <w:tcPr>
            <w:tcW w:w="32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bl>
    <w:p>
      <w:pPr>
        <w:pStyle w:val="TextBody"/>
        <w:pBdr/>
        <w:bidi w:val="0"/>
        <w:spacing w:before="0" w:after="240"/>
        <w:ind w:left="0" w:right="0" w:hanging="360"/>
        <w:jc w:val="both"/>
        <w:rPr>
          <w:rFonts w:ascii="Times New Roman;Times;serif" w:hAnsi="Times New Roman;Times;serif"/>
          <w:sz w:val="20"/>
        </w:rPr>
      </w:pPr>
      <w:r>
        <w:rPr>
          <w:rFonts w:ascii="Times New Roman;Times;serif" w:hAnsi="Times New Roman;Times;serif"/>
          <w:sz w:val="20"/>
        </w:rPr>
        <w:t>*Percentage change not meaningful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Research and Development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increased by $3.6 million for the three months ended September 30, 2023 compared to the three months ended September 30, 2022. The increase was due to $3.1 million of increased costs to manufacture products for use in clinical studies and an increase of $0.5 million in incurred for clinical and regulatory consulting services.</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General and Administrative Expenses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General and administrative expenses increased by $5.6 million for the three months ended September 30, 2023 compared to the three months ended September 30, 2022. The increase was primarily due to increases of $4.2 million in expenses related compensation for personnel in executive and administrative functions including share-based compensation, as well as an increase of $0.7 million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professional fees for legal and accounting costs incurred related to our ongoing operations as a public company, and an increase of $0.7 million of travel and office expenses.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Expense (Income)</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Other expense,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expense decreased by an immaterial amount for the three months ended September 30, 2023 compared to the three months ended September 30, 2022. This decrease due to a decrease in foreign exchange transaction loss.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Interest income increased by $0.8 million for the three months ended September 30, 2023 compared to the three months ended September 30, 2022. This increase is due to an increase in our cash and cash equivalents balance during the three months ended September 30, 2023 compared to the three months ended September 30, 2022.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Dividend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Dividend income increased by $1.0 million for the three months ended September 30, 2023 compared to the three months ended September 30, 2022. The Company held no dividend-generating cash equivalents during the three months ended September 30, 2022.</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Change in fair value of private placement warrants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Revaluation gain on the liability-classified private placement warrants assumed in the Business Combination was $0.1 million for the three months ended September 30, 2023. No warrants were outstanding during the three months ended September 30, 2022.</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Net loss attributable to redeemable noncontrolling interest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loss attributable to redeemable noncontrolling interest was $-0- for the three months ended September 30, 2023, representing the noncontrolling shareholder’s interest in the net loss of our consolidated subsidiary. The redeemable noncontrolling interest was not outstanding during the three months ended September 30, 2022.</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Deemed Dividend to Redeemable Noncontrolling Interest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Deemed dividend to the redeemable noncontrolling interest was $-0- for the three months ended September 30, 2023. The redeemable noncontrolling interest was not outstanding during the three months ended September 30,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Comparison of the Nine Months Ended September 30, 2023 and the Period from January 18, 2022 (date of inception) to September 30, 2022</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 our results of operations for the periods presented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092"/>
        <w:gridCol w:w="326"/>
        <w:gridCol w:w="228"/>
        <w:gridCol w:w="840"/>
        <w:gridCol w:w="326"/>
        <w:gridCol w:w="429"/>
        <w:gridCol w:w="1348"/>
        <w:gridCol w:w="326"/>
        <w:gridCol w:w="211"/>
        <w:gridCol w:w="773"/>
        <w:gridCol w:w="326"/>
        <w:gridCol w:w="661"/>
        <w:gridCol w:w="319"/>
      </w:tblGrid>
      <w:tr>
        <w:trPr/>
        <w:tc>
          <w:tcPr>
            <w:tcW w:w="40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598420" cy="175260"/>
                      <wp:effectExtent l="0" t="0" r="0" b="0"/>
                      <wp:wrapNone/>
                      <wp:docPr id="202" name="Frame202"/>
                      <a:graphic xmlns:a="http://schemas.openxmlformats.org/drawingml/2006/main">
                        <a:graphicData uri="http://schemas.microsoft.com/office/word/2010/wordprocessingShape">
                          <wps:wsp>
                            <wps:cNvSpPr txBox="1"/>
                            <wps:spPr>
                              <a:xfrm>
                                <a:off x="0" y="0"/>
                                <a:ext cx="2598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44780" cy="175260"/>
                      <wp:effectExtent l="0" t="0" r="0" b="0"/>
                      <wp:wrapNone/>
                      <wp:docPr id="204" name="Frame204"/>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33400" cy="175260"/>
                      <wp:effectExtent l="0" t="0" r="0" b="0"/>
                      <wp:wrapNone/>
                      <wp:docPr id="205" name="Frame205"/>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72415" cy="175260"/>
                      <wp:effectExtent l="0" t="0" r="0" b="0"/>
                      <wp:wrapNone/>
                      <wp:docPr id="207" name="Frame207"/>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855980" cy="175260"/>
                      <wp:effectExtent l="0" t="0" r="0" b="0"/>
                      <wp:wrapNone/>
                      <wp:docPr id="208" name="Frame208"/>
                      <a:graphic xmlns:a="http://schemas.openxmlformats.org/drawingml/2006/main">
                        <a:graphicData uri="http://schemas.microsoft.com/office/word/2010/wordprocessingShape">
                          <wps:wsp>
                            <wps:cNvSpPr txBox="1"/>
                            <wps:spPr>
                              <a:xfrm>
                                <a:off x="0" y="0"/>
                                <a:ext cx="855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10" name="Frame2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90855" cy="175260"/>
                      <wp:effectExtent l="0" t="0" r="0" b="0"/>
                      <wp:wrapNone/>
                      <wp:docPr id="211" name="Frame211"/>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19735" cy="175260"/>
                      <wp:effectExtent l="0" t="0" r="0" b="0"/>
                      <wp:wrapNone/>
                      <wp:docPr id="213" name="Frame213"/>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2565" cy="175260"/>
                      <wp:effectExtent l="0" t="0" r="0" b="0"/>
                      <wp:wrapNone/>
                      <wp:docPr id="214" name="Frame214"/>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6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w:t>
            </w:r>
          </w:p>
        </w:tc>
        <w:tc>
          <w:tcPr>
            <w:tcW w:w="326" w:type="dxa"/>
            <w:tcBorders/>
            <w:vAlign w:val="center"/>
          </w:tcPr>
          <w:p>
            <w:pPr>
              <w:pStyle w:val="TableContents"/>
              <w:bidi w:val="0"/>
              <w:spacing w:before="0" w:after="1"/>
              <w:ind w:left="0" w:right="0" w:hanging="0"/>
              <w:jc w:val="center"/>
              <w:rPr/>
            </w:pPr>
            <w:r>
              <w:rPr/>
              <w:t>​</w:t>
            </w:r>
          </w:p>
        </w:tc>
        <w:tc>
          <w:tcPr>
            <w:tcW w:w="17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Period from January</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7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pPr>
            <w:r>
              <w:rPr/>
              <w:t>​</w:t>
            </w:r>
          </w:p>
        </w:tc>
        <w:tc>
          <w:tcPr>
            <w:tcW w:w="319" w:type="dxa"/>
            <w:tcBorders/>
            <w:vAlign w:val="center"/>
          </w:tcPr>
          <w:p>
            <w:pPr>
              <w:pStyle w:val="TableContents"/>
              <w:bidi w:val="0"/>
              <w:spacing w:before="0" w:after="1"/>
              <w:ind w:left="0" w:right="0" w:hanging="0"/>
              <w:jc w:val="center"/>
              <w:rPr/>
            </w:pPr>
            <w:r>
              <w:rPr/>
              <w:t>​</w:t>
            </w:r>
          </w:p>
        </w:tc>
      </w:tr>
      <w:tr>
        <w:trPr/>
        <w:tc>
          <w:tcPr>
            <w:tcW w:w="40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6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26" w:type="dxa"/>
            <w:tcBorders/>
            <w:vAlign w:val="center"/>
          </w:tcPr>
          <w:p>
            <w:pPr>
              <w:pStyle w:val="TableContents"/>
              <w:bidi w:val="0"/>
              <w:spacing w:before="0" w:after="1"/>
              <w:ind w:left="0" w:right="0" w:hanging="0"/>
              <w:jc w:val="center"/>
              <w:rPr/>
            </w:pPr>
            <w:r>
              <w:rPr/>
              <w:t>​</w:t>
            </w:r>
          </w:p>
        </w:tc>
        <w:tc>
          <w:tcPr>
            <w:tcW w:w="17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18, 2022 (date of inception) to</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7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pPr>
            <w:r>
              <w:rPr/>
              <w:t>​</w:t>
            </w:r>
          </w:p>
        </w:tc>
        <w:tc>
          <w:tcPr>
            <w:tcW w:w="319" w:type="dxa"/>
            <w:tcBorders/>
            <w:vAlign w:val="center"/>
          </w:tcPr>
          <w:p>
            <w:pPr>
              <w:pStyle w:val="TableContents"/>
              <w:bidi w:val="0"/>
              <w:spacing w:before="0" w:after="1"/>
              <w:ind w:left="0" w:right="0" w:hanging="0"/>
              <w:jc w:val="center"/>
              <w:rPr/>
            </w:pPr>
            <w:r>
              <w:rPr/>
              <w:t>​</w:t>
            </w:r>
          </w:p>
        </w:tc>
      </w:tr>
      <w:tr>
        <w:trPr/>
        <w:tc>
          <w:tcPr>
            <w:tcW w:w="40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6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1"/>
              <w:ind w:left="0" w:right="0" w:hanging="0"/>
              <w:jc w:val="center"/>
              <w:rPr/>
            </w:pPr>
            <w:r>
              <w:rPr/>
              <w:t>​</w:t>
            </w:r>
          </w:p>
        </w:tc>
        <w:tc>
          <w:tcPr>
            <w:tcW w:w="17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1"/>
              <w:ind w:left="0" w:right="0" w:hanging="0"/>
              <w:jc w:val="center"/>
              <w:rPr/>
            </w:pPr>
            <w:r>
              <w:rPr/>
              <w:t>    </w:t>
            </w:r>
          </w:p>
        </w:tc>
        <w:tc>
          <w:tcPr>
            <w:tcW w:w="98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center"/>
              <w:rPr/>
            </w:pPr>
            <w:r>
              <w:rPr/>
              <w:t>    </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9" w:type="dxa"/>
            <w:tcBorders/>
            <w:vAlign w:val="center"/>
          </w:tcPr>
          <w:p>
            <w:pPr>
              <w:pStyle w:val="TableContents"/>
              <w:bidi w:val="0"/>
              <w:spacing w:before="0" w:after="1"/>
              <w:ind w:left="0" w:right="0" w:hanging="0"/>
              <w:jc w:val="center"/>
              <w:rPr/>
            </w:pPr>
            <w:r>
              <w:rPr/>
              <w:t>​</w:t>
            </w:r>
          </w:p>
        </w:tc>
      </w:tr>
      <w:tr>
        <w:trPr/>
        <w:tc>
          <w:tcPr>
            <w:tcW w:w="40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7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9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1"/>
              <w:ind w:left="0" w:right="0" w:hanging="0"/>
              <w:jc w:val="center"/>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9" w:type="dxa"/>
            <w:tcBorders/>
            <w:vAlign w:val="center"/>
          </w:tcPr>
          <w:p>
            <w:pPr>
              <w:pStyle w:val="TableContents"/>
              <w:bidi w:val="0"/>
              <w:spacing w:before="0" w:after="1"/>
              <w:ind w:left="0" w:right="0" w:hanging="0"/>
              <w:jc w:val="center"/>
              <w:rPr/>
            </w:pPr>
            <w:r>
              <w:rPr/>
              <w:t> </w:t>
            </w:r>
          </w:p>
        </w:tc>
      </w:tr>
      <w:tr>
        <w:trPr/>
        <w:tc>
          <w:tcPr>
            <w:tcW w:w="409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1"/>
              <w:ind w:left="0" w:right="0" w:hanging="0"/>
              <w:jc w:val="center"/>
              <w:rPr/>
            </w:pPr>
            <w:r>
              <w:rPr/>
              <w:t>​</w:t>
            </w:r>
          </w:p>
        </w:tc>
        <w:tc>
          <w:tcPr>
            <w:tcW w:w="228" w:type="dxa"/>
            <w:tcBorders/>
            <w:shd w:fill="CCEEFF" w:val="clear"/>
            <w:vAlign w:val="center"/>
          </w:tcPr>
          <w:p>
            <w:pPr>
              <w:pStyle w:val="TableContents"/>
              <w:bidi w:val="0"/>
              <w:spacing w:before="0" w:after="1"/>
              <w:ind w:left="0" w:right="0" w:hanging="0"/>
              <w:jc w:val="center"/>
              <w:rPr/>
            </w:pPr>
            <w:r>
              <w:rPr/>
              <w:t>​</w:t>
            </w:r>
          </w:p>
        </w:tc>
        <w:tc>
          <w:tcPr>
            <w:tcW w:w="840"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429" w:type="dxa"/>
            <w:tcBorders/>
            <w:shd w:fill="CCEEFF" w:val="clear"/>
            <w:vAlign w:val="center"/>
          </w:tcPr>
          <w:p>
            <w:pPr>
              <w:pStyle w:val="TableContents"/>
              <w:bidi w:val="0"/>
              <w:spacing w:before="0" w:after="1"/>
              <w:ind w:left="0" w:right="0" w:hanging="0"/>
              <w:jc w:val="center"/>
              <w:rPr/>
            </w:pPr>
            <w:r>
              <w:rPr/>
              <w:t>​</w:t>
            </w:r>
          </w:p>
        </w:tc>
        <w:tc>
          <w:tcPr>
            <w:tcW w:w="1348"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73"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661" w:type="dxa"/>
            <w:tcBorders/>
            <w:shd w:fill="CCEEFF" w:val="clear"/>
            <w:vAlign w:val="center"/>
          </w:tcPr>
          <w:p>
            <w:pPr>
              <w:pStyle w:val="TableContents"/>
              <w:bidi w:val="0"/>
              <w:spacing w:before="0" w:after="1"/>
              <w:ind w:left="0" w:right="0" w:hanging="0"/>
              <w:jc w:val="center"/>
              <w:rPr/>
            </w:pPr>
            <w:r>
              <w:rPr/>
              <w:t>​</w:t>
            </w:r>
          </w:p>
        </w:tc>
        <w:tc>
          <w:tcPr>
            <w:tcW w:w="319" w:type="dxa"/>
            <w:tcBorders/>
            <w:shd w:fill="CCEEFF" w:val="clear"/>
            <w:vAlign w:val="center"/>
          </w:tcPr>
          <w:p>
            <w:pPr>
              <w:pStyle w:val="TableContents"/>
              <w:bidi w:val="0"/>
              <w:spacing w:before="0" w:after="1"/>
              <w:ind w:left="0" w:right="0" w:hanging="0"/>
              <w:jc w:val="center"/>
              <w:rPr/>
            </w:pPr>
            <w:r>
              <w:rPr/>
              <w:t> </w:t>
            </w:r>
          </w:p>
        </w:tc>
      </w:tr>
      <w:tr>
        <w:trPr/>
        <w:tc>
          <w:tcPr>
            <w:tcW w:w="409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center"/>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37,079</w:t>
            </w:r>
          </w:p>
        </w:tc>
        <w:tc>
          <w:tcPr>
            <w:tcW w:w="326" w:type="dxa"/>
            <w:tcBorders/>
            <w:vAlign w:val="center"/>
          </w:tcPr>
          <w:p>
            <w:pPr>
              <w:pStyle w:val="TableContents"/>
              <w:bidi w:val="0"/>
              <w:spacing w:before="0" w:after="1"/>
              <w:ind w:left="0" w:right="0" w:hanging="0"/>
              <w:jc w:val="center"/>
              <w:rPr/>
            </w:pPr>
            <w:r>
              <w:rPr/>
              <w:t>​</w:t>
            </w:r>
          </w:p>
        </w:tc>
        <w:tc>
          <w:tcPr>
            <w:tcW w:w="4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8,000</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29,079</w:t>
            </w:r>
          </w:p>
        </w:tc>
        <w:tc>
          <w:tcPr>
            <w:tcW w:w="32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9" w:type="dxa"/>
            <w:tcBorders/>
            <w:vAlign w:val="center"/>
          </w:tcPr>
          <w:p>
            <w:pPr>
              <w:pStyle w:val="TableContents"/>
              <w:bidi w:val="0"/>
              <w:spacing w:before="0" w:after="1"/>
              <w:ind w:left="0" w:right="0" w:hanging="0"/>
              <w:jc w:val="center"/>
              <w:rPr/>
            </w:pPr>
            <w:r>
              <w:rPr/>
              <w:t>​</w:t>
            </w:r>
          </w:p>
        </w:tc>
      </w:tr>
      <w:tr>
        <w:trPr/>
        <w:tc>
          <w:tcPr>
            <w:tcW w:w="409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center"/>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14,732</w:t>
            </w:r>
          </w:p>
        </w:tc>
        <w:tc>
          <w:tcPr>
            <w:tcW w:w="326" w:type="dxa"/>
            <w:tcBorders/>
            <w:shd w:fill="CCEEFF" w:val="clear"/>
            <w:vAlign w:val="center"/>
          </w:tcPr>
          <w:p>
            <w:pPr>
              <w:pStyle w:val="TableContents"/>
              <w:bidi w:val="0"/>
              <w:spacing w:before="0" w:after="1"/>
              <w:ind w:left="0" w:right="0" w:hanging="0"/>
              <w:jc w:val="center"/>
              <w:rPr/>
            </w:pPr>
            <w:r>
              <w:rPr/>
              <w:t>​</w:t>
            </w:r>
          </w:p>
        </w:tc>
        <w:tc>
          <w:tcPr>
            <w:tcW w:w="429"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13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1,814</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12,918</w:t>
            </w:r>
          </w:p>
        </w:tc>
        <w:tc>
          <w:tcPr>
            <w:tcW w:w="326" w:type="dxa"/>
            <w:tcBorders/>
            <w:shd w:fill="CCEEFF" w:val="clear"/>
            <w:vAlign w:val="center"/>
          </w:tcPr>
          <w:p>
            <w:pPr>
              <w:pStyle w:val="TableContents"/>
              <w:bidi w:val="0"/>
              <w:spacing w:before="0" w:after="1"/>
              <w:ind w:left="0" w:right="0" w:hanging="0"/>
              <w:jc w:val="center"/>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9" w:type="dxa"/>
            <w:tcBorders/>
            <w:shd w:fill="CCEEFF" w:val="clear"/>
            <w:vAlign w:val="center"/>
          </w:tcPr>
          <w:p>
            <w:pPr>
              <w:pStyle w:val="TableContents"/>
              <w:bidi w:val="0"/>
              <w:spacing w:before="0" w:after="1"/>
              <w:ind w:left="0" w:right="0" w:hanging="0"/>
              <w:jc w:val="center"/>
              <w:rPr/>
            </w:pPr>
            <w:r>
              <w:rPr/>
              <w:t>​</w:t>
            </w:r>
          </w:p>
        </w:tc>
      </w:tr>
      <w:tr>
        <w:trPr/>
        <w:tc>
          <w:tcPr>
            <w:tcW w:w="409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center"/>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51,811</w:t>
            </w:r>
          </w:p>
        </w:tc>
        <w:tc>
          <w:tcPr>
            <w:tcW w:w="326" w:type="dxa"/>
            <w:tcBorders/>
            <w:vAlign w:val="center"/>
          </w:tcPr>
          <w:p>
            <w:pPr>
              <w:pStyle w:val="TableContents"/>
              <w:bidi w:val="0"/>
              <w:spacing w:before="0" w:after="1"/>
              <w:ind w:left="0" w:right="0" w:hanging="0"/>
              <w:jc w:val="center"/>
              <w:rPr/>
            </w:pPr>
            <w:r>
              <w:rPr/>
              <w:t>​</w:t>
            </w:r>
          </w:p>
        </w:tc>
        <w:tc>
          <w:tcPr>
            <w:tcW w:w="42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3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9,814</w:t>
            </w:r>
          </w:p>
        </w:tc>
        <w:tc>
          <w:tcPr>
            <w:tcW w:w="32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41,997</w:t>
            </w:r>
          </w:p>
        </w:tc>
        <w:tc>
          <w:tcPr>
            <w:tcW w:w="32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9" w:type="dxa"/>
            <w:tcBorders/>
            <w:vAlign w:val="center"/>
          </w:tcPr>
          <w:p>
            <w:pPr>
              <w:pStyle w:val="TableContents"/>
              <w:bidi w:val="0"/>
              <w:spacing w:before="0" w:after="1"/>
              <w:ind w:left="0" w:right="0" w:hanging="0"/>
              <w:jc w:val="center"/>
              <w:rPr/>
            </w:pPr>
            <w:r>
              <w:rPr/>
              <w:t>​</w:t>
            </w:r>
          </w:p>
        </w:tc>
      </w:tr>
      <w:tr>
        <w:trPr/>
        <w:tc>
          <w:tcPr>
            <w:tcW w:w="409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center"/>
              <w:rPr/>
            </w:pPr>
            <w:r>
              <w:rPr/>
              <w:t>​</w:t>
            </w:r>
          </w:p>
        </w:tc>
        <w:tc>
          <w:tcPr>
            <w:tcW w:w="228" w:type="dxa"/>
            <w:tcBorders/>
            <w:shd w:fill="CCEEFF" w:val="clear"/>
            <w:vAlign w:val="center"/>
          </w:tcPr>
          <w:p>
            <w:pPr>
              <w:pStyle w:val="TableContents"/>
              <w:bidi w:val="0"/>
              <w:spacing w:before="0" w:after="1"/>
              <w:ind w:left="0" w:right="0" w:hanging="0"/>
              <w:jc w:val="center"/>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(51,811)</w:t>
            </w:r>
          </w:p>
        </w:tc>
        <w:tc>
          <w:tcPr>
            <w:tcW w:w="326" w:type="dxa"/>
            <w:tcBorders/>
            <w:shd w:fill="CCEEFF" w:val="clear"/>
            <w:vAlign w:val="center"/>
          </w:tcPr>
          <w:p>
            <w:pPr>
              <w:pStyle w:val="TableContents"/>
              <w:bidi w:val="0"/>
              <w:spacing w:before="0" w:after="1"/>
              <w:ind w:left="0" w:right="0" w:hanging="0"/>
              <w:jc w:val="center"/>
              <w:rPr/>
            </w:pPr>
            <w:r>
              <w:rPr/>
              <w:t>​</w:t>
            </w:r>
          </w:p>
        </w:tc>
        <w:tc>
          <w:tcPr>
            <w:tcW w:w="429" w:type="dxa"/>
            <w:tcBorders/>
            <w:shd w:fill="CCEEFF" w:val="clear"/>
            <w:vAlign w:val="center"/>
          </w:tcPr>
          <w:p>
            <w:pPr>
              <w:pStyle w:val="TableContents"/>
              <w:bidi w:val="0"/>
              <w:spacing w:before="0" w:after="1"/>
              <w:ind w:left="0" w:right="0" w:hanging="0"/>
              <w:jc w:val="center"/>
              <w:rPr/>
            </w:pPr>
            <w:r>
              <w:rPr/>
              <w:t>​</w:t>
            </w:r>
          </w:p>
        </w:tc>
        <w:tc>
          <w:tcPr>
            <w:tcW w:w="13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(9,814)</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(41,997)</w:t>
            </w:r>
          </w:p>
        </w:tc>
        <w:tc>
          <w:tcPr>
            <w:tcW w:w="326" w:type="dxa"/>
            <w:tcBorders/>
            <w:shd w:fill="CCEEFF" w:val="clear"/>
            <w:vAlign w:val="center"/>
          </w:tcPr>
          <w:p>
            <w:pPr>
              <w:pStyle w:val="TableContents"/>
              <w:bidi w:val="0"/>
              <w:spacing w:before="0" w:after="1"/>
              <w:ind w:left="0" w:right="0" w:hanging="0"/>
              <w:jc w:val="center"/>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9" w:type="dxa"/>
            <w:tcBorders/>
            <w:shd w:fill="CCEEFF" w:val="clear"/>
            <w:vAlign w:val="center"/>
          </w:tcPr>
          <w:p>
            <w:pPr>
              <w:pStyle w:val="TableContents"/>
              <w:bidi w:val="0"/>
              <w:spacing w:before="0" w:after="1"/>
              <w:ind w:left="0" w:right="0" w:hanging="0"/>
              <w:jc w:val="center"/>
              <w:rPr/>
            </w:pPr>
            <w:r>
              <w:rPr/>
              <w:t>​</w:t>
            </w:r>
          </w:p>
        </w:tc>
      </w:tr>
      <w:tr>
        <w:trPr/>
        <w:tc>
          <w:tcPr>
            <w:tcW w:w="409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expense/(income), net:</w:t>
            </w:r>
          </w:p>
        </w:tc>
        <w:tc>
          <w:tcPr>
            <w:tcW w:w="326" w:type="dxa"/>
            <w:tcBorders/>
            <w:vAlign w:val="center"/>
          </w:tcPr>
          <w:p>
            <w:pPr>
              <w:pStyle w:val="TableContents"/>
              <w:bidi w:val="0"/>
              <w:spacing w:before="0" w:after="1"/>
              <w:ind w:left="0" w:right="0" w:hanging="0"/>
              <w:jc w:val="center"/>
              <w:rPr/>
            </w:pPr>
            <w:r>
              <w:rPr/>
              <w:t>​</w:t>
            </w:r>
          </w:p>
        </w:tc>
        <w:tc>
          <w:tcPr>
            <w:tcW w:w="228" w:type="dxa"/>
            <w:tcBorders/>
            <w:vAlign w:val="center"/>
          </w:tcPr>
          <w:p>
            <w:pPr>
              <w:pStyle w:val="TableContents"/>
              <w:bidi w:val="0"/>
              <w:spacing w:before="0" w:after="1"/>
              <w:ind w:left="0" w:right="0" w:hanging="0"/>
              <w:jc w:val="center"/>
              <w:rPr/>
            </w:pPr>
            <w:r>
              <w:rPr/>
              <w:t>  </w:t>
            </w:r>
          </w:p>
        </w:tc>
        <w:tc>
          <w:tcPr>
            <w:tcW w:w="84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429" w:type="dxa"/>
            <w:tcBorders/>
            <w:vAlign w:val="center"/>
          </w:tcPr>
          <w:p>
            <w:pPr>
              <w:pStyle w:val="TableContents"/>
              <w:bidi w:val="0"/>
              <w:spacing w:before="0" w:after="1"/>
              <w:ind w:left="0" w:right="0" w:hanging="0"/>
              <w:jc w:val="center"/>
              <w:rPr/>
            </w:pPr>
            <w:r>
              <w:rPr/>
              <w:t>  </w:t>
            </w:r>
          </w:p>
        </w:tc>
        <w:tc>
          <w:tcPr>
            <w:tcW w:w="13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  </w:t>
            </w:r>
          </w:p>
        </w:tc>
        <w:tc>
          <w:tcPr>
            <w:tcW w:w="77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right"/>
              <w:rPr/>
            </w:pPr>
            <w:r>
              <w:rPr/>
              <w:t>​</w:t>
            </w:r>
          </w:p>
        </w:tc>
        <w:tc>
          <w:tcPr>
            <w:tcW w:w="319" w:type="dxa"/>
            <w:tcBorders/>
            <w:vAlign w:val="center"/>
          </w:tcPr>
          <w:p>
            <w:pPr>
              <w:pStyle w:val="TableContents"/>
              <w:bidi w:val="0"/>
              <w:spacing w:before="0" w:after="1"/>
              <w:ind w:left="0" w:right="0" w:hanging="0"/>
              <w:jc w:val="center"/>
              <w:rPr/>
            </w:pPr>
            <w:r>
              <w:rPr/>
              <w:t> </w:t>
            </w:r>
          </w:p>
        </w:tc>
      </w:tr>
      <w:tr>
        <w:trPr/>
        <w:tc>
          <w:tcPr>
            <w:tcW w:w="409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26" w:type="dxa"/>
            <w:tcBorders/>
            <w:shd w:fill="CCEEFF" w:val="clear"/>
            <w:vAlign w:val="center"/>
          </w:tcPr>
          <w:p>
            <w:pPr>
              <w:pStyle w:val="TableContents"/>
              <w:bidi w:val="0"/>
              <w:spacing w:before="0" w:after="1"/>
              <w:ind w:left="0" w:right="0" w:hanging="0"/>
              <w:jc w:val="left"/>
              <w:rPr/>
            </w:pPr>
            <w:r>
              <w:rPr/>
              <w:t> </w:t>
            </w:r>
          </w:p>
        </w:tc>
        <w:tc>
          <w:tcPr>
            <w:tcW w:w="228" w:type="dxa"/>
            <w:tcBorders/>
            <w:shd w:fill="CCEEFF" w:val="clear"/>
            <w:vAlign w:val="center"/>
          </w:tcPr>
          <w:p>
            <w:pPr>
              <w:pStyle w:val="TableContents"/>
              <w:bidi w:val="0"/>
              <w:spacing w:before="0" w:after="1"/>
              <w:ind w:left="0" w:right="0" w:hanging="0"/>
              <w:jc w:val="righ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1"/>
              <w:ind w:left="0" w:right="0" w:hanging="0"/>
              <w:jc w:val="left"/>
              <w:rPr/>
            </w:pPr>
            <w:r>
              <w:rPr/>
              <w:t> </w:t>
            </w:r>
          </w:p>
        </w:tc>
        <w:tc>
          <w:tcPr>
            <w:tcW w:w="429" w:type="dxa"/>
            <w:tcBorders/>
            <w:shd w:fill="CCEEFF" w:val="clear"/>
            <w:vAlign w:val="center"/>
          </w:tcPr>
          <w:p>
            <w:pPr>
              <w:pStyle w:val="TableContents"/>
              <w:bidi w:val="0"/>
              <w:spacing w:before="0" w:after="1"/>
              <w:ind w:left="0" w:right="0" w:hanging="0"/>
              <w:jc w:val="right"/>
              <w:rPr/>
            </w:pPr>
            <w:r>
              <w:rPr/>
              <w:t>​</w:t>
            </w:r>
          </w:p>
        </w:tc>
        <w:tc>
          <w:tcPr>
            <w:tcW w:w="13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9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righ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w:t>
            </w:r>
          </w:p>
        </w:tc>
        <w:tc>
          <w:tcPr>
            <w:tcW w:w="326"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right"/>
              <w:rPr/>
            </w:pPr>
            <w:r>
              <w:rPr/>
              <w:t>​</w:t>
            </w:r>
          </w:p>
        </w:tc>
        <w:tc>
          <w:tcPr>
            <w:tcW w:w="13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9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income</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righ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(1,392)</w:t>
            </w:r>
          </w:p>
        </w:tc>
        <w:tc>
          <w:tcPr>
            <w:tcW w:w="326"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right"/>
              <w:rPr/>
            </w:pPr>
            <w:r>
              <w:rPr/>
              <w:t>​</w:t>
            </w:r>
          </w:p>
        </w:tc>
        <w:tc>
          <w:tcPr>
            <w:tcW w:w="13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(1,392)</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9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private placement warrants</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righ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c>
          <w:tcPr>
            <w:tcW w:w="326"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right"/>
              <w:rPr/>
            </w:pPr>
            <w:r>
              <w:rPr/>
              <w:t>​</w:t>
            </w:r>
          </w:p>
        </w:tc>
        <w:tc>
          <w:tcPr>
            <w:tcW w:w="13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9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note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2,244</w:t>
            </w:r>
          </w:p>
        </w:tc>
        <w:tc>
          <w:tcPr>
            <w:tcW w:w="326" w:type="dxa"/>
            <w:tcBorders/>
            <w:shd w:fill="CCEEFF" w:val="clear"/>
            <w:vAlign w:val="center"/>
          </w:tcPr>
          <w:p>
            <w:pPr>
              <w:pStyle w:val="TableContents"/>
              <w:bidi w:val="0"/>
              <w:spacing w:before="0" w:after="1"/>
              <w:ind w:left="0" w:right="0" w:hanging="0"/>
              <w:jc w:val="left"/>
              <w:rPr/>
            </w:pPr>
            <w:r>
              <w:rPr/>
              <w:t>​</w:t>
            </w:r>
          </w:p>
        </w:tc>
        <w:tc>
          <w:tcPr>
            <w:tcW w:w="4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3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2,244</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9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expense/(income), net</w:t>
            </w:r>
          </w:p>
        </w:tc>
        <w:tc>
          <w:tcPr>
            <w:tcW w:w="326" w:type="dxa"/>
            <w:tcBorders/>
            <w:vAlign w:val="center"/>
          </w:tcPr>
          <w:p>
            <w:pPr>
              <w:pStyle w:val="TableContents"/>
              <w:bidi w:val="0"/>
              <w:spacing w:before="0" w:after="1"/>
              <w:ind w:left="0" w:right="0" w:hanging="0"/>
              <w:jc w:val="left"/>
              <w:rPr/>
            </w:pPr>
            <w:r>
              <w:rPr/>
              <w:t> </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w:t>
            </w:r>
          </w:p>
        </w:tc>
        <w:tc>
          <w:tcPr>
            <w:tcW w:w="326" w:type="dxa"/>
            <w:tcBorders/>
            <w:vAlign w:val="center"/>
          </w:tcPr>
          <w:p>
            <w:pPr>
              <w:pStyle w:val="TableContents"/>
              <w:bidi w:val="0"/>
              <w:spacing w:before="0" w:after="1"/>
              <w:ind w:left="0" w:right="0" w:hanging="0"/>
              <w:jc w:val="left"/>
              <w:rPr/>
            </w:pPr>
            <w:r>
              <w:rPr/>
              <w:t> </w:t>
            </w:r>
          </w:p>
        </w:tc>
        <w:tc>
          <w:tcPr>
            <w:tcW w:w="42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3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w:t>
            </w:r>
          </w:p>
        </w:tc>
        <w:tc>
          <w:tcPr>
            <w:tcW w:w="32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9" w:type="dxa"/>
            <w:tcBorders/>
            <w:vAlign w:val="center"/>
          </w:tcPr>
          <w:p>
            <w:pPr>
              <w:pStyle w:val="TableContents"/>
              <w:bidi w:val="0"/>
              <w:spacing w:before="0" w:after="1"/>
              <w:ind w:left="0" w:right="0" w:hanging="0"/>
              <w:jc w:val="left"/>
              <w:rPr/>
            </w:pPr>
            <w:r>
              <w:rPr/>
              <w:t>​</w:t>
            </w:r>
          </w:p>
        </w:tc>
      </w:tr>
      <w:tr>
        <w:trPr/>
        <w:tc>
          <w:tcPr>
            <w:tcW w:w="409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shd w:fill="CCEEFF" w:val="clear"/>
            <w:vAlign w:val="center"/>
          </w:tcPr>
          <w:p>
            <w:pPr>
              <w:pStyle w:val="TableContents"/>
              <w:bidi w:val="0"/>
              <w:spacing w:before="0" w:after="1"/>
              <w:ind w:left="0" w:right="0" w:hanging="0"/>
              <w:jc w:val="left"/>
              <w:rPr/>
            </w:pPr>
            <w:r>
              <w:rPr/>
              <w:t> </w:t>
            </w:r>
          </w:p>
        </w:tc>
        <w:tc>
          <w:tcPr>
            <w:tcW w:w="228" w:type="dxa"/>
            <w:tcBorders/>
            <w:shd w:fill="CCEEFF" w:val="clear"/>
            <w:vAlign w:val="center"/>
          </w:tcPr>
          <w:p>
            <w:pPr>
              <w:pStyle w:val="TableContents"/>
              <w:bidi w:val="0"/>
              <w:spacing w:before="0" w:after="1"/>
              <w:ind w:left="0" w:right="0" w:hanging="0"/>
              <w:jc w:val="righ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(52,090)</w:t>
            </w:r>
          </w:p>
        </w:tc>
        <w:tc>
          <w:tcPr>
            <w:tcW w:w="326" w:type="dxa"/>
            <w:tcBorders/>
            <w:shd w:fill="CCEEFF" w:val="clear"/>
            <w:vAlign w:val="center"/>
          </w:tcPr>
          <w:p>
            <w:pPr>
              <w:pStyle w:val="TableContents"/>
              <w:bidi w:val="0"/>
              <w:spacing w:before="0" w:after="1"/>
              <w:ind w:left="0" w:right="0" w:hanging="0"/>
              <w:jc w:val="left"/>
              <w:rPr/>
            </w:pPr>
            <w:r>
              <w:rPr/>
              <w:t> </w:t>
            </w:r>
          </w:p>
        </w:tc>
        <w:tc>
          <w:tcPr>
            <w:tcW w:w="429" w:type="dxa"/>
            <w:tcBorders/>
            <w:shd w:fill="CCEEFF" w:val="clear"/>
            <w:vAlign w:val="center"/>
          </w:tcPr>
          <w:p>
            <w:pPr>
              <w:pStyle w:val="TableContents"/>
              <w:bidi w:val="0"/>
              <w:spacing w:before="0" w:after="1"/>
              <w:ind w:left="0" w:right="0" w:hanging="0"/>
              <w:jc w:val="right"/>
              <w:rPr/>
            </w:pPr>
            <w:r>
              <w:rPr/>
              <w:t>​</w:t>
            </w:r>
          </w:p>
        </w:tc>
        <w:tc>
          <w:tcPr>
            <w:tcW w:w="13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(9,846)</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(42,244)</w:t>
            </w:r>
          </w:p>
        </w:tc>
        <w:tc>
          <w:tcPr>
            <w:tcW w:w="32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9" w:type="dxa"/>
            <w:tcBorders/>
            <w:shd w:fill="CCEEFF" w:val="clear"/>
            <w:vAlign w:val="center"/>
          </w:tcPr>
          <w:p>
            <w:pPr>
              <w:pStyle w:val="TableContents"/>
              <w:bidi w:val="0"/>
              <w:spacing w:before="0" w:after="1"/>
              <w:ind w:left="0" w:right="0" w:hanging="0"/>
              <w:jc w:val="left"/>
              <w:rPr/>
            </w:pPr>
            <w:r>
              <w:rPr/>
              <w:t>​</w:t>
            </w:r>
          </w:p>
        </w:tc>
      </w:tr>
      <w:tr>
        <w:trPr/>
        <w:tc>
          <w:tcPr>
            <w:tcW w:w="409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26" w:type="dxa"/>
            <w:tcBorders/>
            <w:vAlign w:val="center"/>
          </w:tcPr>
          <w:p>
            <w:pPr>
              <w:pStyle w:val="TableContents"/>
              <w:bidi w:val="0"/>
              <w:spacing w:before="0" w:after="1"/>
              <w:ind w:left="0" w:right="0" w:hanging="0"/>
              <w:jc w:val="left"/>
              <w:rPr/>
            </w:pPr>
            <w:r>
              <w:rPr/>
              <w:t> </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42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34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7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9" w:type="dxa"/>
            <w:tcBorders/>
            <w:vAlign w:val="center"/>
          </w:tcPr>
          <w:p>
            <w:pPr>
              <w:pStyle w:val="TableContents"/>
              <w:bidi w:val="0"/>
              <w:spacing w:before="0" w:after="1"/>
              <w:ind w:left="0" w:right="0" w:hanging="0"/>
              <w:jc w:val="left"/>
              <w:rPr/>
            </w:pPr>
            <w:r>
              <w:rPr/>
              <w:t>​</w:t>
            </w:r>
          </w:p>
        </w:tc>
      </w:tr>
      <w:tr>
        <w:trPr/>
        <w:tc>
          <w:tcPr>
            <w:tcW w:w="409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before redeemable noncontrolling interest</w:t>
            </w:r>
          </w:p>
        </w:tc>
        <w:tc>
          <w:tcPr>
            <w:tcW w:w="326" w:type="dxa"/>
            <w:tcBorders/>
            <w:shd w:fill="CCEEFF" w:val="clear"/>
            <w:vAlign w:val="center"/>
          </w:tcPr>
          <w:p>
            <w:pPr>
              <w:pStyle w:val="TableContents"/>
              <w:bidi w:val="0"/>
              <w:spacing w:before="0" w:after="1"/>
              <w:ind w:left="0" w:right="0" w:hanging="0"/>
              <w:jc w:val="left"/>
              <w:rPr/>
            </w:pPr>
            <w:r>
              <w:rPr/>
              <w:t> </w:t>
            </w:r>
          </w:p>
        </w:tc>
        <w:tc>
          <w:tcPr>
            <w:tcW w:w="228" w:type="dxa"/>
            <w:tcBorders/>
            <w:shd w:fill="CCEEFF" w:val="clear"/>
            <w:vAlign w:val="center"/>
          </w:tcPr>
          <w:p>
            <w:pPr>
              <w:pStyle w:val="TableContents"/>
              <w:bidi w:val="0"/>
              <w:spacing w:before="0" w:after="1"/>
              <w:ind w:left="0" w:right="0" w:hanging="0"/>
              <w:jc w:val="righ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(52,090)</w:t>
            </w:r>
          </w:p>
        </w:tc>
        <w:tc>
          <w:tcPr>
            <w:tcW w:w="326" w:type="dxa"/>
            <w:tcBorders/>
            <w:shd w:fill="CCEEFF" w:val="clear"/>
            <w:vAlign w:val="center"/>
          </w:tcPr>
          <w:p>
            <w:pPr>
              <w:pStyle w:val="TableContents"/>
              <w:bidi w:val="0"/>
              <w:spacing w:before="0" w:after="1"/>
              <w:ind w:left="0" w:right="0" w:hanging="0"/>
              <w:jc w:val="left"/>
              <w:rPr/>
            </w:pPr>
            <w:r>
              <w:rPr/>
              <w:t> </w:t>
            </w:r>
          </w:p>
        </w:tc>
        <w:tc>
          <w:tcPr>
            <w:tcW w:w="429" w:type="dxa"/>
            <w:tcBorders/>
            <w:shd w:fill="CCEEFF" w:val="clear"/>
            <w:vAlign w:val="center"/>
          </w:tcPr>
          <w:p>
            <w:pPr>
              <w:pStyle w:val="TableContents"/>
              <w:bidi w:val="0"/>
              <w:spacing w:before="0" w:after="1"/>
              <w:ind w:left="0" w:right="0" w:hanging="0"/>
              <w:jc w:val="right"/>
              <w:rPr/>
            </w:pPr>
            <w:r>
              <w:rPr/>
              <w:t>​</w:t>
            </w:r>
          </w:p>
        </w:tc>
        <w:tc>
          <w:tcPr>
            <w:tcW w:w="13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(9,846)</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(42,244)</w:t>
            </w:r>
          </w:p>
        </w:tc>
        <w:tc>
          <w:tcPr>
            <w:tcW w:w="32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9" w:type="dxa"/>
            <w:tcBorders/>
            <w:shd w:fill="CCEEFF" w:val="clear"/>
            <w:vAlign w:val="center"/>
          </w:tcPr>
          <w:p>
            <w:pPr>
              <w:pStyle w:val="TableContents"/>
              <w:bidi w:val="0"/>
              <w:spacing w:before="0" w:after="1"/>
              <w:ind w:left="0" w:right="0" w:hanging="0"/>
              <w:jc w:val="left"/>
              <w:rPr/>
            </w:pPr>
            <w:r>
              <w:rPr/>
              <w:t>​</w:t>
            </w:r>
          </w:p>
        </w:tc>
      </w:tr>
      <w:tr>
        <w:trPr/>
        <w:tc>
          <w:tcPr>
            <w:tcW w:w="409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redeemable noncontrolling interest</w:t>
            </w:r>
          </w:p>
        </w:tc>
        <w:tc>
          <w:tcPr>
            <w:tcW w:w="326" w:type="dxa"/>
            <w:tcBorders/>
            <w:vAlign w:val="center"/>
          </w:tcPr>
          <w:p>
            <w:pPr>
              <w:pStyle w:val="TableContents"/>
              <w:bidi w:val="0"/>
              <w:spacing w:before="0" w:after="1"/>
              <w:ind w:left="0" w:right="0" w:hanging="0"/>
              <w:jc w:val="left"/>
              <w:rPr/>
            </w:pPr>
            <w:r>
              <w:rPr/>
              <w:t> </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26" w:type="dxa"/>
            <w:tcBorders/>
            <w:vAlign w:val="center"/>
          </w:tcPr>
          <w:p>
            <w:pPr>
              <w:pStyle w:val="TableContents"/>
              <w:bidi w:val="0"/>
              <w:spacing w:before="0" w:after="1"/>
              <w:ind w:left="0" w:right="0" w:hanging="0"/>
              <w:jc w:val="left"/>
              <w:rPr/>
            </w:pPr>
            <w:r>
              <w:rPr/>
              <w:t> </w:t>
            </w:r>
          </w:p>
        </w:tc>
        <w:tc>
          <w:tcPr>
            <w:tcW w:w="42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34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2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9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228" w:type="dxa"/>
            <w:tcBorders/>
            <w:shd w:fill="CCEEFF" w:val="clear"/>
            <w:vAlign w:val="center"/>
          </w:tcPr>
          <w:p>
            <w:pPr>
              <w:pStyle w:val="TableContents"/>
              <w:bidi w:val="0"/>
              <w:spacing w:before="0" w:after="1"/>
              <w:ind w:left="0" w:right="0" w:hanging="0"/>
              <w:jc w:val="righ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(51,887)</w:t>
            </w:r>
          </w:p>
        </w:tc>
        <w:tc>
          <w:tcPr>
            <w:tcW w:w="326" w:type="dxa"/>
            <w:tcBorders/>
            <w:shd w:fill="CCEEFF" w:val="clear"/>
            <w:vAlign w:val="center"/>
          </w:tcPr>
          <w:p>
            <w:pPr>
              <w:pStyle w:val="TableContents"/>
              <w:bidi w:val="0"/>
              <w:spacing w:before="0" w:after="1"/>
              <w:ind w:left="0" w:right="0" w:hanging="0"/>
              <w:jc w:val="left"/>
              <w:rPr/>
            </w:pPr>
            <w:r>
              <w:rPr/>
              <w:t> </w:t>
            </w:r>
          </w:p>
        </w:tc>
        <w:tc>
          <w:tcPr>
            <w:tcW w:w="429" w:type="dxa"/>
            <w:tcBorders/>
            <w:shd w:fill="CCEEFF" w:val="clear"/>
            <w:vAlign w:val="center"/>
          </w:tcPr>
          <w:p>
            <w:pPr>
              <w:pStyle w:val="TableContents"/>
              <w:bidi w:val="0"/>
              <w:spacing w:before="0" w:after="1"/>
              <w:ind w:left="0" w:right="0" w:hanging="0"/>
              <w:jc w:val="right"/>
              <w:rPr/>
            </w:pPr>
            <w:r>
              <w:rPr/>
              <w:t>​</w:t>
            </w:r>
          </w:p>
        </w:tc>
        <w:tc>
          <w:tcPr>
            <w:tcW w:w="13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(9,846)</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(42,041)</w:t>
            </w:r>
          </w:p>
        </w:tc>
        <w:tc>
          <w:tcPr>
            <w:tcW w:w="32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9" w:type="dxa"/>
            <w:tcBorders/>
            <w:shd w:fill="CCEEFF" w:val="clear"/>
            <w:vAlign w:val="center"/>
          </w:tcPr>
          <w:p>
            <w:pPr>
              <w:pStyle w:val="TableContents"/>
              <w:bidi w:val="0"/>
              <w:spacing w:before="0" w:after="1"/>
              <w:ind w:left="0" w:right="0" w:hanging="0"/>
              <w:jc w:val="left"/>
              <w:rPr/>
            </w:pPr>
            <w:r>
              <w:rPr/>
              <w:t>​</w:t>
            </w:r>
          </w:p>
        </w:tc>
      </w:tr>
      <w:tr>
        <w:trPr/>
        <w:tc>
          <w:tcPr>
            <w:tcW w:w="409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Accretion of redeemable noncontrolling interest to redemption value</w:t>
            </w:r>
          </w:p>
        </w:tc>
        <w:tc>
          <w:tcPr>
            <w:tcW w:w="326" w:type="dxa"/>
            <w:tcBorders/>
            <w:vAlign w:val="center"/>
          </w:tcPr>
          <w:p>
            <w:pPr>
              <w:pStyle w:val="TableContents"/>
              <w:bidi w:val="0"/>
              <w:spacing w:before="0" w:after="1"/>
              <w:ind w:left="0" w:right="0" w:hanging="0"/>
              <w:jc w:val="left"/>
              <w:rPr/>
            </w:pPr>
            <w:r>
              <w:rPr/>
              <w:t> </w:t>
            </w:r>
          </w:p>
        </w:tc>
        <w:tc>
          <w:tcPr>
            <w:tcW w:w="228" w:type="dxa"/>
            <w:tcBorders/>
            <w:vAlign w:val="center"/>
          </w:tcPr>
          <w:p>
            <w:pPr>
              <w:pStyle w:val="TableContents"/>
              <w:bidi w:val="0"/>
              <w:spacing w:before="0" w:after="1"/>
              <w:ind w:left="0" w:right="0" w:hanging="0"/>
              <w:jc w:val="righ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26" w:type="dxa"/>
            <w:tcBorders/>
            <w:vAlign w:val="center"/>
          </w:tcPr>
          <w:p>
            <w:pPr>
              <w:pStyle w:val="TableContents"/>
              <w:bidi w:val="0"/>
              <w:spacing w:before="0" w:after="1"/>
              <w:ind w:left="0" w:right="0" w:hanging="0"/>
              <w:jc w:val="left"/>
              <w:rPr/>
            </w:pPr>
            <w:r>
              <w:rPr/>
              <w:t> </w:t>
            </w:r>
          </w:p>
        </w:tc>
        <w:tc>
          <w:tcPr>
            <w:tcW w:w="429" w:type="dxa"/>
            <w:tcBorders/>
            <w:vAlign w:val="center"/>
          </w:tcPr>
          <w:p>
            <w:pPr>
              <w:pStyle w:val="TableContents"/>
              <w:bidi w:val="0"/>
              <w:spacing w:before="0" w:after="1"/>
              <w:ind w:left="0" w:right="0" w:hanging="0"/>
              <w:jc w:val="right"/>
              <w:rPr/>
            </w:pPr>
            <w:r>
              <w:rPr/>
              <w:t>​</w:t>
            </w:r>
          </w:p>
        </w:tc>
        <w:tc>
          <w:tcPr>
            <w:tcW w:w="13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2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9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Deemed dividend to redeemable noncontrolling interest</w:t>
            </w:r>
          </w:p>
        </w:tc>
        <w:tc>
          <w:tcPr>
            <w:tcW w:w="326" w:type="dxa"/>
            <w:tcBorders/>
            <w:shd w:fill="CCEEFF" w:val="clear"/>
            <w:vAlign w:val="center"/>
          </w:tcPr>
          <w:p>
            <w:pPr>
              <w:pStyle w:val="TableContents"/>
              <w:bidi w:val="0"/>
              <w:spacing w:before="0" w:after="1"/>
              <w:ind w:left="0" w:right="0" w:hanging="0"/>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(10,875)</w:t>
            </w:r>
          </w:p>
        </w:tc>
        <w:tc>
          <w:tcPr>
            <w:tcW w:w="326" w:type="dxa"/>
            <w:tcBorders/>
            <w:shd w:fill="CCEEFF" w:val="clear"/>
            <w:vAlign w:val="center"/>
          </w:tcPr>
          <w:p>
            <w:pPr>
              <w:pStyle w:val="TableContents"/>
              <w:bidi w:val="0"/>
              <w:spacing w:before="0" w:after="1"/>
              <w:ind w:left="0" w:right="0" w:hanging="0"/>
              <w:jc w:val="left"/>
              <w:rPr/>
            </w:pPr>
            <w:r>
              <w:rPr/>
              <w:t> </w:t>
            </w:r>
          </w:p>
        </w:tc>
        <w:tc>
          <w:tcPr>
            <w:tcW w:w="4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3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(10,875)</w:t>
            </w:r>
          </w:p>
        </w:tc>
        <w:tc>
          <w:tcPr>
            <w:tcW w:w="32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9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Ordinary Shareholders of Zura</w:t>
            </w:r>
          </w:p>
        </w:tc>
        <w:tc>
          <w:tcPr>
            <w:tcW w:w="326"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(62,965)</w:t>
            </w:r>
          </w:p>
        </w:tc>
        <w:tc>
          <w:tcPr>
            <w:tcW w:w="326" w:type="dxa"/>
            <w:tcBorders/>
            <w:vAlign w:val="center"/>
          </w:tcPr>
          <w:p>
            <w:pPr>
              <w:pStyle w:val="TableContents"/>
              <w:bidi w:val="0"/>
              <w:spacing w:before="0" w:after="1"/>
              <w:ind w:left="0" w:right="0" w:hanging="0"/>
              <w:jc w:val="left"/>
              <w:rPr/>
            </w:pPr>
            <w:r>
              <w:rPr/>
              <w:t>​</w:t>
            </w:r>
          </w:p>
        </w:tc>
        <w:tc>
          <w:tcPr>
            <w:tcW w:w="4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4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(53,119)</w:t>
            </w:r>
          </w:p>
        </w:tc>
        <w:tc>
          <w:tcPr>
            <w:tcW w:w="32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9"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*Percentage change not meaningful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increased by $29.1 million for the nine months ended September 30, 2023 compared to the period ended September 30, 2022. This was primarily due to an increase of $19.7 million of costs incurred to acquire licenses, as we recognized $7.5 million of expense related to the acquisition of an in-process research and development (“IPR&amp;D”) license from Pfizer during the period months ended September 30, 2022 and $27.2 million in license and milestone fees related to the acquisition of an IPR&amp;D license from Lilly during the nine months ended September 30, 2023. The increase was also due to the issuance of additional shares to Pfizer under an anti-dilution provision of $2.2 million recognized during the nine months ended September 30, 2023, an increase of $1.9 million related to the change in fair value of our research and development license consideration liability, and an increase of $4.3 million of costs to manufacture products for use in clinical studies, and an increase of $1.0 million of clinical and regulatory consulting services.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General and administrative expenses increased by $12.9 million for the nine months ended September 30, 2023 compared to the period ended September 30, 2022. The increase was primarily due to increases of $9.3 million in expenses related compensation for personnel in executive and administrative functions including share-based compensation, as well as an increase of $2.2 million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professional fees for legal and accounting costs incurred related to our ongoing operations as a public company, an increase of $1.4 million of travel and office expenses.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Expense (Income)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expense,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expense decreased by an immaterial amount for the three months ended September 30, 2023 compared to the three months ended September 30, 2022. This decrease was primarily due to a decrease in foreign exchange transaction loss.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Interest income increased by $0.8 million for the nine months ended September 30, 2023 compared to the period ended September 30, 2022. This increase is due to an increase in our cash balance during the nine months ended September 30, 2023 compared to the period ended September 30, 2022.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Dividend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Dividend income increased by $1.4 million for the nine months ended September 30, 2023 compared to the period ended September 30, 2022. The Company held no dividend-generating cash equivalents during the period ended September 30, 2022.</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Change in fair value of private placement warrants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Revaluation loss on the liability-classified private placement warrants assumed in the Business Combination was $0.2 million for the nine months ended September 30, 2023. No warrants were outstanding during the period ended September 30, 2022.</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Change in fair value of note payable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Revaluation loss on the note payable was $2.2 million for the nine months ended September 30, 2023 as the note was remeasured to its settlement value. The note payable was not outstanding during the period ended September 30, 2022.</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loss attributable to redeemable noncontrolling interest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loss attributable to redeemable noncontrolling interest was $0.2 million for the nine months ended September 30, 2023, representing the noncontrolling shareholder’s interest in the net loss of our consolidated subsidiary, Z33. The redeemable noncontrolling interest was not outstanding during the period ended September 30, 2022.</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Accretion of redeemable noncontrolling interest to redemption value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Accretion of redeemable noncontrolling interest to redemption value was $0.2 million for the nine months ended September 30, 2023. The redeemable noncontrolling interest was not outstanding during the period ended September 30, 2022.</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Deemed Dividend to Redeemable Noncontrolling Interest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Deemed dividend to the redeemable noncontrolling interest was $10.9 million for the nine months ended September 30, 2023, due to the modification of the terms of the Z33 Series Seed Preferred Shares issued to Stone Peach. The redeemable noncontrolling interest was not outstanding during the period ended September 30, 2022.</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Since our inception, we have not generated any revenue and expect to continue to incur significant operating losses for the foreseeable future and may never become profitable. As of September 30, 2023, we had cash and cash equivalents of $103.9 million. As of September 30, 2023, we have funded our operations through (i) the sale of equity, raising an aggregate of $10.0 million of gross proceeds from the sale of our convertible preferred shares; (ii) the issuance of a promissory note, receiving net proceeds of $7.6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(iii) proceeds from the Business Combination of $56.7 million in March 2023; and (iv) the April 2023 Private Placement, raising an aggregate of $80.0 million of gross proceeds from the sale of Class A Ordinary Shares and Pre-Funded Warrants in May and June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experienced operating losses and cash outflows from operations since inception and will require ongoing financing in order to continue our research and development activities. We have not earned any revenue or reached successful commercialization of our products. Our future operations are dependent upon our ability to finance our cash requirements which will allow us to continue our research and development activities and the commercialization of our products. There can be no assurance that we will be successful in continuing to finance our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Capital Requirements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date, we have not generated revenue from any source, including the commercial sale of approved drug products, and we do not expect to generate revenue for at least the next few years. If we fail to complete the development of our product candidates in a timely manner or fail to obtain their regulatory approval, our ability to generate future revenue will be adversely affected. We do not know when, or if, we will generate any revenue from our product candidates, and we do not expect to generate revenue unless and until we obtain regulatory approval of, and commercialize, our product candidates.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our expenses to increase significantly in connection with our ongoing activities, particularly as we continue the research and development, and seek marketing approval for our product candidates, as well as administrative costs associated with supporting our operations. In addition, if we obtain approval for any of our product candidates, we expect to incur significant commercialization expenses related to sales, marketing, manufacturing and distribution. Furthermore, we expect to incur additional costs associated with operating as a public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will also be responsible to Pfizer and Lilly for significant future contingent payments under the Pfizer Agreement, the 2022 Lilly License, and the 2023 Lilly License (collectively with the 2022 Lilly License, the “Lilly Licenses”) upon the achievement of certain development, regulatory, and sales milestones, as well as ongoing royalties on net commercial sales. The size and timing of these milestone payments will vary greatly depending upon a number of factors, and it is therefore difficult to estimate the total payments that could become payable to Pfizer and Lilly and when those payments would be due. If we achieve all of the milestones, we would be obligated to pay multimillion dollar development and regulatory milestone payments and sales milestone payments. We will be required to pay certain of these milestone payments prior to the time at which we are able to generate sufficient revenue, if any, from commercial sales of any of our product candidates. We intend to fund these milestone payments using a portion of the proceeds from the Business Combination and the April 2023 Private Placement. In addition to milestone payments, we are also required to pay Pfizer and Lilly under the Pfizer Agreement and Lilly Licenses, respectively, ongoing royalties in the mid-single digits to low double-digits (less than 20%) percentage range based upon thresholds of net sales of products.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anticipate that we will need substantial additional funding in connection with our continuing operations. We intend to devote most of the net proceeds from the Business Combination and the April 2023 Private Placement to the preclinical and clinical development of our product candidates, our public company compliance costs and certain milestone payments under the Pfizer Agreement and Lilly Licenses. Based on our current business plans, we believe that the net proceeds from the Business Combination and the Private Placement (as defined below) will enable us to fund our operating expenses and capital requirements through at least the next twelve months. Our estimate as to how long we expect the net proceeds from the Business Combination and the Private Placement to be able to fund our operating expenses and capital requirements is based on assumptions that may prove to be wrong, and we could use our available capital resources sooner than we currently expect. Changing circumstances, some of which may be beyond our control, could result in less cash available to us or cause us to consume capital significantly faster than we currently anticipate, and we may need to seek additional funds sooner than planned.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Because of the numerous risks and uncertainties associated with research, development and commercialization of pharmaceutical drug products, we are unable to estimate the exact amount of our operating capital requirements. Our future funding requirements will depend on many factors, including, but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develop, in-license or acquire other product candidates and technologies in our product candidates pipeline;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process development and manufacturing scale-up activities associated with our product candidates and other programs as we advance them through preclinical and clinical development;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development requirements of product candidates that we may pursue;</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regulatory review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amount of our milestone payments to Pfizer under the Pfizer Agreement and to Lilly under the Lilly Licenses;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headcount growth and associated costs as we expand our research and development capabilities and establish and expand our commercial infrastructure and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future commercialization activities, including product manufacturing, marketing, sales and distributions, for any of our product candidates for which we receive marketing approval;</w:t>
            </w:r>
          </w:p>
        </w:tc>
      </w:tr>
    </w:tbl>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payments to Pfizer under the Pfizer Agreement and Lilly under the Lilly Licenses;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preparing, filing and prosecuting patent applications, maintaining and enforcing our intellectual property rights and defending any intellectual property-related claims;</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if any, received from sales of our product candidates for which we receive marketing approval; and</w:t>
            </w:r>
          </w:p>
        </w:tc>
      </w:tr>
    </w:tbl>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operating as a public company</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our product candidates that we do not expect to be commercially available 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or this debt may restrict our ability to operate. Any future debt financing and equity financing, if available, may involve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capital when needed or on acceptable terms, we could be forced to delay, reduce or eliminate our research and development programs or future commercialization efforts.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w:t>
      </w:r>
    </w:p>
    <w:tbl>
      <w:tblPr>
        <w:tblW w:w="6443" w:type="dxa"/>
        <w:jc w:val="left"/>
        <w:tblInd w:w="0" w:type="dxa"/>
        <w:tblLayout w:type="fixed"/>
        <w:tblCellMar>
          <w:top w:w="0" w:type="dxa"/>
          <w:left w:w="0" w:type="dxa"/>
          <w:bottom w:w="0" w:type="dxa"/>
          <w:right w:w="0" w:type="dxa"/>
        </w:tblCellMar>
      </w:tblPr>
      <w:tblGrid>
        <w:gridCol w:w="3466"/>
        <w:gridCol w:w="326"/>
        <w:gridCol w:w="241"/>
        <w:gridCol w:w="899"/>
        <w:gridCol w:w="326"/>
        <w:gridCol w:w="281"/>
        <w:gridCol w:w="904"/>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200910" cy="175260"/>
                      <wp:effectExtent l="0" t="0" r="0" b="0"/>
                      <wp:wrapNone/>
                      <wp:docPr id="215" name="Frame215"/>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53035" cy="175260"/>
                      <wp:effectExtent l="0" t="0" r="0" b="0"/>
                      <wp:wrapNone/>
                      <wp:docPr id="217" name="Frame217"/>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70865" cy="175260"/>
                      <wp:effectExtent l="0" t="0" r="0" b="0"/>
                      <wp:wrapNone/>
                      <wp:docPr id="218" name="Frame218"/>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78435" cy="175260"/>
                      <wp:effectExtent l="0" t="0" r="0" b="0"/>
                      <wp:wrapNone/>
                      <wp:docPr id="220" name="Frame220"/>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74040" cy="175260"/>
                      <wp:effectExtent l="0" t="0" r="0" b="0"/>
                      <wp:wrapNone/>
                      <wp:docPr id="221" name="Frame221"/>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w:t>
            </w:r>
          </w:p>
        </w:tc>
        <w:tc>
          <w:tcPr>
            <w:tcW w:w="8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8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Period from </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18, </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 (date of </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Ended</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inception) to </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2022</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(11,001)</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121,293</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9,642</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w:t>
            </w:r>
          </w:p>
        </w:tc>
        <w:tc>
          <w:tcPr>
            <w:tcW w:w="326"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102,292</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3,049</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Cash flows from operating activities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Cash used in operating activities for the nine months ended September 30, 2023 was $11.0 million, which consisted of a net loss before redeemable noncontrolling interest of $52.1 million, partially offset by $39.0 million in non-cash charges and a net change of $2.1 million in our net operating assets and liabilities. The non-cash charges consisted of expense incurred in connection with the 2023 Lilly License of $27.4 million, a change in fair value of our promissory note of $2.2 million, a change in fair value of our research and development license consideration liability of $1.9 million, share-based payment expense of $2.2 million related to the anti-dilution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shares issued to Pfizer, additional share-based payments of $5.1 million, and a change in fair value on the private placement warrants of $0.2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used in operating activities for the period ended September 30, 2022 was $1.6 million, which consisted of a net loss of $9.8 million, partially offset by non-cash charges of $7.8 million and a net change of $0.4 million in our net operating assets and liabilities. The non-cash charges consisted of the $7.5 million cost of the acquisition of the license under the Pfizer Agreement, which was expensed to research and development, and share-based payments of $0.3 million.</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Cash flows from investing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used in investing activities for the nine months ended September 30, 2023 was $8.0 million, which was entirely related to the cash consideration paid to acquire the 2023 Lilly License.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used in investing activities for the period ended September 30, 2022 was $5.0 million, which was entirely related to the cash consideration paid to acquire the license from Pfizer under the Pfizer Agreement.</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Cash flows from financing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provided by financing activities for the nine months ended September 30, 2023 was $121.3 million, which consisted of $56.7 million of proceeds from the issuance of shares upon the closing of the Business Combination, and $59.7 million of proceeds, net of transaction costs, from the issuance of Class A Ordinary Shares in connection with the April 2023 Private Placement, $16.1 million of proceeds from the issuance of Pre-Funded Warrants in connection with the April 2023 Private Placement, partially offset by a $10.0 million repayment of our promissory note and the payment of $1.2 million of deferred transaction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provided by financing activities for the period ended September 30, 2022 was $9.6 million, and was due to the issuance of $10.0 million of Series A-1 convertible preferred shares of Legacy Zura in March 2022, partially offset by the payment of $0.4 million of deferred transaction costs.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Contractual Obligations and Other Commitments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or will enter into agreements in the normal course of business with contract research organizations, contract manufacturing organizations and other vendors for research and development services for operating purposes, which are generally cancelable upon written notice. Some third party CMOs have intellectual property, such as patents and/or know-how with an annual fee and royalty bearing license to its customers that forms part of the manufacturing agreement.</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Lonza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entered into the Lonza License for a worldwide non-exclusive license for Lonza’s gene expression system in exchange for varying considerations depending on a number of factors such as whether the Company enters further into manufacturing agreements with Lonza or with a third party, and whether the Company enters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The Company is free to terminate the Lonza License at any time upon 60 days’ notice, with or without cause. Lonza may terminate the Lonza License for cause upon a breach by the Company or for other commercially standard reasons.</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WuXi Biologics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July 2023, we entered into a biologics master services agreement (the “WuXi Biologics MSA”) with WuXi Biologics. Under the WuXi Biologics MSA, we are obligated to pay WuXi Biologics a service fee and all non-cancellable obligations in the amount specified in each work order associated with the agreement for the provision of services.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WuXi Biologics MSA terminates on the completion of services under all work orders executed by the parties, unless terminated earlier. The term of each work order terminates upon completion of the services under such work order, unless terminated earlier. We can terminate the WuXi Biologics MSA or any work order at any time upon 30 days’ prior written notice and immediately upon written notice if WuXi Biologics fails to obtain or maintain required material governmental licenses or approvals. Either party may terminate a work order at any time upon three months’ prior notice with reasonable cause, provided however that if WuXi Biologics terminates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work order in such manner, no termination or cancellation fees shall be paid by us and immediately for cause upon the other party’s material breach that remains uncured for 30 days after notice of such breach.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July 2023, we entered into a cell line license agreement (the “Cell Line License Agreement”) with WuXi Biologics. The Cell Line License Agreement provides the Company with a non-exclusive, worldwide, sublicensable license to certain of WuXi Biologics’s know-how, cell line, and biological materials (the “WuXi Biologics Licensed Technology”) to manufacture, have manufactured, use, sell and import certain products produced through the use of the cell line licensed by WuXi Biologics under the Cell Line License Agreement (the “WuXi Biologics Licensed Products”). In consideration for the license, we agreed to pay WuXi Biologics a non-refundable license fee of $150,000. Additionally, if we manufacture all of our commercial supplies of bulk drug product with a manufacturer other than WuXi Biologics or its affiliates, we are required to make royalty payments to WuXi Biologics in an amount equal to a fraction of a single digit percentage of global net sales of WuXi Biologics Licensed Products manufactured by a third-party manufacturer (the “Royalty”). If we manufacture part of our commercial supplies of the WuXi Biologics Licensed Products with WuXi Biologics or its affiliates, then the Royalty will be reduced accordingly on a pro rata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Cell Line License Agreement will continue indefinitely unless terminated (i) by us upon three months’ prior written notice and its payment of all undisputed amounts due to WuXi Biologics through the effective date of termination, (ii) by WuXi Biologics for a material breach by us that remains uncured for 30 days after written notice, or (iii) by WuXi Biologics if we fail to make a payment and such failure continues for 30 days after receiving notice of such failure.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not included future milestone or royalty payments or other contractual payment obligations as the timing and amount of such obligations are unknown or uncertain and are contingent upon the initiation, continuation, and/or successful completion of future activities.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Management’s discussion and analysis of our financial condition and results of operations is based on our unaudited condensed consolidated financial statements, which have been prepared in accordance with U.S. Generally Accepted Accounting Principles. The preparation of these unaudited condensed consolidated financial statements requires us to make estimates and assumptions that affect the reported amounts of assets and liabilities and the disclosure of contingent assets and liabilities at the date of the unaudited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Note 2 to our unaudited condensed consolidated financial statements located in “Part I – Financial Information, Item 1. Financial Statements” in this Quarterly Report on Form 10-Q for a description of recent accounting pronouncements applicable to our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Emerging Growth Company and Smaller Reporting Company Status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April 2012, the JOBS Act was enacted.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Upon closing of the Business Combination, remained an emerging growth company and may elect to extend the transition period for complying with new or revised accounting standards, which delays the adoption of these accounting standards until they would apply to private companies.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as an emerging growth company, we may take advantage of specified reduced disclosure and other requirements that are otherwise applicable generally to public companies. These provisions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being permitted to present only two years of audited financial statements in addition to any required unaudited interim financial statements, with correspondingly reduced disclosure in the section titled “Management’s Discussion and Analysis of Financial Condition and Results of Operations”;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an exception from compliance with the auditor attestation requirements of Section 404 of the Sarbanes-Oxley Act of 2002, as amended;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reduced disclosure about our executive compensation arrangements in our periodic reports, proxy statements and registrations statements;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exemptions from the requirements of holding non-binding advisory votes on executive compensation or golden parachute arrangements; and an exemption from compliance with the requirements of the Public Company Accounting Oversight Board regarding the communication of critical audit matters in the auditor’s report on financial statements.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would cease to qualify as an emerging growth company on the date that is the earliest of: (i) December 31, 2026, (ii) the last day of the fiscal year in which we have more than $1.07 billion in total annual gross revenues, (iii) the date on which we are deemed to be a “large accelerated filer” under the rules of the SEC, which means the market value of our Class A Ordinary Shares that is held by non-affiliates exceeds $700.0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Quarterly report on Form 10-Q. Accordingly, the information contained herein may be different than you might obtain from other public companies in which you hold equity interests.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also a “smaller reporting company” as defined under the Securities Act and Exchange Act. We may continue to be a smaller reporting company so long as either (i) the market value of Class A Ordinary Shares held by non-affiliates is less than $250 million or (ii) our annual revenue was less than $100 million during the most recently completed fiscal year and the market value of Class A Ordinary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under the requirements of (ii) above, we would not be required to obtain an attestation report on internal control over financial reporting issued by our independent registered public accounting firm.</w:t>
      </w:r>
    </w:p>
    <w:p>
      <w:pPr>
        <w:pStyle w:val="TextBody"/>
        <w:bidi w:val="0"/>
        <w:spacing w:before="0" w:after="240"/>
        <w:ind w:left="0" w:right="0" w:hanging="0"/>
        <w:jc w:val="both"/>
        <w:rPr>
          <w:rFonts w:ascii="Times New Roman;Times;serif" w:hAnsi="Times New Roman;Times;serif"/>
          <w:b/>
          <w:sz w:val="20"/>
        </w:rPr>
      </w:pPr>
      <w:bookmarkStart w:id="1449" w:name="Item3QuantitativeandQualitativeDisclosur"/>
      <w:bookmarkStart w:id="1450" w:name="_8b15daba_f81d_4186_8ec6_eff982767184"/>
      <w:bookmarkEnd w:id="1449"/>
      <w:bookmarkEnd w:id="1450"/>
      <w:r>
        <w:rPr>
          <w:rFonts w:ascii="Times New Roman;Times;serif" w:hAnsi="Times New Roman;Times;serif"/>
          <w:b/>
          <w:sz w:val="20"/>
        </w:rPr>
        <w:t>Item 3. Quantitative and Qualitative Disclosures About Market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“smaller reporting company”, we are not required to provide the information otherwise required by this Item 3.</w:t>
      </w:r>
    </w:p>
    <w:p>
      <w:pPr>
        <w:pStyle w:val="TextBody"/>
        <w:bidi w:val="0"/>
        <w:spacing w:before="0" w:after="240"/>
        <w:ind w:left="0" w:right="0" w:hanging="0"/>
        <w:jc w:val="both"/>
        <w:rPr>
          <w:rFonts w:ascii="Times New Roman;Times;serif" w:hAnsi="Times New Roman;Times;serif"/>
          <w:b/>
          <w:sz w:val="20"/>
        </w:rPr>
      </w:pPr>
      <w:bookmarkStart w:id="1451" w:name="Item4ControlsandProcedures_48500"/>
      <w:bookmarkStart w:id="1452" w:name="_26a2b2dd_de6f_4ab9_bcde_a87404cffc7e"/>
      <w:bookmarkEnd w:id="1451"/>
      <w:bookmarkEnd w:id="1452"/>
      <w:r>
        <w:rPr>
          <w:rFonts w:ascii="Times New Roman;Times;serif" w:hAnsi="Times New Roman;Times;serif"/>
          <w:b/>
          <w:sz w:val="20"/>
        </w:rPr>
        <w:t>Item 4. Controls and Procedures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maintain disclosure controls and procedures that are designed to ensure that information required to be disclosed in our reports filed or submitted under the Securities Exchange Act of 1934 is recorded, processed, summarized and reported within the time period specified in the SEC’s rules and forms, and that such information is accumulated and communicated to management including our Chief Executive Officer, Chief Financial Officer, as appropriate, to allow timely decisions regarding required disclosure. As of September 30, 2023, our Chief Executive Officer and Chief Financial Officer carried out an evaluation with the participation of management of the effectiveness of our disclosure controls and procedures, as defined in Rules 13a-15(e) and 15d-15(e) under the Securities Exchange Act of 1934. Based upon that evaluation, our Chief Executive Officer and Chief Financial Officer concluded that our disclosure controls and procedures were effective at a reasonable assurance level as of September 30, 2023.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was no change in our internal control over financial reporting identified in connection with the evaluation required by Rule 13a-15(d) and 15d-15(d) of the Securities Exchange Act of 1934 that occurred during the quarter ended September 30, 2023 that has materially affected, or is reasonably likely to materially affect, our internal control over financial reporting.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Inherent Limitations on Effectiveness of Internal Controls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453" w:name="PARTII_892047"/>
      <w:bookmarkStart w:id="1454" w:name="_aa2a1b3e_5fc3_466d_b299_5998c182b7b1"/>
      <w:bookmarkEnd w:id="1453"/>
      <w:bookmarkEnd w:id="1454"/>
      <w:r>
        <w:rPr>
          <w:rFonts w:ascii="Times New Roman;Times;serif" w:hAnsi="Times New Roman;Times;serif"/>
          <w:b/>
          <w:sz w:val="20"/>
        </w:rPr>
        <w:t>PART II</w:t>
      </w:r>
    </w:p>
    <w:p>
      <w:pPr>
        <w:pStyle w:val="TextBody"/>
        <w:bidi w:val="0"/>
        <w:spacing w:before="0" w:after="240"/>
        <w:ind w:left="0" w:right="0" w:hanging="0"/>
        <w:jc w:val="both"/>
        <w:rPr>
          <w:rFonts w:ascii="Times New Roman;Times;serif" w:hAnsi="Times New Roman;Times;serif"/>
          <w:b/>
          <w:sz w:val="20"/>
        </w:rPr>
      </w:pPr>
      <w:bookmarkStart w:id="1455" w:name="Item1LegalProceedings_42633"/>
      <w:bookmarkEnd w:id="1455"/>
      <w:r>
        <w:rPr>
          <w:rFonts w:ascii="Times New Roman;Times;serif" w:hAnsi="Times New Roman;Times;serif"/>
          <w:b/>
          <w:sz w:val="20"/>
        </w:rPr>
        <w:t>Item 1. 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pStyle w:val="TextBody"/>
        <w:bidi w:val="0"/>
        <w:spacing w:before="0" w:after="240"/>
        <w:ind w:left="0" w:right="0" w:hanging="0"/>
        <w:jc w:val="both"/>
        <w:rPr>
          <w:rFonts w:ascii="Times New Roman;Times;serif" w:hAnsi="Times New Roman;Times;serif"/>
          <w:b/>
          <w:sz w:val="20"/>
        </w:rPr>
      </w:pPr>
      <w:bookmarkStart w:id="1456" w:name="Item1ARiskFactors_452234"/>
      <w:bookmarkStart w:id="1457" w:name="_ea884db6_04ab_4113_8b71_cc2ef2bf73c2"/>
      <w:bookmarkEnd w:id="1456"/>
      <w:bookmarkEnd w:id="1457"/>
      <w:r>
        <w:rPr>
          <w:rFonts w:ascii="Times New Roman;Times;serif" w:hAnsi="Times New Roman;Times;serif"/>
          <w:b/>
          <w:sz w:val="20"/>
        </w:rPr>
        <w:t>Item 1A. Risk Factors.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smaller reporting company, we are not required to make disclosures under this Item in our Quarterly Report on Form 10-Q.</w:t>
      </w:r>
    </w:p>
    <w:p>
      <w:pPr>
        <w:pStyle w:val="TextBody"/>
        <w:bidi w:val="0"/>
        <w:spacing w:before="0" w:after="240"/>
        <w:ind w:left="0" w:right="0" w:hanging="0"/>
        <w:jc w:val="both"/>
        <w:rPr>
          <w:rFonts w:ascii="Times New Roman;Times;serif" w:hAnsi="Times New Roman;Times;serif"/>
          <w:b/>
          <w:sz w:val="20"/>
        </w:rPr>
      </w:pPr>
      <w:bookmarkStart w:id="1458" w:name="Item2UnregisteredSalesofEquitySecurities"/>
      <w:bookmarkStart w:id="1459" w:name="_0615784a_0e00_4fa7_aa93_883d8402e629"/>
      <w:bookmarkEnd w:id="1458"/>
      <w:bookmarkEnd w:id="1459"/>
      <w:r>
        <w:rPr>
          <w:rFonts w:ascii="Times New Roman;Times;serif" w:hAnsi="Times New Roman;Times;serif"/>
          <w:b/>
          <w:sz w:val="20"/>
        </w:rPr>
        <w:t>Item 2. Unregistered Sales of Equity Securities and Use of Proceeds.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securities issued in connection with the PIPE Subscription Agreements and Forward Purchase Agreement have not been registered under the Securities Act, in reliance on the exemption from registration provided by Section 4(a)(2) of the Securities Act.</w:t>
      </w:r>
    </w:p>
    <w:p>
      <w:pPr>
        <w:pStyle w:val="TextBody"/>
        <w:bidi w:val="0"/>
        <w:spacing w:before="0" w:after="240"/>
        <w:ind w:left="0" w:right="0" w:hanging="0"/>
        <w:jc w:val="both"/>
        <w:rPr>
          <w:rFonts w:ascii="Times New Roman;Times;serif" w:hAnsi="Times New Roman;Times;serif"/>
          <w:b/>
          <w:sz w:val="20"/>
        </w:rPr>
      </w:pPr>
      <w:bookmarkStart w:id="1460" w:name="Item3DefaultsuponSeniorSecurities_116074"/>
      <w:bookmarkStart w:id="1461" w:name="_5fe3ea89_741e_4811_9496_40de7c4d8131"/>
      <w:bookmarkEnd w:id="1460"/>
      <w:bookmarkEnd w:id="1461"/>
      <w:r>
        <w:rPr>
          <w:rFonts w:ascii="Times New Roman;Times;serif" w:hAnsi="Times New Roman;Times;serif"/>
          <w:b/>
          <w:sz w:val="20"/>
        </w:rPr>
        <w:t>Item 3. Defaults upon Senior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rFonts w:ascii="Times New Roman;Times;serif" w:hAnsi="Times New Roman;Times;serif"/>
          <w:b/>
          <w:sz w:val="20"/>
        </w:rPr>
      </w:pPr>
      <w:bookmarkStart w:id="1462" w:name="Item4MineSafetyDisclosures_196648"/>
      <w:bookmarkStart w:id="1463" w:name="_275e72bc_dfe8_409f_8b00_cb6fd70a9f22"/>
      <w:bookmarkEnd w:id="1462"/>
      <w:bookmarkEnd w:id="1463"/>
      <w:r>
        <w:rPr>
          <w:rFonts w:ascii="Times New Roman;Times;serif" w:hAnsi="Times New Roman;Times;serif"/>
          <w:b/>
          <w:sz w:val="20"/>
        </w:rPr>
        <w:t>Item 4. Mine Safety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rFonts w:ascii="Times New Roman;Times;serif" w:hAnsi="Times New Roman;Times;serif"/>
          <w:b/>
          <w:sz w:val="20"/>
        </w:rPr>
      </w:pPr>
      <w:bookmarkStart w:id="1464" w:name="Item5OtherInformation_48447"/>
      <w:bookmarkStart w:id="1465" w:name="_7ecac363_bdab_48f5_bc13_ec60c53c9d2e"/>
      <w:bookmarkEnd w:id="1464"/>
      <w:bookmarkEnd w:id="1465"/>
      <w:r>
        <w:rPr>
          <w:rFonts w:ascii="Times New Roman;Times;serif" w:hAnsi="Times New Roman;Times;serif"/>
          <w:b/>
          <w:sz w:val="20"/>
        </w:rPr>
        <w:t>Item 5. Other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reporting the following information in lieu of reporting on a Current Report on Form 8-K under Item 5.02 – Departure of Directors or Certain Officers; Election of Directors; Appointment of Certain Officers; Compensatory Arrangements of Certain Officers.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Resignation of Mr. Garry Neil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3, 2023, Mr. Garry Neil notified Zura Bio Limited (the “Company”) of his resignation as a director of the Company, effective November 9, 2023. Mr. Neil has advised that his resignation was due to personal reasons and not a result of any disagreement with the Company on any matter related to the operations, policies, or practices of the Company.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Appointment of Mr. Arnout Ploos van Amstel as Director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fill in the vacancy created by the resignation of Mr. Garry Neil, on November 9, 2023, the board of directors (the “Board”) of the Company appointed Mr. Arnout Ploos van Amstel to serve as an independent director of the Company, effective immediately. Mr. Arnout Ploos van Amstel will act as a member of the nominating and corporate governance committee.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is no family relationship between Mr. Arnout Ploos van Amstel and any of our other officers and directors. To the best knowledge of the Company, there is no understanding or arrangement between Mr. Arnout Ploos van Amstel and any other person pursuant to which he was appointed as a director.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Biographical Information of Arnout Ploos van Amstel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Mr. Arnout Ploos van Amstel, aged 58, is an executive leader in Life Sciences/Biotech with more than 30 years of business and operations experience in a wide variety of leadership positions and geographies. Arnout consistently excelled in devising and implementing comprehensive strategies across Development, Medical, and Commercial-Access domains. He founded Apaxcel Life Sciences GmbH in April 2019, a consulting company that supports biopharma customers in creating strategies that accelerate outcomes. He is currently serving as strategic consultant through Apaxcel Life Sciences GmbH. He is a founder of MoonLake Immuntherapeutics AG since January 2020, a biotech company dedicated to next-level therapies in inflammatory diseases. From July 2010 to March 2019, he worked as the President and Managing Director and then Senior Vice President for Novartis, leading its Global Business Unit Immunology/Dermatology where he achieved remarkable portfolio growth, notably with the success of COSENTYX® (secukinumab), XOLAIR® (omalizumab) for chronic spontaneous urticaria (CSU), and with the consistent growth of "orphan blockbuster" ILARIS® (canakinumab). Mr. Ploos van Amstel's experience includes leadership roles at Wyeth Pharmaceuticals and Novartis with executive positions in the US, Canada, Greece, the Netherlands and Switzerland. He was born and raised in the Netherlands and holds a Master’s degree in Economics from the University of Groningen.</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466" w:name="Item6Exhibits_285515"/>
      <w:bookmarkStart w:id="1467" w:name="_793042e0_5c88_4af2_b8d7_2cc8b9b3a7dd"/>
      <w:bookmarkEnd w:id="1466"/>
      <w:bookmarkEnd w:id="1467"/>
      <w:r>
        <w:rPr>
          <w:rFonts w:ascii="Times New Roman;Times;serif" w:hAnsi="Times New Roman;Times;serif"/>
          <w:b/>
          <w:sz w:val="20"/>
        </w:rPr>
        <w:t>Item 6. Exhibits.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exhibits are filed as part of, or incorporated by reference into, this Quarterly Report on Form 10-Q:</w:t>
      </w:r>
    </w:p>
    <w:p>
      <w:pPr>
        <w:pStyle w:val="TextBody"/>
        <w:bidi w:val="0"/>
        <w:spacing w:before="0" w:after="240"/>
        <w:ind w:left="0" w:right="0" w:firstLine="360"/>
        <w:jc w:val="center"/>
        <w:rPr/>
      </w:pPr>
      <w:r>
        <w:rPr/>
        <w:t>​</w:t>
      </w:r>
    </w:p>
    <w:tbl>
      <w:tblPr>
        <w:tblW w:w="10205" w:type="dxa"/>
        <w:jc w:val="left"/>
        <w:tblInd w:w="0" w:type="dxa"/>
        <w:tblLayout w:type="fixed"/>
        <w:tblCellMar>
          <w:top w:w="0" w:type="dxa"/>
          <w:left w:w="0" w:type="dxa"/>
          <w:bottom w:w="0" w:type="dxa"/>
          <w:right w:w="0" w:type="dxa"/>
        </w:tblCellMar>
      </w:tblPr>
      <w:tblGrid>
        <w:gridCol w:w="789"/>
        <w:gridCol w:w="326"/>
        <w:gridCol w:w="9090"/>
      </w:tblGrid>
      <w:tr>
        <w:trPr/>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01015" cy="29210"/>
                      <wp:effectExtent l="0" t="0" r="0" b="0"/>
                      <wp:wrapNone/>
                      <wp:docPr id="222" name="Frame222"/>
                      <a:graphic xmlns:a="http://schemas.openxmlformats.org/drawingml/2006/main">
                        <a:graphicData uri="http://schemas.microsoft.com/office/word/2010/wordprocessingShape">
                          <wps:wsp>
                            <wps:cNvSpPr txBox="1"/>
                            <wps:spPr>
                              <a:xfrm>
                                <a:off x="0" y="0"/>
                                <a:ext cx="5010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0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772150" cy="29210"/>
                      <wp:effectExtent l="0" t="0" r="0" b="0"/>
                      <wp:wrapNone/>
                      <wp:docPr id="223" name="Frame223"/>
                      <a:graphic xmlns:a="http://schemas.openxmlformats.org/drawingml/2006/main">
                        <a:graphicData uri="http://schemas.microsoft.com/office/word/2010/wordprocessingShape">
                          <wps:wsp>
                            <wps:cNvSpPr txBox="1"/>
                            <wps:spPr>
                              <a:xfrm>
                                <a:off x="0" y="0"/>
                                <a:ext cx="57721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89"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b/>
                <w:sz w:val="16"/>
              </w:rPr>
              <w:t>Exhibit</w:t>
            </w:r>
            <w:r>
              <w:rPr>
                <w:rFonts w:ascii="Times New Roman;Times;serif" w:hAnsi="Times New Roman;Times;serif"/>
                <w:sz w:val="16"/>
              </w:rPr>
              <w:br/>
            </w:r>
            <w:r>
              <w:rPr>
                <w:rFonts w:ascii="Times New Roman;Times;serif" w:hAnsi="Times New Roman;Times;serif"/>
                <w:b/>
                <w:sz w:val="16"/>
              </w:rPr>
              <w:t>Number</w:t>
            </w:r>
          </w:p>
        </w:tc>
        <w:tc>
          <w:tcPr>
            <w:tcW w:w="326" w:type="dxa"/>
            <w:tcBorders/>
            <w:vAlign w:val="center"/>
          </w:tcPr>
          <w:p>
            <w:pPr>
              <w:pStyle w:val="TableContents"/>
              <w:bidi w:val="0"/>
              <w:spacing w:lineRule="auto" w:line="304" w:before="0" w:after="0"/>
              <w:ind w:left="0" w:right="0" w:hanging="0"/>
              <w:jc w:val="left"/>
              <w:rPr/>
            </w:pPr>
            <w:r>
              <w:rPr/>
              <w:t>    </w:t>
            </w:r>
          </w:p>
        </w:tc>
        <w:tc>
          <w:tcPr>
            <w:tcW w:w="9090"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r>
      <w:tr>
        <w:trPr/>
        <w:tc>
          <w:tcPr>
            <w:tcW w:w="78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lineRule="auto" w:line="304" w:before="0" w:after="0"/>
              <w:ind w:left="0" w:right="0" w:hanging="0"/>
              <w:jc w:val="left"/>
              <w:rPr/>
            </w:pPr>
            <w:r>
              <w:rPr/>
              <w:t>​</w:t>
            </w:r>
          </w:p>
        </w:tc>
        <w:tc>
          <w:tcPr>
            <w:tcW w:w="9090" w:type="dxa"/>
            <w:tcBorders/>
            <w:vAlign w:val="center"/>
          </w:tcPr>
          <w:p>
            <w:pPr>
              <w:pStyle w:val="TableContents"/>
              <w:bidi w:val="0"/>
              <w:spacing w:lineRule="auto" w:line="304" w:before="0" w:after="0"/>
              <w:ind w:left="0" w:right="0" w:hanging="0"/>
              <w:jc w:val="both"/>
              <w:rPr/>
            </w:pPr>
            <w:hyperlink w:anchor="zura-20230930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r>
      <w:tr>
        <w:trPr/>
        <w:tc>
          <w:tcPr>
            <w:tcW w:w="78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lineRule="auto" w:line="304" w:before="0" w:after="0"/>
              <w:ind w:left="0" w:right="0" w:hanging="0"/>
              <w:jc w:val="left"/>
              <w:rPr/>
            </w:pPr>
            <w:r>
              <w:rPr/>
              <w:t>​</w:t>
            </w:r>
          </w:p>
        </w:tc>
        <w:tc>
          <w:tcPr>
            <w:tcW w:w="9090" w:type="dxa"/>
            <w:tcBorders/>
            <w:vAlign w:val="center"/>
          </w:tcPr>
          <w:p>
            <w:pPr>
              <w:pStyle w:val="TableContents"/>
              <w:bidi w:val="0"/>
              <w:spacing w:lineRule="auto" w:line="304" w:before="0" w:after="0"/>
              <w:ind w:left="0" w:right="0" w:hanging="0"/>
              <w:jc w:val="both"/>
              <w:rPr/>
            </w:pPr>
            <w:hyperlink w:anchor="zura-20230930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r>
      <w:tr>
        <w:trPr/>
        <w:tc>
          <w:tcPr>
            <w:tcW w:w="78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lineRule="auto" w:line="304" w:before="0" w:after="0"/>
              <w:ind w:left="0" w:right="0" w:hanging="0"/>
              <w:jc w:val="left"/>
              <w:rPr/>
            </w:pPr>
            <w:r>
              <w:rPr/>
              <w:t>​</w:t>
            </w:r>
          </w:p>
        </w:tc>
        <w:tc>
          <w:tcPr>
            <w:tcW w:w="9090" w:type="dxa"/>
            <w:tcBorders/>
            <w:vAlign w:val="center"/>
          </w:tcPr>
          <w:p>
            <w:pPr>
              <w:pStyle w:val="TableContents"/>
              <w:bidi w:val="0"/>
              <w:spacing w:lineRule="auto" w:line="304" w:before="0" w:after="0"/>
              <w:ind w:left="0" w:right="0" w:hanging="0"/>
              <w:jc w:val="both"/>
              <w:rPr/>
            </w:pPr>
            <w:hyperlink w:anchor="zura-202309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78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lineRule="auto" w:line="304" w:before="0" w:after="0"/>
              <w:ind w:left="0" w:right="0" w:hanging="0"/>
              <w:jc w:val="left"/>
              <w:rPr/>
            </w:pPr>
            <w:r>
              <w:rPr/>
              <w:t>​</w:t>
            </w:r>
          </w:p>
        </w:tc>
        <w:tc>
          <w:tcPr>
            <w:tcW w:w="9090" w:type="dxa"/>
            <w:tcBorders/>
            <w:vAlign w:val="center"/>
          </w:tcPr>
          <w:p>
            <w:pPr>
              <w:pStyle w:val="TableContents"/>
              <w:bidi w:val="0"/>
              <w:spacing w:lineRule="auto" w:line="304" w:before="0" w:after="0"/>
              <w:ind w:left="0" w:right="0" w:hanging="0"/>
              <w:jc w:val="both"/>
              <w:rPr/>
            </w:pPr>
            <w:hyperlink w:anchor="zura-202309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78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lineRule="auto" w:line="304" w:before="0" w:after="0"/>
              <w:ind w:left="0" w:right="0" w:hanging="0"/>
              <w:jc w:val="left"/>
              <w:rPr/>
            </w:pPr>
            <w:r>
              <w:rPr/>
              <w:t>​</w:t>
            </w:r>
          </w:p>
        </w:tc>
        <w:tc>
          <w:tcPr>
            <w:tcW w:w="909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XBRL Instance Document*</w:t>
            </w:r>
          </w:p>
        </w:tc>
      </w:tr>
      <w:tr>
        <w:trPr/>
        <w:tc>
          <w:tcPr>
            <w:tcW w:w="78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lineRule="auto" w:line="304" w:before="0" w:after="0"/>
              <w:ind w:left="0" w:right="0" w:hanging="0"/>
              <w:jc w:val="left"/>
              <w:rPr/>
            </w:pPr>
            <w:r>
              <w:rPr/>
              <w:t>​</w:t>
            </w:r>
          </w:p>
        </w:tc>
        <w:tc>
          <w:tcPr>
            <w:tcW w:w="909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78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lineRule="auto" w:line="304" w:before="0" w:after="0"/>
              <w:ind w:left="0" w:right="0" w:hanging="0"/>
              <w:jc w:val="left"/>
              <w:rPr/>
            </w:pPr>
            <w:r>
              <w:rPr/>
              <w:t>​</w:t>
            </w:r>
          </w:p>
        </w:tc>
        <w:tc>
          <w:tcPr>
            <w:tcW w:w="909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78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lineRule="auto" w:line="304" w:before="0" w:after="0"/>
              <w:ind w:left="0" w:right="0" w:hanging="0"/>
              <w:jc w:val="left"/>
              <w:rPr/>
            </w:pPr>
            <w:r>
              <w:rPr/>
              <w:t>​</w:t>
            </w:r>
          </w:p>
        </w:tc>
        <w:tc>
          <w:tcPr>
            <w:tcW w:w="909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78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lineRule="auto" w:line="304" w:before="0" w:after="0"/>
              <w:ind w:left="0" w:right="0" w:hanging="0"/>
              <w:jc w:val="left"/>
              <w:rPr/>
            </w:pPr>
            <w:r>
              <w:rPr/>
              <w:t>​</w:t>
            </w:r>
          </w:p>
        </w:tc>
        <w:tc>
          <w:tcPr>
            <w:tcW w:w="909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78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lineRule="auto" w:line="304" w:before="0" w:after="0"/>
              <w:ind w:left="0" w:right="0" w:hanging="0"/>
              <w:jc w:val="left"/>
              <w:rPr/>
            </w:pPr>
            <w:r>
              <w:rPr/>
              <w:t>​</w:t>
            </w:r>
          </w:p>
        </w:tc>
        <w:tc>
          <w:tcPr>
            <w:tcW w:w="9090"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Presentation Linkbase Document*</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Furnished herewith.</w:t>
      </w:r>
    </w:p>
    <w:p>
      <w:pPr>
        <w:pStyle w:val="TextBody"/>
        <w:pBdr/>
        <w:bidi w:val="0"/>
        <w:spacing w:before="0" w:after="240"/>
        <w:ind w:left="0" w:right="0" w:hanging="36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68" w:name="SIGNATURES_847521"/>
      <w:bookmarkStart w:id="1469" w:name="_0b6d7807_572a_4691_8301_623f95dd49ea"/>
      <w:bookmarkEnd w:id="1468"/>
      <w:bookmarkEnd w:id="1469"/>
      <w:r>
        <w:rPr>
          <w:rFonts w:ascii="Times New Roman;Times;serif" w:hAnsi="Times New Roman;Times;serif"/>
          <w:b/>
          <w:sz w:val="20"/>
        </w:rPr>
        <w:t>SIGNATURES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requirements of Securities Exchange Act of 1934, the registrant has duly caused this report to be signed on its behalf by the undersigned, thereunto duly authorized.</w:t>
      </w:r>
    </w:p>
    <w:p>
      <w:pPr>
        <w:pStyle w:val="TextBody"/>
        <w:bidi w:val="0"/>
        <w:spacing w:before="0" w:after="240"/>
        <w:ind w:left="0" w:right="0" w:firstLine="360"/>
        <w:jc w:val="left"/>
        <w:rPr/>
      </w:pPr>
      <w:r>
        <w:rPr/>
        <w:t>​</w:t>
      </w:r>
    </w:p>
    <w:tbl>
      <w:tblPr>
        <w:tblW w:w="5313" w:type="dxa"/>
        <w:jc w:val="left"/>
        <w:tblInd w:w="0" w:type="dxa"/>
        <w:tblLayout w:type="fixed"/>
        <w:tblCellMar>
          <w:top w:w="0" w:type="dxa"/>
          <w:left w:w="0" w:type="dxa"/>
          <w:bottom w:w="0" w:type="dxa"/>
          <w:right w:w="0" w:type="dxa"/>
        </w:tblCellMar>
      </w:tblPr>
      <w:tblGrid>
        <w:gridCol w:w="2206"/>
        <w:gridCol w:w="631"/>
        <w:gridCol w:w="247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400810" cy="29210"/>
                      <wp:effectExtent l="0" t="0" r="0" b="0"/>
                      <wp:wrapNone/>
                      <wp:docPr id="224" name="Frame224"/>
                      <a:graphic xmlns:a="http://schemas.openxmlformats.org/drawingml/2006/main">
                        <a:graphicData uri="http://schemas.microsoft.com/office/word/2010/wordprocessingShape">
                          <wps:wsp>
                            <wps:cNvSpPr txBox="1"/>
                            <wps:spPr>
                              <a:xfrm>
                                <a:off x="0" y="0"/>
                                <a:ext cx="1400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00685" cy="29210"/>
                      <wp:effectExtent l="0" t="0" r="0" b="0"/>
                      <wp:wrapNone/>
                      <wp:docPr id="225" name="Frame225"/>
                      <a:graphic xmlns:a="http://schemas.openxmlformats.org/drawingml/2006/main">
                        <a:graphicData uri="http://schemas.microsoft.com/office/word/2010/wordprocessingShape">
                          <wps:wsp>
                            <wps:cNvSpPr txBox="1"/>
                            <wps:spPr>
                              <a:xfrm>
                                <a:off x="0" y="0"/>
                                <a:ext cx="400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572260" cy="29210"/>
                      <wp:effectExtent l="0" t="0" r="0" b="0"/>
                      <wp:wrapNone/>
                      <wp:docPr id="226" name="Frame226"/>
                      <a:graphic xmlns:a="http://schemas.openxmlformats.org/drawingml/2006/main">
                        <a:graphicData uri="http://schemas.microsoft.com/office/word/2010/wordprocessingShape">
                          <wps:wsp>
                            <wps:cNvSpPr txBox="1"/>
                            <wps:spPr>
                              <a:xfrm>
                                <a:off x="0" y="0"/>
                                <a:ext cx="15722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3107" w:type="dxa"/>
            <w:gridSpan w:val="2"/>
            <w:tcBorders/>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ZURA BIO LIMITED</w:t>
            </w:r>
          </w:p>
        </w:tc>
      </w:tr>
      <w:tr>
        <w:trPr/>
        <w:tc>
          <w:tcPr>
            <w:tcW w:w="22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Date: November 13, 2023</w:t>
            </w:r>
          </w:p>
        </w:tc>
        <w:tc>
          <w:tcPr>
            <w:tcW w:w="6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Someit Sidhu, MD</w:t>
            </w:r>
          </w:p>
        </w:tc>
      </w:tr>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top w:val="single" w:sz="2" w:space="0" w:color="000000"/>
            </w:tcBorders>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Someit Sidhu, MD</w:t>
            </w:r>
          </w:p>
        </w:tc>
      </w:tr>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lineRule="auto" w:line="304" w:before="0" w:after="0"/>
              <w:ind w:left="0" w:right="0" w:hanging="0"/>
              <w:jc w:val="left"/>
              <w:rPr/>
            </w:pPr>
            <w:r>
              <w:rPr/>
              <w:t>​</w:t>
            </w:r>
          </w:p>
        </w:tc>
        <w:tc>
          <w:tcPr>
            <w:tcW w:w="247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2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lineRule="auto" w:line="304" w:before="0" w:after="0"/>
              <w:ind w:left="0" w:right="0" w:hanging="0"/>
              <w:jc w:val="left"/>
              <w:rPr/>
            </w:pPr>
            <w:r>
              <w:rPr/>
              <w:t>​</w:t>
            </w:r>
          </w:p>
        </w:tc>
        <w:tc>
          <w:tcPr>
            <w:tcW w:w="2476" w:type="dxa"/>
            <w:tcBorders/>
            <w:vAlign w:val="center"/>
          </w:tcPr>
          <w:p>
            <w:pPr>
              <w:pStyle w:val="TableContents"/>
              <w:bidi w:val="0"/>
              <w:spacing w:lineRule="auto" w:line="304" w:before="0" w:after="0"/>
              <w:ind w:left="0" w:right="0" w:hanging="0"/>
              <w:jc w:val="left"/>
              <w:rPr/>
            </w:pPr>
            <w:r>
              <w:rPr/>
              <w:t>​</w:t>
            </w:r>
          </w:p>
        </w:tc>
      </w:tr>
      <w:tr>
        <w:trPr/>
        <w:tc>
          <w:tcPr>
            <w:tcW w:w="22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Date: November 13, 2023</w:t>
            </w:r>
          </w:p>
        </w:tc>
        <w:tc>
          <w:tcPr>
            <w:tcW w:w="6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Verender S. Badial</w:t>
            </w:r>
          </w:p>
        </w:tc>
      </w:tr>
      <w:tr>
        <w:trPr/>
        <w:tc>
          <w:tcPr>
            <w:tcW w:w="2206" w:type="dxa"/>
            <w:tcBorders/>
            <w:vAlign w:val="center"/>
          </w:tcPr>
          <w:p>
            <w:pPr>
              <w:pStyle w:val="TableContents"/>
              <w:bidi w:val="0"/>
              <w:spacing w:lineRule="auto" w:line="304" w:before="0" w:after="0"/>
              <w:ind w:left="0" w:right="0" w:hanging="0"/>
              <w:jc w:val="left"/>
              <w:rPr/>
            </w:pPr>
            <w:r>
              <w:rPr/>
              <w:t>​</w:t>
            </w:r>
          </w:p>
        </w:tc>
        <w:tc>
          <w:tcPr>
            <w:tcW w:w="6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top w:val="single" w:sz="2" w:space="0" w:color="000000"/>
            </w:tcBorders>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Verender S. Badial</w:t>
            </w:r>
          </w:p>
        </w:tc>
      </w:tr>
      <w:tr>
        <w:trPr/>
        <w:tc>
          <w:tcPr>
            <w:tcW w:w="2206" w:type="dxa"/>
            <w:tcBorders/>
            <w:vAlign w:val="center"/>
          </w:tcPr>
          <w:p>
            <w:pPr>
              <w:pStyle w:val="TableContents"/>
              <w:bidi w:val="0"/>
              <w:spacing w:lineRule="auto" w:line="304" w:before="0" w:after="0"/>
              <w:ind w:left="0" w:right="0" w:hanging="0"/>
              <w:jc w:val="left"/>
              <w:rPr/>
            </w:pPr>
            <w:r>
              <w:rPr/>
              <w:t>​</w:t>
            </w:r>
          </w:p>
        </w:tc>
        <w:tc>
          <w:tcPr>
            <w:tcW w:w="6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206" w:type="dxa"/>
            <w:tcBorders/>
            <w:vAlign w:val="center"/>
          </w:tcPr>
          <w:p>
            <w:pPr>
              <w:pStyle w:val="TableContents"/>
              <w:bidi w:val="0"/>
              <w:spacing w:lineRule="auto" w:line="304" w:before="0" w:after="0"/>
              <w:ind w:left="0" w:right="0" w:hanging="0"/>
              <w:jc w:val="left"/>
              <w:rPr/>
            </w:pPr>
            <w:r>
              <w:rPr/>
              <w:t>​</w:t>
            </w:r>
          </w:p>
        </w:tc>
        <w:tc>
          <w:tcPr>
            <w:tcW w:w="631" w:type="dxa"/>
            <w:tcBorders/>
            <w:vAlign w:val="center"/>
          </w:tcPr>
          <w:p>
            <w:pPr>
              <w:pStyle w:val="TableContents"/>
              <w:bidi w:val="0"/>
              <w:spacing w:lineRule="auto" w:line="304" w:before="0" w:after="0"/>
              <w:ind w:left="0" w:right="0" w:hanging="0"/>
              <w:jc w:val="left"/>
              <w:rPr/>
            </w:pPr>
            <w:r>
              <w:rPr/>
              <w:t>​</w:t>
            </w:r>
          </w:p>
        </w:tc>
        <w:tc>
          <w:tcPr>
            <w:tcW w:w="247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240"/>
        <w:ind w:left="0" w:right="0" w:hanging="0"/>
        <w:jc w:val="right"/>
        <w:rPr>
          <w:rFonts w:ascii="Times New Roman;Times;serif" w:hAnsi="Times New Roman;Times;serif"/>
          <w:b/>
          <w:sz w:val="20"/>
        </w:rPr>
      </w:pPr>
      <w:bookmarkStart w:id="1470" w:name="zura-20230930xex31d1.htm"/>
      <w:bookmarkStart w:id="1471" w:name="kszura20230930xex31d1"/>
      <w:bookmarkEnd w:id="1470"/>
      <w:bookmarkEnd w:id="1471"/>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 UNDER THE SECURITIES EXCHANGE ACT OF 1934,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Someit Sidhu, certify that:</w:t>
      </w:r>
    </w:p>
    <w:tbl>
      <w:tblPr>
        <w:tblW w:w="6010" w:type="dxa"/>
        <w:jc w:val="left"/>
        <w:tblInd w:w="0" w:type="dxa"/>
        <w:tblLayout w:type="fixed"/>
        <w:tblCellMar>
          <w:top w:w="0" w:type="dxa"/>
          <w:left w:w="0" w:type="dxa"/>
          <w:bottom w:w="0" w:type="dxa"/>
          <w:right w:w="0" w:type="dxa"/>
        </w:tblCellMar>
      </w:tblPr>
      <w:tblGrid>
        <w:gridCol w:w="170"/>
        <w:gridCol w:w="584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58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Zura Bio Limited;</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31"/>
        <w:gridCol w:w="10051"/>
      </w:tblGrid>
      <w:tr>
        <w:trPr/>
        <w:tc>
          <w:tcPr>
            <w:tcW w:w="2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5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tc>
      </w:tr>
    </w:tbl>
    <w:tbl>
      <w:tblPr>
        <w:tblW w:w="6558" w:type="dxa"/>
        <w:jc w:val="left"/>
        <w:tblInd w:w="0" w:type="dxa"/>
        <w:tblLayout w:type="fixed"/>
        <w:tblCellMar>
          <w:top w:w="0" w:type="dxa"/>
          <w:left w:w="0" w:type="dxa"/>
          <w:bottom w:w="0" w:type="dxa"/>
          <w:right w:w="0" w:type="dxa"/>
        </w:tblCellMar>
      </w:tblPr>
      <w:tblGrid>
        <w:gridCol w:w="23"/>
        <w:gridCol w:w="185"/>
        <w:gridCol w:w="635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63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(Paragraph omitted pursuant to Exchange Act Rules 13a-14(a) and 15d-15(a));</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4682" w:type="dxa"/>
        <w:jc w:val="center"/>
        <w:tblInd w:w="0" w:type="dxa"/>
        <w:tblLayout w:type="fixed"/>
        <w:tblCellMar>
          <w:top w:w="0" w:type="dxa"/>
          <w:left w:w="0" w:type="dxa"/>
          <w:bottom w:w="0" w:type="dxa"/>
          <w:right w:w="0" w:type="dxa"/>
        </w:tblCellMar>
      </w:tblPr>
      <w:tblGrid>
        <w:gridCol w:w="2206"/>
        <w:gridCol w:w="2476"/>
      </w:tblGrid>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13, 2023</w:t>
            </w:r>
          </w:p>
        </w:tc>
        <w:tc>
          <w:tcPr>
            <w:tcW w:w="2476" w:type="dxa"/>
            <w:tcBorders/>
            <w:vAlign w:val="center"/>
          </w:tcPr>
          <w:p>
            <w:pPr>
              <w:pStyle w:val="TableContents"/>
              <w:bidi w:val="0"/>
              <w:spacing w:before="0" w:after="283"/>
              <w:ind w:left="0" w:right="0" w:hanging="0"/>
              <w:jc w:val="left"/>
              <w:rPr>
                <w:sz w:val="4"/>
                <w:szCs w:val="4"/>
              </w:rPr>
            </w:pPr>
            <w:r>
              <w:rPr>
                <w:sz w:val="4"/>
                <w:szCs w:val="4"/>
              </w:rPr>
            </w:r>
          </w:p>
        </w:tc>
      </w:tr>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283"/>
              <w:ind w:left="0" w:right="0" w:hanging="0"/>
              <w:jc w:val="left"/>
              <w:rPr>
                <w:sz w:val="4"/>
                <w:szCs w:val="4"/>
              </w:rPr>
            </w:pPr>
            <w:r>
              <w:rPr>
                <w:sz w:val="4"/>
                <w:szCs w:val="4"/>
              </w:rPr>
            </w:r>
          </w:p>
        </w:tc>
      </w:tr>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Someit Sidhu</w:t>
            </w:r>
          </w:p>
        </w:tc>
      </w:tr>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Someit Sidhu</w:t>
            </w:r>
          </w:p>
        </w:tc>
      </w:tr>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472" w:name="zura-20230930xex31d2.htm"/>
      <w:bookmarkStart w:id="1473" w:name="kszura20230930xex31d2"/>
      <w:bookmarkEnd w:id="1472"/>
      <w:bookmarkEnd w:id="1473"/>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 UNDER THE SECURITIES EXCHANGE ACT OF 1934,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Verender Badial, certify that:</w:t>
      </w:r>
    </w:p>
    <w:tbl>
      <w:tblPr>
        <w:tblW w:w="6010" w:type="dxa"/>
        <w:jc w:val="left"/>
        <w:tblInd w:w="0" w:type="dxa"/>
        <w:tblLayout w:type="fixed"/>
        <w:tblCellMar>
          <w:top w:w="0" w:type="dxa"/>
          <w:left w:w="0" w:type="dxa"/>
          <w:bottom w:w="0" w:type="dxa"/>
          <w:right w:w="0" w:type="dxa"/>
        </w:tblCellMar>
      </w:tblPr>
      <w:tblGrid>
        <w:gridCol w:w="170"/>
        <w:gridCol w:w="584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58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Zura Bio Limited;</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31"/>
        <w:gridCol w:w="10051"/>
      </w:tblGrid>
      <w:tr>
        <w:trPr/>
        <w:tc>
          <w:tcPr>
            <w:tcW w:w="2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5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tc>
      </w:tr>
    </w:tbl>
    <w:tbl>
      <w:tblPr>
        <w:tblW w:w="6558" w:type="dxa"/>
        <w:jc w:val="left"/>
        <w:tblInd w:w="0" w:type="dxa"/>
        <w:tblLayout w:type="fixed"/>
        <w:tblCellMar>
          <w:top w:w="0" w:type="dxa"/>
          <w:left w:w="0" w:type="dxa"/>
          <w:bottom w:w="0" w:type="dxa"/>
          <w:right w:w="0" w:type="dxa"/>
        </w:tblCellMar>
      </w:tblPr>
      <w:tblGrid>
        <w:gridCol w:w="23"/>
        <w:gridCol w:w="185"/>
        <w:gridCol w:w="635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63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(Paragraph omitted pursuant to Exchange Act Rules 13a-14(a) and 15d-15(a));</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5972" w:type="dxa"/>
        <w:jc w:val="center"/>
        <w:tblInd w:w="0" w:type="dxa"/>
        <w:tblLayout w:type="fixed"/>
        <w:tblCellMar>
          <w:top w:w="0" w:type="dxa"/>
          <w:left w:w="0" w:type="dxa"/>
          <w:bottom w:w="0" w:type="dxa"/>
          <w:right w:w="0" w:type="dxa"/>
        </w:tblCellMar>
      </w:tblPr>
      <w:tblGrid>
        <w:gridCol w:w="2206"/>
        <w:gridCol w:w="3766"/>
      </w:tblGrid>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13, 2023</w:t>
            </w:r>
          </w:p>
        </w:tc>
        <w:tc>
          <w:tcPr>
            <w:tcW w:w="3766" w:type="dxa"/>
            <w:tcBorders/>
            <w:vAlign w:val="center"/>
          </w:tcPr>
          <w:p>
            <w:pPr>
              <w:pStyle w:val="TableContents"/>
              <w:bidi w:val="0"/>
              <w:spacing w:before="0" w:after="283"/>
              <w:ind w:left="0" w:right="0" w:hanging="0"/>
              <w:jc w:val="left"/>
              <w:rPr>
                <w:sz w:val="4"/>
                <w:szCs w:val="4"/>
              </w:rPr>
            </w:pPr>
            <w:r>
              <w:rPr>
                <w:sz w:val="4"/>
                <w:szCs w:val="4"/>
              </w:rPr>
            </w:r>
          </w:p>
        </w:tc>
      </w:tr>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283"/>
              <w:ind w:left="0" w:right="0" w:hanging="0"/>
              <w:jc w:val="left"/>
              <w:rPr>
                <w:sz w:val="4"/>
                <w:szCs w:val="4"/>
              </w:rPr>
            </w:pPr>
            <w:r>
              <w:rPr>
                <w:sz w:val="4"/>
                <w:szCs w:val="4"/>
              </w:rPr>
            </w:r>
          </w:p>
        </w:tc>
      </w:tr>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Verender Badial</w:t>
            </w:r>
          </w:p>
        </w:tc>
      </w:tr>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Verender Badial</w:t>
            </w:r>
          </w:p>
        </w:tc>
      </w:tr>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474" w:name="zura-20230930xex32d1.htm"/>
      <w:bookmarkStart w:id="1475" w:name="kszura20230930xex32d1"/>
      <w:bookmarkEnd w:id="1474"/>
      <w:bookmarkEnd w:id="1475"/>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Zura Bio Limited (the “Company”) on Form 10-Q for the quarterly period ended September 30, 2023, as filed with the Securities and Exchange Commission (the “Report”), I, Someit Sidhu, Chief Executive Officer of the Company, certify, pursuant to 18 U.S.C. §1350, as adopted pursuant to §906 of the Sarbanes-Oxley Act of 2002, that, to the best of my knowledge:</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4787" w:type="dxa"/>
        <w:jc w:val="center"/>
        <w:tblInd w:w="0" w:type="dxa"/>
        <w:tblLayout w:type="fixed"/>
        <w:tblCellMar>
          <w:top w:w="0" w:type="dxa"/>
          <w:left w:w="0" w:type="dxa"/>
          <w:bottom w:w="0" w:type="dxa"/>
          <w:right w:w="0" w:type="dxa"/>
        </w:tblCellMar>
      </w:tblPr>
      <w:tblGrid>
        <w:gridCol w:w="2311"/>
        <w:gridCol w:w="247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467485" cy="175260"/>
                      <wp:effectExtent l="0" t="0" r="0" b="0"/>
                      <wp:wrapNone/>
                      <wp:docPr id="227" name="Frame227"/>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572260" cy="175260"/>
                      <wp:effectExtent l="0" t="0" r="0" b="0"/>
                      <wp:wrapNone/>
                      <wp:docPr id="228" name="Frame228"/>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13, 2023</w:t>
            </w:r>
          </w:p>
        </w:tc>
        <w:tc>
          <w:tcPr>
            <w:tcW w:w="2476" w:type="dxa"/>
            <w:tcBorders/>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Someit Sidhu</w:t>
            </w:r>
          </w:p>
        </w:tc>
      </w:tr>
      <w:tr>
        <w:trPr/>
        <w:tc>
          <w:tcPr>
            <w:tcW w:w="2311"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Someit Sidhu</w:t>
            </w:r>
          </w:p>
        </w:tc>
      </w:tr>
      <w:tr>
        <w:trPr/>
        <w:tc>
          <w:tcPr>
            <w:tcW w:w="2311"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311"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476" w:name="zura-20230930xex32d2.htm"/>
      <w:bookmarkStart w:id="1477" w:name="kszura20230930xex32d2"/>
      <w:bookmarkEnd w:id="1476"/>
      <w:bookmarkEnd w:id="1477"/>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Zura Bio Limited (the “Company”) on Form 10-Q for the quarterly period ended September 30, 2023, as filed with the Securities and Exchange Commission (the “Report”), I, Verender Badial, Chief Financial Officer of the Company, certify, pursuant to 18 U.S.C. §1350, as adopted pursuant to §906 of the Sarbanes-Oxley Act of 2002, that, to the best of my knowledge:</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6077" w:type="dxa"/>
        <w:jc w:val="center"/>
        <w:tblInd w:w="0" w:type="dxa"/>
        <w:tblLayout w:type="fixed"/>
        <w:tblCellMar>
          <w:top w:w="0" w:type="dxa"/>
          <w:left w:w="0" w:type="dxa"/>
          <w:bottom w:w="0" w:type="dxa"/>
          <w:right w:w="0" w:type="dxa"/>
        </w:tblCellMar>
      </w:tblPr>
      <w:tblGrid>
        <w:gridCol w:w="2311"/>
        <w:gridCol w:w="376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467485" cy="29210"/>
                      <wp:effectExtent l="0" t="0" r="0" b="0"/>
                      <wp:wrapNone/>
                      <wp:docPr id="229" name="Frame229"/>
                      <a:graphic xmlns:a="http://schemas.openxmlformats.org/drawingml/2006/main">
                        <a:graphicData uri="http://schemas.microsoft.com/office/word/2010/wordprocessingShape">
                          <wps:wsp>
                            <wps:cNvSpPr txBox="1"/>
                            <wps:spPr>
                              <a:xfrm>
                                <a:off x="0" y="0"/>
                                <a:ext cx="1467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391410" cy="29210"/>
                      <wp:effectExtent l="0" t="0" r="0" b="0"/>
                      <wp:wrapNone/>
                      <wp:docPr id="230" name="Frame230"/>
                      <a:graphic xmlns:a="http://schemas.openxmlformats.org/drawingml/2006/main">
                        <a:graphicData uri="http://schemas.microsoft.com/office/word/2010/wordprocessingShape">
                          <wps:wsp>
                            <wps:cNvSpPr txBox="1"/>
                            <wps:spPr>
                              <a:xfrm>
                                <a:off x="0" y="0"/>
                                <a:ext cx="2391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13, 2023</w:t>
            </w:r>
          </w:p>
        </w:tc>
        <w:tc>
          <w:tcPr>
            <w:tcW w:w="3766" w:type="dxa"/>
            <w:tcBorders/>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Verender Badial</w:t>
            </w:r>
          </w:p>
        </w:tc>
      </w:tr>
      <w:tr>
        <w:trPr/>
        <w:tc>
          <w:tcPr>
            <w:tcW w:w="2311"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Verender Badial</w:t>
            </w:r>
          </w:p>
        </w:tc>
      </w:tr>
      <w:tr>
        <w:trPr/>
        <w:tc>
          <w:tcPr>
            <w:tcW w:w="2311"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311"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24346</Words>
  <Characters>134326</Characters>
  <CharactersWithSpaces>159488</CharactersWithSpaces>
  <Paragraphs>4660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