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20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120"/>
        <w:jc w:val="center"/>
        <w:rPr>
          <w:rFonts w:ascii="Times New Roman;serif" w:hAnsi="Times New Roman;serif"/>
          <w:b/>
          <w:color w:val="000000"/>
          <w:sz w:val="14"/>
        </w:rPr>
      </w:pPr>
      <w:r>
        <w:rPr>
          <w:rFonts w:ascii="Times New Roman;serif" w:hAnsi="Times New Roman;serif"/>
          <w:b/>
          <w:color w:val="000000"/>
          <w:sz w:val="14"/>
        </w:rPr>
        <w:t>(Mark One)</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001-40598</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8"/>
        </w:rPr>
      </w:pPr>
      <w:r>
        <w:rPr>
          <w:rFonts w:ascii="Times New Roman;serif" w:hAnsi="Times New Roman;serif"/>
          <w:b/>
          <w:color w:val="000000"/>
          <w:sz w:val="38"/>
        </w:rPr>
        <w:t>ZURA BIO LIMITED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tbl>
      <w:tblPr>
        <w:tblW w:w="4962" w:type="dxa"/>
        <w:jc w:val="left"/>
        <w:tblInd w:w="0" w:type="dxa"/>
        <w:tblLayout w:type="fixed"/>
        <w:tblCellMar>
          <w:top w:w="28" w:type="dxa"/>
          <w:left w:w="28" w:type="dxa"/>
          <w:bottom w:w="28" w:type="dxa"/>
          <w:right w:w="28" w:type="dxa"/>
        </w:tblCellMar>
      </w:tblPr>
      <w:tblGrid>
        <w:gridCol w:w="1114"/>
        <w:gridCol w:w="977"/>
        <w:gridCol w:w="984"/>
        <w:gridCol w:w="109"/>
        <w:gridCol w:w="109"/>
        <w:gridCol w:w="109"/>
        <w:gridCol w:w="455"/>
        <w:gridCol w:w="455"/>
        <w:gridCol w:w="650"/>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98-1725736</w:t>
            </w:r>
          </w:p>
        </w:tc>
      </w:tr>
      <w:tr>
        <w:trPr/>
        <w:tc>
          <w:tcPr>
            <w:tcW w:w="30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76" w:before="0" w:after="15"/>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76" w:before="0" w:after="15"/>
              <w:jc w:val="center"/>
              <w:rPr>
                <w:rFonts w:ascii="Times New Roman;serif" w:hAnsi="Times New Roman;serif"/>
                <w:b/>
                <w:color w:val="000000"/>
                <w:sz w:val="18"/>
              </w:rPr>
            </w:pPr>
            <w:r>
              <w:rPr>
                <w:rFonts w:ascii="Times New Roman;serif" w:hAnsi="Times New Roman;serif"/>
                <w:b/>
                <w:color w:val="000000"/>
                <w:sz w:val="18"/>
              </w:rPr>
              <w:t>1489 W. Warm Springs Rd. #110</w:t>
            </w:r>
          </w:p>
          <w:p>
            <w:pPr>
              <w:pStyle w:val="TableContents"/>
              <w:bidi w:val="0"/>
              <w:spacing w:lineRule="auto" w:line="276" w:before="0" w:after="15"/>
              <w:jc w:val="center"/>
              <w:rPr>
                <w:rFonts w:ascii="Times New Roman;serif" w:hAnsi="Times New Roman;serif"/>
                <w:b/>
                <w:color w:val="000000"/>
                <w:sz w:val="18"/>
              </w:rPr>
            </w:pPr>
            <w:r>
              <w:rPr>
                <w:rFonts w:ascii="Times New Roman;serif" w:hAnsi="Times New Roman;serif"/>
                <w:b/>
                <w:color w:val="000000"/>
                <w:sz w:val="18"/>
              </w:rPr>
              <w:t>Henderson,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89014</w:t>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(702) 825-9872</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712" w:type="dxa"/>
        <w:jc w:val="left"/>
        <w:tblInd w:w="0" w:type="dxa"/>
        <w:tblLayout w:type="fixed"/>
        <w:tblCellMar>
          <w:top w:w="28" w:type="dxa"/>
          <w:left w:w="28" w:type="dxa"/>
          <w:bottom w:w="28" w:type="dxa"/>
          <w:right w:w="28" w:type="dxa"/>
        </w:tblCellMar>
      </w:tblPr>
      <w:tblGrid>
        <w:gridCol w:w="694"/>
        <w:gridCol w:w="609"/>
        <w:gridCol w:w="617"/>
        <w:gridCol w:w="109"/>
        <w:gridCol w:w="109"/>
        <w:gridCol w:w="109"/>
        <w:gridCol w:w="274"/>
        <w:gridCol w:w="274"/>
        <w:gridCol w:w="276"/>
        <w:gridCol w:w="109"/>
        <w:gridCol w:w="109"/>
        <w:gridCol w:w="109"/>
        <w:gridCol w:w="970"/>
        <w:gridCol w:w="970"/>
        <w:gridCol w:w="1374"/>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Capital Market)</w:t>
            </w:r>
          </w:p>
        </w:tc>
      </w:tr>
    </w:tbl>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As of August 11, 2026, the registrant had 95,829,137 Class A Ordinary Shares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3"/>
        <w:gridCol w:w="309"/>
        <w:gridCol w:w="314"/>
        <w:gridCol w:w="2904"/>
        <w:gridCol w:w="2904"/>
        <w:gridCol w:w="2909"/>
        <w:gridCol w:w="149"/>
        <w:gridCol w:w="149"/>
        <w:gridCol w:w="21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0">
              <w:r>
                <w:rPr>
                  <w:rStyle w:val="InternetLink"/>
                  <w:rFonts w:ascii="Times New Roman;serif" w:hAnsi="Times New Roman;serif"/>
                  <w:b w:val="false"/>
                  <w:color w:val="0000FF"/>
                  <w:sz w:val="20"/>
                  <w:u w:val="single"/>
                </w:rPr>
                <w:t>Cautionary Note Regarding Forward-Looking Statements</w:t>
              </w:r>
            </w:hyperlink>
          </w:p>
        </w:tc>
        <w:tc>
          <w:tcPr>
            <w:tcW w:w="51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iafc2b5c231a34be8bb65126a577cd612_10">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
              <w:r>
                <w:rPr>
                  <w:rStyle w:val="InternetLink"/>
                  <w:rFonts w:ascii="Times New Roman;serif" w:hAnsi="Times New Roman;serif"/>
                  <w:b/>
                  <w:color w:val="0000FF"/>
                  <w:sz w:val="20"/>
                  <w:u w:val="single"/>
                </w:rPr>
                <w:t>PART I</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
              <w:r>
                <w:rPr>
                  <w:rStyle w:val="InternetLink"/>
                  <w:rFonts w:ascii="Times New Roman;serif" w:hAnsi="Times New Roman;serif"/>
                  <w:b w:val="false"/>
                  <w:color w:val="0000FF"/>
                  <w:sz w:val="20"/>
                  <w:u w:val="single"/>
                </w:rPr>
                <w:t>FINANCIAL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3">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6">
              <w:r>
                <w:rPr>
                  <w:rStyle w:val="InternetLink"/>
                  <w:rFonts w:ascii="Times New Roman;serif" w:hAnsi="Times New Roman;serif"/>
                  <w:b w:val="false"/>
                  <w:color w:val="0000FF"/>
                  <w:sz w:val="20"/>
                  <w:u w:val="single"/>
                </w:rPr>
                <w:t>Item 1.</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6">
              <w:r>
                <w:rPr>
                  <w:rStyle w:val="InternetLink"/>
                  <w:rFonts w:ascii="Times New Roman;serif" w:hAnsi="Times New Roman;serif"/>
                  <w:b w:val="false"/>
                  <w:color w:val="0000FF"/>
                  <w:sz w:val="20"/>
                  <w:u w:val="single"/>
                </w:rPr>
                <w:t xml:space="preserve">Financial Statements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6">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9">
              <w:r>
                <w:rPr>
                  <w:rStyle w:val="InternetLink"/>
                  <w:rFonts w:ascii="Times New Roman;serif" w:hAnsi="Times New Roman;serif"/>
                  <w:b w:val="false"/>
                  <w:color w:val="0000FF"/>
                  <w:sz w:val="20"/>
                  <w:u w:val="single"/>
                </w:rPr>
                <w:t>Condensed Consolidated Balance Sheets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9">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22">
              <w:r>
                <w:rPr>
                  <w:rStyle w:val="InternetLink"/>
                  <w:rFonts w:ascii="Times New Roman;serif" w:hAnsi="Times New Roman;serif"/>
                  <w:b w:val="false"/>
                  <w:color w:val="0000FF"/>
                  <w:sz w:val="20"/>
                  <w:u w:val="single"/>
                </w:rPr>
                <w:t xml:space="preserve">Condensed Consolidated Statements of Operations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22">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25">
              <w:r>
                <w:rPr>
                  <w:rStyle w:val="InternetLink"/>
                  <w:rFonts w:ascii="Times New Roman;serif" w:hAnsi="Times New Roman;serif"/>
                  <w:b w:val="false"/>
                  <w:color w:val="0000FF"/>
                  <w:sz w:val="20"/>
                  <w:u w:val="single"/>
                </w:rPr>
                <w:t xml:space="preserve">Condensed Consolidated Statements of Changes in Redeemable Noncontrolling Interest and Shareholders’ Equity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25">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28">
              <w:r>
                <w:rPr>
                  <w:rStyle w:val="InternetLink"/>
                  <w:rFonts w:ascii="Times New Roman;serif" w:hAnsi="Times New Roman;serif"/>
                  <w:b w:val="false"/>
                  <w:color w:val="0000FF"/>
                  <w:sz w:val="20"/>
                  <w:u w:val="single"/>
                </w:rPr>
                <w:t>Condensed Consolidated Statements of Cash Flows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28">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31">
              <w:r>
                <w:rPr>
                  <w:rStyle w:val="InternetLink"/>
                  <w:rFonts w:ascii="Times New Roman;serif" w:hAnsi="Times New Roman;serif"/>
                  <w:b w:val="false"/>
                  <w:color w:val="0000FF"/>
                  <w:sz w:val="20"/>
                  <w:u w:val="single"/>
                </w:rPr>
                <w:t>Notes to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31">
              <w:r>
                <w:rPr>
                  <w:rStyle w:val="InternetLink"/>
                  <w:rFonts w:ascii="Times New Roman;serif" w:hAnsi="Times New Roman;serif"/>
                  <w:b w:val="false"/>
                  <w:strike w:val="false"/>
                  <w:dstrike w:val="false"/>
                  <w:color w:val="000000"/>
                  <w:sz w:val="20"/>
                  <w:u w:val="none"/>
                  <w:effect w:val="non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67">
              <w:r>
                <w:rPr>
                  <w:rStyle w:val="InternetLink"/>
                  <w:rFonts w:ascii="Times New Roman;serif" w:hAnsi="Times New Roman;serif"/>
                  <w:b w:val="false"/>
                  <w:color w:val="0000FF"/>
                  <w:sz w:val="20"/>
                  <w:u w:val="single"/>
                </w:rPr>
                <w:t>Item 2.</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67">
              <w:r>
                <w:rPr>
                  <w:rStyle w:val="InternetLink"/>
                  <w:rFonts w:ascii="Times New Roman;serif" w:hAnsi="Times New Roman;serif"/>
                  <w:b w:val="false"/>
                  <w:strike w:val="false"/>
                  <w:dstrike w:val="false"/>
                  <w:color w:val="000000"/>
                  <w:sz w:val="20"/>
                  <w:u w:val="none"/>
                  <w:effect w:val="none"/>
                </w:rPr>
                <w:t>22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06">
              <w:r>
                <w:rPr>
                  <w:rStyle w:val="InternetLink"/>
                  <w:rFonts w:ascii="Times New Roman;serif" w:hAnsi="Times New Roman;serif"/>
                  <w:b w:val="false"/>
                  <w:color w:val="0000FF"/>
                  <w:sz w:val="20"/>
                  <w:u w:val="single"/>
                </w:rPr>
                <w:t>Item 3.</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06">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06">
              <w:r>
                <w:rPr>
                  <w:rStyle w:val="InternetLink"/>
                  <w:rFonts w:ascii="Times New Roman;serif" w:hAnsi="Times New Roman;serif"/>
                  <w:b w:val="false"/>
                  <w:strike w:val="false"/>
                  <w:dstrike w:val="false"/>
                  <w:color w:val="000000"/>
                  <w:sz w:val="20"/>
                  <w:u w:val="none"/>
                  <w:effect w:val="non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09">
              <w:r>
                <w:rPr>
                  <w:rStyle w:val="InternetLink"/>
                  <w:rFonts w:ascii="Times New Roman;serif" w:hAnsi="Times New Roman;serif"/>
                  <w:b w:val="false"/>
                  <w:color w:val="0000FF"/>
                  <w:sz w:val="20"/>
                  <w:u w:val="single"/>
                </w:rPr>
                <w:t>Item 4.</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09">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09">
              <w:r>
                <w:rPr>
                  <w:rStyle w:val="InternetLink"/>
                  <w:rFonts w:ascii="Times New Roman;serif" w:hAnsi="Times New Roman;serif"/>
                  <w:b w:val="false"/>
                  <w:strike w:val="false"/>
                  <w:dstrike w:val="false"/>
                  <w:color w:val="000000"/>
                  <w:sz w:val="20"/>
                  <w:u w:val="none"/>
                  <w:effect w:val="none"/>
                </w:rPr>
                <w:t>34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12">
              <w:r>
                <w:rPr>
                  <w:rStyle w:val="InternetLink"/>
                  <w:rFonts w:ascii="Times New Roman;serif" w:hAnsi="Times New Roman;serif"/>
                  <w:b/>
                  <w:color w:val="0000FF"/>
                  <w:sz w:val="20"/>
                  <w:u w:val="single"/>
                </w:rPr>
                <w:t>PART II</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12">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12">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15">
              <w:r>
                <w:rPr>
                  <w:rStyle w:val="InternetLink"/>
                  <w:rFonts w:ascii="Times New Roman;serif" w:hAnsi="Times New Roman;serif"/>
                  <w:b w:val="false"/>
                  <w:color w:val="0000FF"/>
                  <w:sz w:val="20"/>
                  <w:u w:val="single"/>
                </w:rPr>
                <w:t>Item 1.</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15">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15">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18">
              <w:r>
                <w:rPr>
                  <w:rStyle w:val="InternetLink"/>
                  <w:rFonts w:ascii="Times New Roman;serif" w:hAnsi="Times New Roman;serif"/>
                  <w:b w:val="false"/>
                  <w:color w:val="0000FF"/>
                  <w:sz w:val="20"/>
                  <w:u w:val="single"/>
                </w:rPr>
                <w:t>Item 1A.</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18">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18">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21">
              <w:r>
                <w:rPr>
                  <w:rStyle w:val="InternetLink"/>
                  <w:rFonts w:ascii="Times New Roman;serif" w:hAnsi="Times New Roman;serif"/>
                  <w:b w:val="false"/>
                  <w:color w:val="0000FF"/>
                  <w:sz w:val="20"/>
                  <w:u w:val="single"/>
                </w:rPr>
                <w:t>Item 2.</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21">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21">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24">
              <w:r>
                <w:rPr>
                  <w:rStyle w:val="InternetLink"/>
                  <w:rFonts w:ascii="Times New Roman;serif" w:hAnsi="Times New Roman;serif"/>
                  <w:b w:val="false"/>
                  <w:color w:val="0000FF"/>
                  <w:sz w:val="20"/>
                  <w:u w:val="single"/>
                </w:rPr>
                <w:t>Item 3.</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24">
              <w:r>
                <w:rPr>
                  <w:rStyle w:val="InternetLink"/>
                  <w:rFonts w:ascii="Times New Roman;serif" w:hAnsi="Times New Roman;serif"/>
                  <w:b w:val="false"/>
                  <w:color w:val="0000FF"/>
                  <w:sz w:val="20"/>
                  <w:u w:val="single"/>
                </w:rPr>
                <w:t>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24">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27">
              <w:r>
                <w:rPr>
                  <w:rStyle w:val="InternetLink"/>
                  <w:rFonts w:ascii="Times New Roman;serif" w:hAnsi="Times New Roman;serif"/>
                  <w:b w:val="false"/>
                  <w:color w:val="0000FF"/>
                  <w:sz w:val="20"/>
                  <w:u w:val="single"/>
                </w:rPr>
                <w:t>Item 4.</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27">
              <w:r>
                <w:rPr>
                  <w:rStyle w:val="InternetLink"/>
                  <w:rFonts w:ascii="Times New Roman;serif" w:hAnsi="Times New Roman;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27">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0">
              <w:r>
                <w:rPr>
                  <w:rStyle w:val="InternetLink"/>
                  <w:rFonts w:ascii="Times New Roman;serif" w:hAnsi="Times New Roman;serif"/>
                  <w:b w:val="false"/>
                  <w:color w:val="0000FF"/>
                  <w:sz w:val="20"/>
                  <w:u w:val="single"/>
                </w:rPr>
                <w:t>Item 5.</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0">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30">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3">
              <w:r>
                <w:rPr>
                  <w:rStyle w:val="InternetLink"/>
                  <w:rFonts w:ascii="Times New Roman;serif" w:hAnsi="Times New Roman;serif"/>
                  <w:b w:val="false"/>
                  <w:color w:val="0000FF"/>
                  <w:sz w:val="20"/>
                  <w:u w:val="single"/>
                </w:rPr>
                <w:t>Item 6.</w:t>
              </w:r>
            </w:hyperlink>
          </w:p>
        </w:tc>
        <w:tc>
          <w:tcPr>
            <w:tcW w:w="87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3">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33">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c2b5c231a34be8bb65126a577cd612_136">
              <w:r>
                <w:rPr>
                  <w:rStyle w:val="InternetLink"/>
                  <w:rFonts w:ascii="Times New Roman;serif" w:hAnsi="Times New Roman;serif"/>
                  <w:b w:val="false"/>
                  <w:color w:val="0000FF"/>
                  <w:sz w:val="20"/>
                  <w:u w:val="single"/>
                </w:rPr>
                <w:t>Signatures</w:t>
              </w:r>
            </w:hyperlink>
          </w:p>
        </w:tc>
        <w:tc>
          <w:tcPr>
            <w:tcW w:w="8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c2b5c231a34be8bb65126a577cd612_136">
              <w:r>
                <w:rPr>
                  <w:rStyle w:val="InternetLink"/>
                  <w:rFonts w:ascii="Times New Roman;serif" w:hAnsi="Times New Roman;serif"/>
                  <w:b w:val="false"/>
                  <w:strike w:val="false"/>
                  <w:dstrike w:val="false"/>
                  <w:color w:val="000000"/>
                  <w:sz w:val="20"/>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pStyle w:val="TextBody"/>
        <w:bidi w:val="0"/>
        <w:spacing w:lineRule="auto" w:line="276"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the current expectations of Zura Bio Limited (the “Company” or “Zura”) and its management and are inherently subject to uncertainties and changes in circumstances and their potential effects and speak only as of the date of such statements.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our expectations regarding our product candidates and their related benefits, and our beliefs regarding competing product candidates or approved products, may not be achieved;</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our vision and strategy may not be successful;</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the timing of key events and initiation of our studies and release of clinical data may take longer than anticipated or may not be achieved at all;</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expectations regarding the potential general acceptability and maintenance of our product candidates by regulatory authorities, payors, physicians, and patients may not be achieved;</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may be unable to attract and retain key personnel;</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expectations with respect to our future operating expenses, capital requirements and needs for additional financing may not be achieved;</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have not completed any clinical trials, and have no products approved for commercial sale;</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have incurred significant losses since inception, and expect to incur significant losses for the foreseeable future and may not be able to achieve or sustain profitability in the future;</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will continue to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be unable to renew existing contracts, enter into new contracts, or may experience disputes or other challenges with respect to our vendors or other third parties;</w:t>
      </w:r>
    </w:p>
    <w:p>
      <w:pPr>
        <w:pStyle w:val="TextBody"/>
        <w:bidi w:val="0"/>
        <w:spacing w:before="0" w:after="0"/>
        <w:jc w:val="left"/>
        <w:rPr/>
      </w:pPr>
      <w:r>
        <w:rPr/>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rely on third-party contract development manufacturing organizations for the manufacture of clinical materials;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rely on contract research organizations, clinical trial sites, and other third parties to conduct our preclinical studies and clinical trials;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may be unable to obtain regulatory approval for our product candidates, and there may be related restrictions or limitations of any approved products;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may be unable to successfully respond to general economic and geopolitical conditions;</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may be unable to effectively achieve or manage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 xml:space="preserve">we face competitive pressures from other companies worldwide; </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we may be unable to adequately protect our intellectual property rights; and</w:t>
      </w:r>
    </w:p>
    <w:p>
      <w:pPr>
        <w:pStyle w:val="TextBody"/>
        <w:bidi w:val="0"/>
        <w:spacing w:lineRule="auto" w:line="276" w:before="0" w:after="240"/>
        <w:ind w:left="0" w:right="0" w:hanging="360"/>
        <w:jc w:val="both"/>
        <w:rPr/>
      </w:pPr>
      <w:r>
        <w:rPr>
          <w:color w:val="000000"/>
        </w:rPr>
        <w:t>•</w:t>
      </w:r>
      <w:r>
        <w:rPr>
          <w:rFonts w:ascii="Times New Roman;serif" w:hAnsi="Times New Roman;serif"/>
          <w:b w:val="false"/>
          <w:color w:val="000000"/>
          <w:sz w:val="20"/>
        </w:rPr>
        <w:t>other factors set forth in documents filed, or to be filed, with the Securities and Exchange Commission (the “SEC”).</w:t>
      </w:r>
    </w:p>
    <w:p>
      <w:pPr>
        <w:pStyle w:val="TextBody"/>
        <w:bidi w:val="0"/>
        <w:spacing w:lineRule="auto" w:line="276"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discussion of the risks, uncertainties and other factors described above, as well as other risks material to our business, can be found under “Risk Factors” in Part I, Item 1A of our Annual Report on Form 10-K for the year ended December 31, 2025 (the “2025 Annual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pStyle w:val="TextBody"/>
        <w:bidi w:val="0"/>
        <w:spacing w:lineRule="auto" w:line="276" w:before="0" w:after="4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reasons described above, we caution you against relying on any forward-looking statements, which should also be read in conjunction with this Quarterly Report and the documents referenced within this Quarterly Report and the other cautionary statements that are included elsewhere in this Quarterly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57"/>
        <w:gridCol w:w="2375"/>
        <w:gridCol w:w="2308"/>
        <w:gridCol w:w="211"/>
        <w:gridCol w:w="826"/>
        <w:gridCol w:w="109"/>
        <w:gridCol w:w="109"/>
        <w:gridCol w:w="109"/>
        <w:gridCol w:w="109"/>
        <w:gridCol w:w="211"/>
        <w:gridCol w:w="826"/>
        <w:gridCol w:w="155"/>
      </w:tblGrid>
      <w:tr>
        <w:trPr/>
        <w:tc>
          <w:tcPr>
            <w:tcW w:w="28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109,407 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112,310 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213,403 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113,948 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Class A Ordinary Shares, $0.0001 par value; 300,000,000 shares authorized as of June 30, 2026 and December 31, 2025; 95,422,452 and 73,680,710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326,078 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(224,547)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t>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197,085 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101,538 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shareholders’ equity </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213,403 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113,948 </w:t>
            </w:r>
          </w:p>
        </w:tc>
        <w:tc>
          <w:tcPr>
            <w:tcW w:w="15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192" w:type="dxa"/>
        <w:jc w:val="center"/>
        <w:tblInd w:w="0" w:type="dxa"/>
        <w:tblLayout w:type="fixed"/>
        <w:tblCellMar>
          <w:top w:w="28" w:type="dxa"/>
          <w:left w:w="28" w:type="dxa"/>
          <w:bottom w:w="28" w:type="dxa"/>
          <w:right w:w="28" w:type="dxa"/>
        </w:tblCellMar>
      </w:tblPr>
      <w:tblGrid>
        <w:gridCol w:w="1683"/>
        <w:gridCol w:w="1481"/>
        <w:gridCol w:w="1486"/>
        <w:gridCol w:w="227"/>
        <w:gridCol w:w="796"/>
        <w:gridCol w:w="119"/>
        <w:gridCol w:w="109"/>
        <w:gridCol w:w="109"/>
        <w:gridCol w:w="109"/>
        <w:gridCol w:w="211"/>
        <w:gridCol w:w="796"/>
        <w:gridCol w:w="109"/>
        <w:gridCol w:w="109"/>
        <w:gridCol w:w="109"/>
        <w:gridCol w:w="109"/>
        <w:gridCol w:w="227"/>
        <w:gridCol w:w="796"/>
        <w:gridCol w:w="119"/>
        <w:gridCol w:w="109"/>
        <w:gridCol w:w="109"/>
        <w:gridCol w:w="109"/>
        <w:gridCol w:w="211"/>
        <w:gridCol w:w="796"/>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54,820 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37,316 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(29,321)</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(54,820)</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(37,316)</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(4,212)</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(26,385)</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(50,608)</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(26,304)</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(50,527)</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1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14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126,803,970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94,289,954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119,553,659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93,630,719</w:t>
            </w:r>
          </w:p>
        </w:tc>
      </w:tr>
    </w:tbl>
    <w:p>
      <w:pPr>
        <w:pStyle w:val="TextBody"/>
        <w:bidi w:val="0"/>
        <w:spacing w:lineRule="auto" w:line="288" w:before="0" w:after="24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Redeemable Noncontrolling Interest and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bl>
      <w:tblPr>
        <w:tblW w:w="10647" w:type="dxa"/>
        <w:jc w:val="left"/>
        <w:tblInd w:w="0" w:type="dxa"/>
        <w:tblLayout w:type="fixed"/>
        <w:tblCellMar>
          <w:top w:w="28" w:type="dxa"/>
          <w:left w:w="28" w:type="dxa"/>
          <w:bottom w:w="28" w:type="dxa"/>
          <w:right w:w="28" w:type="dxa"/>
        </w:tblCellMar>
      </w:tblPr>
      <w:tblGrid>
        <w:gridCol w:w="640"/>
        <w:gridCol w:w="220"/>
        <w:gridCol w:w="221"/>
        <w:gridCol w:w="331"/>
        <w:gridCol w:w="685"/>
        <w:gridCol w:w="185"/>
        <w:gridCol w:w="109"/>
        <w:gridCol w:w="109"/>
        <w:gridCol w:w="109"/>
        <w:gridCol w:w="109"/>
        <w:gridCol w:w="109"/>
        <w:gridCol w:w="109"/>
        <w:gridCol w:w="304"/>
        <w:gridCol w:w="304"/>
        <w:gridCol w:w="308"/>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331"/>
        <w:gridCol w:w="685"/>
        <w:gridCol w:w="185"/>
        <w:gridCol w:w="109"/>
        <w:gridCol w:w="109"/>
        <w:gridCol w:w="109"/>
        <w:gridCol w:w="205"/>
        <w:gridCol w:w="788"/>
        <w:gridCol w:w="163"/>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 xml:space="preserve">Equity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94,880,710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9</w:t>
            </w:r>
            <w:r>
              <w:rPr>
                <w:color w:val="000000"/>
              </w:rPr>
              <w:t>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465,657</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(248,770)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216,896</w:t>
            </w:r>
            <w:r>
              <w:rPr>
                <w:color w:val="000000"/>
              </w:rPr>
              <w:t>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for share option exercises and restricted stock units, net of shares withheld for taxes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Net loss </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(26,304)</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95,422,452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w:t>
            </w:r>
            <w:r>
              <w:rPr>
                <w:color w:val="000000"/>
              </w:rPr>
              <w:t>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472,149</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(275,074)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197,085</w:t>
            </w:r>
            <w:r>
              <w:rPr>
                <w:color w:val="000000"/>
              </w:rPr>
              <w:t> </w:t>
            </w:r>
          </w:p>
        </w:tc>
        <w:tc>
          <w:tcPr>
            <w:tcW w:w="1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bl>
      <w:tblPr>
        <w:tblW w:w="10647" w:type="dxa"/>
        <w:jc w:val="left"/>
        <w:tblInd w:w="0" w:type="dxa"/>
        <w:tblLayout w:type="fixed"/>
        <w:tblCellMar>
          <w:top w:w="28" w:type="dxa"/>
          <w:left w:w="28" w:type="dxa"/>
          <w:bottom w:w="28" w:type="dxa"/>
          <w:right w:w="28" w:type="dxa"/>
        </w:tblCellMar>
      </w:tblPr>
      <w:tblGrid>
        <w:gridCol w:w="640"/>
        <w:gridCol w:w="220"/>
        <w:gridCol w:w="221"/>
        <w:gridCol w:w="243"/>
        <w:gridCol w:w="821"/>
        <w:gridCol w:w="137"/>
        <w:gridCol w:w="109"/>
        <w:gridCol w:w="109"/>
        <w:gridCol w:w="109"/>
        <w:gridCol w:w="109"/>
        <w:gridCol w:w="109"/>
        <w:gridCol w:w="109"/>
        <w:gridCol w:w="304"/>
        <w:gridCol w:w="304"/>
        <w:gridCol w:w="308"/>
        <w:gridCol w:w="109"/>
        <w:gridCol w:w="109"/>
        <w:gridCol w:w="109"/>
        <w:gridCol w:w="241"/>
        <w:gridCol w:w="315"/>
        <w:gridCol w:w="135"/>
        <w:gridCol w:w="109"/>
        <w:gridCol w:w="109"/>
        <w:gridCol w:w="109"/>
        <w:gridCol w:w="196"/>
        <w:gridCol w:w="751"/>
        <w:gridCol w:w="109"/>
        <w:gridCol w:w="109"/>
        <w:gridCol w:w="109"/>
        <w:gridCol w:w="109"/>
        <w:gridCol w:w="196"/>
        <w:gridCol w:w="751"/>
        <w:gridCol w:w="109"/>
        <w:gridCol w:w="109"/>
        <w:gridCol w:w="109"/>
        <w:gridCol w:w="109"/>
        <w:gridCol w:w="268"/>
        <w:gridCol w:w="782"/>
        <w:gridCol w:w="151"/>
        <w:gridCol w:w="109"/>
        <w:gridCol w:w="109"/>
        <w:gridCol w:w="109"/>
        <w:gridCol w:w="205"/>
        <w:gridCol w:w="788"/>
        <w:gridCol w:w="163"/>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w:t>
              <w:b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 xml:space="preserve">Equity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2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11,663</w:t>
            </w:r>
            <w:r>
              <w:rPr>
                <w:color w:val="000000"/>
              </w:rPr>
              <w:t> </w:t>
            </w:r>
          </w:p>
        </w:tc>
        <w:tc>
          <w:tcPr>
            <w:tcW w:w="13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68,374,998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w:t>
            </w:r>
            <w:r>
              <w:rPr>
                <w:color w:val="000000"/>
              </w:rPr>
              <w:t>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311,532</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(173,339)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1,541</w:t>
            </w:r>
            <w:r>
              <w:rPr>
                <w:color w:val="000000"/>
              </w:rPr>
              <w:t> </w:t>
            </w:r>
          </w:p>
        </w:tc>
        <w:tc>
          <w:tcPr>
            <w:tcW w:w="1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139,741</w:t>
            </w:r>
            <w:r>
              <w:rPr>
                <w:color w:val="000000"/>
              </w:rPr>
              <w:t>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exchange for Class A Ordinary Shares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for restricted stock units, net of shares withheld for taxes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(15,993)</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Balance as of June 30, 2025</w:t>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shd w:fill="FFFFFF" w:val="clear"/>
              </w:rPr>
              <w:t>11,663</w:t>
            </w:r>
            <w:r>
              <w:rPr>
                <w:color w:val="000000"/>
                <w:shd w:fill="FFFFFF" w:val="clear"/>
              </w:rPr>
              <w:t>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shd w:fill="FFFFFF" w:val="clear"/>
              </w:rPr>
            </w:pPr>
            <w:r>
              <w:rPr>
                <w:rFonts w:ascii="Times New Roman;serif" w:hAnsi="Times New Roman;serif"/>
                <w:b/>
                <w:color w:val="000000"/>
                <w:sz w:val="16"/>
                <w:shd w:fill="FFFFFF" w:val="clear"/>
              </w:rPr>
              <w:t>62,064,270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shd w:fill="FFFFFF" w:val="clear"/>
              </w:rPr>
              <w:t>6</w:t>
            </w:r>
            <w:r>
              <w:rPr>
                <w:color w:val="000000"/>
                <w:shd w:fill="FFFFFF" w:val="clear"/>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shd w:fill="FFFFFF" w:val="clear"/>
              </w:rPr>
              <w:t>315,231</w:t>
            </w:r>
            <w:r>
              <w:rPr>
                <w:color w:val="000000"/>
                <w:shd w:fill="FFFFFF" w:val="clear"/>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shd w:fill="FFFFFF" w:val="clear"/>
              </w:rPr>
            </w:pPr>
            <w:r>
              <w:rPr>
                <w:rFonts w:ascii="Times New Roman;serif" w:hAnsi="Times New Roman;serif"/>
                <w:b/>
                <w:color w:val="000000"/>
                <w:sz w:val="16"/>
                <w:shd w:fill="FFFFFF" w:val="clear"/>
              </w:rPr>
              <w:t>(189,332)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shd w:fill="FFFFFF" w:val="clear"/>
              </w:rPr>
              <w:t>1,541</w:t>
            </w:r>
            <w:r>
              <w:rPr>
                <w:color w:val="000000"/>
                <w:shd w:fill="FFFFFF" w:val="clear"/>
              </w:rPr>
              <w:t>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shd w:fill="FFFFFF" w:val="clear"/>
              </w:rPr>
              <w:t>127,446</w:t>
            </w:r>
            <w:r>
              <w:rPr>
                <w:color w:val="000000"/>
                <w:shd w:fill="FFFFFF" w:val="clear"/>
              </w:rPr>
              <w:t>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Redeemable Noncontrolling Interest and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bl>
      <w:tblPr>
        <w:tblW w:w="10647" w:type="dxa"/>
        <w:jc w:val="center"/>
        <w:tblInd w:w="0" w:type="dxa"/>
        <w:tblLayout w:type="fixed"/>
        <w:tblCellMar>
          <w:top w:w="28" w:type="dxa"/>
          <w:left w:w="28" w:type="dxa"/>
          <w:bottom w:w="28" w:type="dxa"/>
          <w:right w:w="28" w:type="dxa"/>
        </w:tblCellMar>
      </w:tblPr>
      <w:tblGrid>
        <w:gridCol w:w="544"/>
        <w:gridCol w:w="268"/>
        <w:gridCol w:w="269"/>
        <w:gridCol w:w="331"/>
        <w:gridCol w:w="685"/>
        <w:gridCol w:w="185"/>
        <w:gridCol w:w="109"/>
        <w:gridCol w:w="109"/>
        <w:gridCol w:w="109"/>
        <w:gridCol w:w="109"/>
        <w:gridCol w:w="109"/>
        <w:gridCol w:w="109"/>
        <w:gridCol w:w="304"/>
        <w:gridCol w:w="304"/>
        <w:gridCol w:w="308"/>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331"/>
        <w:gridCol w:w="685"/>
        <w:gridCol w:w="185"/>
        <w:gridCol w:w="109"/>
        <w:gridCol w:w="109"/>
        <w:gridCol w:w="109"/>
        <w:gridCol w:w="205"/>
        <w:gridCol w:w="788"/>
        <w:gridCol w:w="163"/>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73,680,710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w:t>
            </w:r>
            <w:r>
              <w:rPr>
                <w:color w:val="000000"/>
              </w:rPr>
              <w:t>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326,078</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(224,547)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101,538</w:t>
            </w:r>
            <w:r>
              <w:rPr>
                <w:color w:val="000000"/>
              </w:rPr>
              <w:t>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in connection with the February 2026 Equity Offering, net of $8.5 million of underwriters’ fees and discounts and transaction costs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123,371 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connection with the February 2026 Equity Offering, net of $0.7 million of underwriters’ fees and discounts and transaction costs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11,202 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for share option exercises and restricted stock units, net of shares withheld for taxes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9,465 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(50,527)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95,422,452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10</w:t>
            </w:r>
            <w:r>
              <w:rPr>
                <w:color w:val="000000"/>
              </w:rPr>
              <w:t>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472,149</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(275,074)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197,085</w:t>
            </w:r>
            <w:r>
              <w:rPr>
                <w:color w:val="000000"/>
              </w:rPr>
              <w:t> </w:t>
            </w:r>
          </w:p>
        </w:tc>
        <w:tc>
          <w:tcPr>
            <w:tcW w:w="1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bl>
      <w:tblPr>
        <w:tblW w:w="10925" w:type="dxa"/>
        <w:jc w:val="center"/>
        <w:tblInd w:w="0" w:type="dxa"/>
        <w:tblLayout w:type="fixed"/>
        <w:tblCellMar>
          <w:top w:w="28" w:type="dxa"/>
          <w:left w:w="28" w:type="dxa"/>
          <w:bottom w:w="28" w:type="dxa"/>
          <w:right w:w="28" w:type="dxa"/>
        </w:tblCellMar>
      </w:tblPr>
      <w:tblGrid>
        <w:gridCol w:w="544"/>
        <w:gridCol w:w="268"/>
        <w:gridCol w:w="269"/>
        <w:gridCol w:w="243"/>
        <w:gridCol w:w="821"/>
        <w:gridCol w:w="137"/>
        <w:gridCol w:w="109"/>
        <w:gridCol w:w="109"/>
        <w:gridCol w:w="109"/>
        <w:gridCol w:w="109"/>
        <w:gridCol w:w="109"/>
        <w:gridCol w:w="109"/>
        <w:gridCol w:w="443"/>
        <w:gridCol w:w="443"/>
        <w:gridCol w:w="308"/>
        <w:gridCol w:w="109"/>
        <w:gridCol w:w="109"/>
        <w:gridCol w:w="109"/>
        <w:gridCol w:w="241"/>
        <w:gridCol w:w="315"/>
        <w:gridCol w:w="135"/>
        <w:gridCol w:w="109"/>
        <w:gridCol w:w="109"/>
        <w:gridCol w:w="109"/>
        <w:gridCol w:w="196"/>
        <w:gridCol w:w="751"/>
        <w:gridCol w:w="109"/>
        <w:gridCol w:w="109"/>
        <w:gridCol w:w="109"/>
        <w:gridCol w:w="109"/>
        <w:gridCol w:w="196"/>
        <w:gridCol w:w="751"/>
        <w:gridCol w:w="109"/>
        <w:gridCol w:w="109"/>
        <w:gridCol w:w="109"/>
        <w:gridCol w:w="109"/>
        <w:gridCol w:w="268"/>
        <w:gridCol w:w="782"/>
        <w:gridCol w:w="151"/>
        <w:gridCol w:w="109"/>
        <w:gridCol w:w="109"/>
        <w:gridCol w:w="109"/>
        <w:gridCol w:w="205"/>
        <w:gridCol w:w="788"/>
        <w:gridCol w:w="163"/>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 A</w:t>
              <w:b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2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11,663</w:t>
            </w:r>
            <w:r>
              <w:rPr>
                <w:color w:val="000000"/>
              </w:rPr>
              <w:t> </w:t>
            </w:r>
          </w:p>
        </w:tc>
        <w:tc>
          <w:tcPr>
            <w:tcW w:w="13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65,297,530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7</w:t>
            </w:r>
            <w:r>
              <w:rPr>
                <w:color w:val="000000"/>
              </w:rPr>
              <w:t>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302,705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(155,897)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1,541</w:t>
            </w:r>
            <w:r>
              <w:rPr>
                <w:color w:val="000000"/>
              </w:rPr>
              <w:t> </w:t>
            </w:r>
          </w:p>
        </w:tc>
        <w:tc>
          <w:tcPr>
            <w:tcW w:w="15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148,356</w:t>
            </w:r>
            <w:r>
              <w:rPr>
                <w:color w:val="000000"/>
              </w:rPr>
              <w:t> </w:t>
            </w:r>
          </w:p>
        </w:tc>
        <w:tc>
          <w:tcPr>
            <w:tcW w:w="1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in connection with a sale under the ATM, net of $0.2 million of commissions</w:t>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63"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Pre-Funded Warrants in exchange for Class A Ordinary Shares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(6,500,000)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for share option exercises and restricted stock units, net of shares withheld for taxes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7,376 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(33,435)</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24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11,663</w:t>
            </w:r>
            <w:r>
              <w:rPr>
                <w:color w:val="000000"/>
              </w:rPr>
              <w:t> </w:t>
            </w:r>
          </w:p>
        </w:tc>
        <w:tc>
          <w:tcPr>
            <w:tcW w:w="1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6" w:space="0" w:color="000000"/>
              <w:left w:val="single" w:sz="6"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62,064,270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6</w:t>
            </w:r>
            <w:r>
              <w:rPr>
                <w:color w:val="000000"/>
              </w:rPr>
              <w:t>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315,231</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(189,332)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1,541</w:t>
            </w:r>
            <w:r>
              <w:rPr>
                <w:color w:val="000000"/>
              </w:rPr>
              <w:t> </w:t>
            </w:r>
          </w:p>
        </w:tc>
        <w:tc>
          <w:tcPr>
            <w:tcW w:w="1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6"/>
              </w:rPr>
              <w:t>127,446</w:t>
            </w:r>
            <w:r>
              <w:rPr>
                <w:color w:val="000000"/>
              </w:rPr>
              <w:t> </w:t>
            </w:r>
          </w:p>
        </w:tc>
        <w:tc>
          <w:tcPr>
            <w:tcW w:w="1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849"/>
        <w:gridCol w:w="2450"/>
        <w:gridCol w:w="2472"/>
        <w:gridCol w:w="195"/>
        <w:gridCol w:w="701"/>
        <w:gridCol w:w="117"/>
        <w:gridCol w:w="117"/>
        <w:gridCol w:w="117"/>
        <w:gridCol w:w="117"/>
        <w:gridCol w:w="195"/>
        <w:gridCol w:w="701"/>
        <w:gridCol w:w="174"/>
      </w:tblGrid>
      <w:tr>
        <w:trPr/>
        <w:tc>
          <w:tcPr>
            <w:tcW w:w="284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For the Six Months Ended June 30,</w:t>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Cash flows from operating activities</w:t>
            </w:r>
          </w:p>
        </w:tc>
        <w:tc>
          <w:tcPr>
            <w:tcW w:w="101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Net loss </w:t>
            </w:r>
          </w:p>
        </w:tc>
        <w:tc>
          <w:tcPr>
            <w:tcW w:w="1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(50,527)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(33,435)</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loss to net cash used in operating activities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9,465 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7,376 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income taxes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(2,753)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Foreign exchange transaction loss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Loss on disposal of property and equipment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Changes in operating assets and liabilities: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 and other current assets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(1,343)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(249)</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1,511 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accrued expenses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3,740 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(872)</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used in operating activities</w:t>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(39,824)</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(27,093)</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Cash flows from investing activities</w:t>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property and equipment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(64)</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used in investing activities</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(37)</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(64)</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Cash flows from financing activities</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15"/>
              </w:rPr>
            </w:pPr>
            <w:r>
              <w:rPr>
                <w:rFonts w:ascii="Times New Roman;serif" w:hAnsi="Times New Roman;serif"/>
                <w:b w:val="false"/>
                <w:color w:val="000000"/>
                <w:sz w:val="15"/>
              </w:rPr>
              <w:t>Proceeds from issuance of Class A Ordinary Shares in connection with February 2026 Equity Offering, net of $8.5 million of underwriters’ fees and discounts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123,371 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15"/>
              </w:rPr>
            </w:pPr>
            <w:r>
              <w:rPr>
                <w:rFonts w:ascii="Times New Roman;serif" w:hAnsi="Times New Roman;serif"/>
                <w:b w:val="false"/>
                <w:color w:val="000000"/>
                <w:sz w:val="15"/>
              </w:rPr>
              <w:t>Proceeds from issuance of Pre-Funded Warrants in connection with February 2026 Equity Offering, net of $0.7 million of underwriters’ fees and discounts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11,202 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15"/>
              </w:rPr>
            </w:pPr>
            <w:r>
              <w:rPr>
                <w:rFonts w:ascii="Times New Roman;serif" w:hAnsi="Times New Roman;serif"/>
                <w:b w:val="false"/>
                <w:color w:val="000000"/>
                <w:sz w:val="15"/>
              </w:rPr>
              <w:t>Proceeds from issuance of Class A Ordinary Shares in connection with a sale under the ATM, net of $0.2 million of commissions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5,093 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Payment of employee withholding taxes for restricted stock units withheld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exercise of stock options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90 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Net cash provided by financing activities </w:t>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135,588 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5,149 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cash and cash equivalents</w:t>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95,727 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(22,008)</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beginning of period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109,407 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176,498 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end of period</w:t>
            </w:r>
          </w:p>
        </w:tc>
        <w:tc>
          <w:tcPr>
            <w:tcW w:w="19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205,134 </w:t>
            </w:r>
          </w:p>
        </w:tc>
        <w:tc>
          <w:tcPr>
            <w:tcW w:w="11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154,490 </w:t>
            </w:r>
          </w:p>
        </w:tc>
        <w:tc>
          <w:tcPr>
            <w:tcW w:w="17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Supplemental Disclosure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taxes</w:t>
            </w:r>
          </w:p>
        </w:tc>
        <w:tc>
          <w:tcPr>
            <w:tcW w:w="1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interest</w:t>
            </w:r>
          </w:p>
        </w:tc>
        <w:tc>
          <w:tcPr>
            <w:tcW w:w="1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Supplemental Disclosure of Non-Cash Investing and Financing Activities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Purchase of property and equipment included in accounts payable and accrued expenses</w:t>
            </w:r>
          </w:p>
        </w:tc>
        <w:tc>
          <w:tcPr>
            <w:tcW w:w="1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12 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Restricted stock units withheld to pay employee withholding taxes</w:t>
            </w:r>
          </w:p>
        </w:tc>
        <w:tc>
          <w:tcPr>
            <w:tcW w:w="1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Stock option exercise proceeds receivable</w:t>
            </w:r>
          </w:p>
        </w:tc>
        <w:tc>
          <w:tcPr>
            <w:tcW w:w="1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Zura Bio Limited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(Dollar figures in tables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Zura Bio Limited, a Cayman Islands exempted company, together with its subsidiaries (collectively, the “Company” or “Zura”), is a clinical-stage biotechnology company developing novel and differentiated medicines for patients with autoimmune and inflammatory diseases, including serious and debilitating conditions with significant unmet medical need. These diseases are often chronic and biologically complex, and many patients do not achieve durable disease control with currently available therapies. The Company’s strategic focus is to identify immune-mediated diseases in which translational and clinical evidence supports the role of specific biological pathways in disease pathogenesis. The Company is currently developing its lead product candidate in ongoing Phase 2 trials while evaluating development opportunities for its clinical-stage assets, focusing on indications with unmet needs and commercial potential.</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Company’s unaudited condensed consolidated financial statements (the “condensed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will no longer be an emerging growth company effective December 31, 2026.</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incurred operating losses since inception and expects to continue to incur significant operating losses for the foreseeable future and may never become profitable. The Company had an accumulated deficit of $275.1 million and $224.5 million as of June 30, 2026 and December 31, 2025, respectively, and a net loss of $26.3 million and $50.5 million for the three and six months ended June 30, 2026, respectively. The Company’s existing sources of liquidity as of June 30, 2026 include $205.1 million in 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relied primarily on public and private equity financings to fund operations. The Company’s cash requirements include, but are not limited to, clinical development, product candidate manufacturing costs, and working capital requirements. The Company expects that such operating losses and negative cash flows from operations will continue for the foreseeable future but has sufficient liquidity to fund its operations over the next twelve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in conformity with accounting principles generally accepted in the United States of America (“U.S. GAAP”) and include the accounts of its consolidated subsidiaries. In comparative periods, where applicable, other shareholders’ interests in the Company’s subsidiaries, Z33 Bio, Inc. (“Z33”) and ZB17 LLC (“ZB17”), are shown in the condensed consolidated financial statements as redeemable noncontrolling interest and noncontrolling interest, respectively. All intercompany balances and transactions have been eliminated in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are presented in accordance with the rules and regulations of the Securities and Exchange Commission (the “SEC”) and do not include all disclosures normally required in annual consolidated financial statements prepared in accordance with U.S. GAAP. As such, the information included herein should be read in conjunction with the Company’s consolidated financial statements and accompanying notes as of and for the year ended December 31, 2025 (the “audited consolidated financial statements”) that were included in the Company’s Form 10-K filed with the SEC on March 19, 2026 (the “Annual Report”). In management’s opinion, these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financial statements have been prepared on the same basis as the audited consolidated financial statements and reflect all adjustments, which include normal recurring adjustments, necessary for the fair statement of the Company’s financial position as of June 30, 2026 and the results of operations for the three and six months ended June 30, 2026 and 2025. The results of operations for the three and six months ended June 30, 2026 are not necessarily indicative of the results to be expected for the full year ending December 31, 2026 or any other future interim or annual period.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significant accounting policies from those that were disclosed in Note 2, Summary of Significant Accounting Policies, included in the audited consolidated financial statements in the Company’s Annual Report.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the Company’s management to make estimates and assumptions that affect the reported amounts of assets and liabilities and disclosure of contingent assets and liabilities at the date of the condensed consolidated financial statements, as well as the reported amounts of expenses during the reporting period. Actual results could differ from those estimates. Significant estimates and assumptions reflected in the condensed consolidated financial statements relate to and include, but are not limited to, accrued research and development expenses, the fair value of share-based compensation, the fair value of redeemable noncontrolling interest, and the valuation allowance of deferred tax assets resulting from net operating losses.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clinical manufacturing to commercial production of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product candidates will require approvals from the United States Food and Drug Administration (“FDA”) and comparable foreign regulatory agencies prior to commercial sales in their respective jurisdictions. There can be no assurance that any product candidate will receive the necessary approvals. If the Company was denied approval, approval was delayed or the Company was unable to maintain approval for any product candidate, it could have a material adverse impact on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 its operations and manage its business in one operating segment, developing novel medicines for immune and inflammatory disorders. The Company has business activities in different regions that are managed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Company’s segment are the same as those described within this footnote. The CODM uses net loss, that is reported in the condensed consolidated statements of operations, to assess performance for the Company’s segment and decide how to allocate resources. The measure of segment assets is reported on the condensed consolidated balance sheets as total consolidated assets. The following table represents information provided to the CODM:</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21"/>
        <w:gridCol w:w="1592"/>
        <w:gridCol w:w="160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SSc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HS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program general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product candidates (torudokimab and crebankitug)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include depreciation and amortization, income tax benefit, interest income, and other income net.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R&amp;D Incentive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eligible to obtain certain R&amp;D incentive credits (the “R&amp;D Credits”), through participation in the United Kingdom’s (“U.K.”) R&amp;D Small and Medium Enterprise and the Research and Development Expenditure Credit tax relief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R&amp;D Credits are calculated as a percentage of qualifying R&amp;D expenses incurred as part of research projects. The R&amp;D Credits are used as tax credits for the Company with the resulting amount being payable in cash by the U.K. government (tax authority) to the Company. The R&amp;D Credits are subject to future audits by the U.K. tax authority within defined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incentive credits are administered through the local tax authority, the Company has accounted for the incentives outside of the scope of FASB Accounting Standards Codification Topic 740, Income Taxes,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Accounting for Government Grants and Disclosure of Government Assistance.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IAS 20, the Company will recognize the R&amp;D Credits when it has reasonable assurance that the R&amp;D Credits will be received. As the Company has only filed two claims under the tax relief programs as of June 30, 2026, it has determined that reasonable assurance will be met upon cash receipt. The Company received the first claim in May 2025. In April 2025, the Company filed a second claim for an R&amp;D Credit for $1.0 million that was received during the three months ended June 30, 2026 and recorded in other income, net within the Company's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by the weighted-average number of the Company's Class A ordinary shares (“Class A Ordinary Shares”) and pre-funded warrants outstanding during the period. The pre-funded warrants are included in the computation of basic and diluted net loss per ordinary share as the exercise price is negligible and the pre-funded warrants are fully vested and exercisable. Basic and diluted net loss per share were the same for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period presented as the inclusion of all potentially dilutive securities outstanding would have been anti-dilutive due to the Company’s net loss.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provides potentially dilutive securities not included in the calculation of the diluted net loss per share as of the periods presented because to do so would be anti-dilutive:</w:t>
      </w:r>
    </w:p>
    <w:tbl>
      <w:tblPr>
        <w:tblW w:w="9218" w:type="dxa"/>
        <w:jc w:val="left"/>
        <w:tblInd w:w="0" w:type="dxa"/>
        <w:tblLayout w:type="fixed"/>
        <w:tblCellMar>
          <w:top w:w="28" w:type="dxa"/>
          <w:left w:w="28" w:type="dxa"/>
          <w:bottom w:w="28" w:type="dxa"/>
          <w:right w:w="28" w:type="dxa"/>
        </w:tblCellMar>
      </w:tblPr>
      <w:tblGrid>
        <w:gridCol w:w="2299"/>
        <w:gridCol w:w="2027"/>
        <w:gridCol w:w="2034"/>
        <w:gridCol w:w="540"/>
        <w:gridCol w:w="541"/>
        <w:gridCol w:w="156"/>
        <w:gridCol w:w="109"/>
        <w:gridCol w:w="109"/>
        <w:gridCol w:w="109"/>
        <w:gridCol w:w="540"/>
        <w:gridCol w:w="541"/>
        <w:gridCol w:w="213"/>
      </w:tblGrid>
      <w:tr>
        <w:trPr/>
        <w:tc>
          <w:tcPr>
            <w:tcW w:w="229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options to purchase Class A Ordinary Shares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18,410,564 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14,666,538 </w:t>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Z33 Series Seed Preferred Shares Put Right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vesting of restricted share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639,532 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18,858,455 </w:t>
            </w:r>
          </w:p>
        </w:tc>
        <w:tc>
          <w:tcPr>
            <w:tcW w:w="1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17,556,067 </w:t>
            </w:r>
          </w:p>
        </w:tc>
        <w:tc>
          <w:tcPr>
            <w:tcW w:w="2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jc w:val="left"/>
        <w:rPr/>
      </w:pPr>
      <w:r>
        <w:rPr>
          <w:rFonts w:ascii="Times New Roman;serif" w:hAnsi="Times New Roman;serif"/>
          <w:b w:val="false"/>
          <w:color w:val="000000"/>
          <w:sz w:val="20"/>
        </w:rPr>
        <w:t xml:space="preserve">Interim income tax provision is calculated in accordance with ASC Topic 270, </w:t>
      </w:r>
      <w:r>
        <w:rPr>
          <w:rFonts w:ascii="Times New Roman;serif" w:hAnsi="Times New Roman;serif"/>
          <w:b w:val="false"/>
          <w:i/>
          <w:color w:val="000000"/>
          <w:sz w:val="20"/>
        </w:rPr>
        <w:t>Interim Reporting</w:t>
      </w:r>
      <w:r>
        <w:rPr>
          <w:rFonts w:ascii="Times New Roman;serif" w:hAnsi="Times New Roman;serif"/>
          <w:b w:val="false"/>
          <w:color w:val="000000"/>
          <w:sz w:val="20"/>
        </w:rPr>
        <w:t xml:space="preserve">, and ASC Topic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At the end of each interim period, the Company estimates the annual effective tax rate and applies that rate to the Company's ordinary year to date earnings. In addition, the tax effects of unusual or infrequently occurring items including changes in judgment about valuation allowances and effects of changes in enacted tax laws are recognized discretely in the interim period in which the change occurs. The computation of the annual estimated effective tax rate at each interim period requires certain estimates and significant judgment including the expected operating income for the year, permanent and temporary differences as a result of differences between amounts measured and recognized in accordance with tax laws and financial accounting standards, and the likelihood of recovering deferred tax assets generated in the current fiscal year. The accounting estimates used to compute income tax benefit may change as new events occur, additional information is obtained, or the tax environment changes.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benefit for income taxes for the three and six months ended June 30, 2026 was $0.1 million and $0.1 million, respectively, yielding effective tax rates of 0.3% and 0.2%, respectively. The Company did not record a provision for income taxes for the three and six months ended June 30, 2025, as the Company maintained a full valuation allowance against its net deferred tax assets during those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and six months ended June 30, 2026 differs from the U.S. federal statutory rate of 21% primarily as a result of (i) no income tax benefit recognized on current-year U.S. operating losses, as the Company continues to maintain a full valuation allowance against its U.S. deferred tax assets based on the weight of available objective evidence, and (ii) an income tax benefit of $0.1 million related to the Company's United Kingdom operations, consisting of tax expense on current and prior year U.K. operating income, partially offset by a discrete tax benefit recognized upon the reversal of the Company's valuation allowance against its U.K. deferred tax assets, as the Company concluded during the three months ended June 30, 2026 that those assets became realizable on a more-likely-than-not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results of operations, or cash flows upon adoption.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Standards Update (“ASU”) 2024-03, Income Statement—Reporting Comprehensive Income—Expense Disaggregation Disclosures (Subtopic 220-40): Disaggregation of Income Statement Expenses. This ASU requires disclosure in the notes 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Government Grants (Topic 832): Accounting for Government Grants Received by Business Entities, which establishes guidance on the recognition, measurement, and presentation of government grants received by business entities. The amendments in ASU 2025-10 are effective for annual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periods beginning after December 15, 2028, and interim reporting periods within those annual reporting periods, with early adoption permitted. The guidance can be applied under a modified prospective approach, a modified retrospective approach, or a full retrospective approach. The Company is currently assessing the impact of the adoption of this guidance on its condensed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pStyle w:val="TextBody"/>
        <w:bidi w:val="0"/>
        <w:spacing w:lineRule="auto" w:line="288" w:before="0" w:after="240"/>
        <w:jc w:val="both"/>
        <w:rPr/>
      </w:pPr>
      <w:r>
        <w:rPr>
          <w:rFonts w:ascii="Times New Roman;serif" w:hAnsi="Times New Roman;serif"/>
          <w:b/>
          <w:color w:val="000000"/>
          <w:sz w:val="20"/>
        </w:rPr>
        <w:t>Level 1:</w:t>
      </w:r>
      <w:r>
        <w:rPr>
          <w:color w:val="000000"/>
        </w:rPr>
        <w:t xml:space="preserve"> </w:t>
      </w:r>
      <w:r>
        <w:rPr>
          <w:rFonts w:ascii="Times New Roman;serif" w:hAnsi="Times New Roman;serif"/>
          <w:b w:val="false"/>
          <w:color w:val="000000"/>
          <w:sz w:val="20"/>
        </w:rPr>
        <w:t>Inputs are unadjusted, quoted prices in active markets for identical assets or liabilities at the measurement date;</w:t>
      </w:r>
    </w:p>
    <w:p>
      <w:pPr>
        <w:pStyle w:val="TextBody"/>
        <w:bidi w:val="0"/>
        <w:spacing w:lineRule="auto" w:line="288" w:before="0" w:after="240"/>
        <w:jc w:val="both"/>
        <w:rPr/>
      </w:pPr>
      <w:r>
        <w:rPr>
          <w:rFonts w:ascii="Times New Roman;serif" w:hAnsi="Times New Roman;serif"/>
          <w:b/>
          <w:color w:val="000000"/>
          <w:sz w:val="20"/>
        </w:rPr>
        <w:t>Level 2:</w:t>
      </w:r>
      <w:r>
        <w:rPr>
          <w:color w:val="000000"/>
        </w:rPr>
        <w:t xml:space="preserve"> </w:t>
      </w:r>
      <w:r>
        <w:rPr>
          <w:rFonts w:ascii="Times New Roman;serif" w:hAnsi="Times New Roman;serif"/>
          <w:b w:val="false"/>
          <w:color w:val="000000"/>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0" w:after="240"/>
        <w:jc w:val="both"/>
        <w:rPr/>
      </w:pPr>
      <w:r>
        <w:rPr>
          <w:rFonts w:ascii="Times New Roman;serif" w:hAnsi="Times New Roman;serif"/>
          <w:b/>
          <w:color w:val="000000"/>
          <w:sz w:val="20"/>
        </w:rPr>
        <w:t>Level 3:</w:t>
      </w:r>
      <w:r>
        <w:rPr>
          <w:color w:val="000000"/>
        </w:rPr>
        <w:t xml:space="preserve"> </w:t>
      </w:r>
      <w:r>
        <w:rPr>
          <w:rFonts w:ascii="Times New Roman;serif" w:hAnsi="Times New Roman;serif"/>
          <w:b w:val="false"/>
          <w:color w:val="000000"/>
          <w:sz w:val="20"/>
        </w:rPr>
        <w:t>Unobservable inputs that are significant to the measurement of the fair value of the assets or liabilities that are supported by little or no market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Financial instruments consist of cash and cash equivalents, prepaid and other current assets, and accounts payable and accrued expenses. The carrying values of the Company’s cash, prepaid and other current assets, and accounts payable and accrued expenses approximate their fair value due to the short-term maturity of these instruments.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presents information about the Company’s financial assets and liabilities measured at fair value on a recurring basis as of June 30, 2026 and December 31, 2025, and the fair value hierarchy of the valuation techniques utilized:</w:t>
      </w:r>
    </w:p>
    <w:tbl>
      <w:tblPr>
        <w:tblW w:w="6284"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195,505 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84"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106,310 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1, Level 2, or Level 3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Accounts Payable and Accrued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76" w:before="0" w:after="44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is comprised of the following as of June 30, 2026 and December 31, 2025:</w:t>
      </w:r>
    </w:p>
    <w:tbl>
      <w:tblPr>
        <w:tblW w:w="6806" w:type="dxa"/>
        <w:jc w:val="center"/>
        <w:tblInd w:w="0" w:type="dxa"/>
        <w:tblLayout w:type="fixed"/>
        <w:tblCellMar>
          <w:top w:w="28" w:type="dxa"/>
          <w:left w:w="28" w:type="dxa"/>
          <w:bottom w:w="28" w:type="dxa"/>
          <w:right w:w="28" w:type="dxa"/>
        </w:tblCellMar>
      </w:tblPr>
      <w:tblGrid>
        <w:gridCol w:w="1381"/>
        <w:gridCol w:w="1211"/>
        <w:gridCol w:w="1218"/>
        <w:gridCol w:w="228"/>
        <w:gridCol w:w="779"/>
        <w:gridCol w:w="117"/>
        <w:gridCol w:w="109"/>
        <w:gridCol w:w="109"/>
        <w:gridCol w:w="109"/>
        <w:gridCol w:w="300"/>
        <w:gridCol w:w="1026"/>
        <w:gridCol w:w="219"/>
      </w:tblGrid>
      <w:tr>
        <w:trPr/>
        <w:tc>
          <w:tcPr>
            <w:tcW w:w="138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expenses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License Agreements</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2023 Lilly License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26, 2023, ZB17 entered into a license agreement with Lilly (the “2023 Lilly License”) for an exclusive license to develop, manufacture and commercialize tibulizumab. </w:t>
      </w:r>
    </w:p>
    <w:p>
      <w:pPr>
        <w:pStyle w:val="TextBody"/>
        <w:bidi w:val="0"/>
        <w:spacing w:before="0" w:after="0"/>
        <w:jc w:val="left"/>
        <w:rPr/>
      </w:pPr>
      <w:r>
        <w:rPr/>
      </w:r>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make payments to Lilly (a) for 4 development milestone payments up to an aggregate of $155.0 million, and sales milestone payments up to an aggregate of $440.0 million based on respective thresholds of net sales of products developed from tibulizumab; and (b) over a multi-year period (twelve years, or upon the later expiration of regulatory exclusivity of tibulizumab in a country) for an annual earned royalty at a marginal royalty rate in the mid-single digits to low-double digits, with increasing royalty percentage rates depending on net sales in the respective calendar year, based on a percentage of sales within varying thresholds for a certain period of years (collectively, the “2023 Lilly Contingent Payments”). As of June 30, 2026, none of the 2023 Lilly Contingent Payments are due and accordingly will not be recorded in the Company’s financial statements until they are due.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2022 Lilly License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8, 2022, the Company’s consolidated subsidiary, Z33, entered into a license agreement with Lilly pursuant to which Lilly granted Z33 an exclusive (even as to Lilly) license to develop, manufacture, and commercialize torudokimab.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compound, if any; and (b) an annual earned royalty at a marginal royalty rate in the mid-single to low-double digits, with increasing royalty percentage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June 30, 2026, none of the 2022 Lilly Contingent Payments are due and accordingly will not be recorded in the Company’s financial statements until they are due.</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Pfizer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22, 2022, the Company entered into a license agreement and a Series A-1 Subscription and Shareholder’s Agreement (collectively, the “Pfizer Agreement”) with Pfizer. Under the Pfizer Agreement, the Company acquired a license for crebankitug.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make payments to Pfizer for (a)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As of June 30, 2026, none of the Pfizer Contingent Payments are due and accordingly will not be recorded in the Company’s financial statements until they are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before="0" w:after="0"/>
        <w:jc w:val="left"/>
        <w:rPr/>
      </w:pPr>
      <w:r>
        <w:rPr/>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Lonza License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pStyle w:val="TextBody"/>
        <w:bidi w:val="0"/>
        <w:spacing w:before="0" w:after="0"/>
        <w:jc w:val="both"/>
        <w:rPr/>
      </w:pPr>
      <w:r>
        <w:rPr/>
      </w:r>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Lonza License, the Company has a license fee of $0.4 million due to Lonza annually in the fourth quarter as a result of manufacturing drug substance with a third party other than Lonza since 2023. </w:t>
      </w:r>
    </w:p>
    <w:p>
      <w:pPr>
        <w:pStyle w:val="TextBody"/>
        <w:bidi w:val="0"/>
        <w:spacing w:lineRule="auto" w:line="288" w:before="0" w:after="220"/>
        <w:jc w:val="both"/>
        <w:rPr>
          <w:rFonts w:ascii="Times New Roman;serif" w:hAnsi="Times New Roman;serif"/>
          <w:b/>
          <w:i/>
          <w:color w:val="000000"/>
          <w:sz w:val="20"/>
        </w:rPr>
      </w:pPr>
      <w:r>
        <w:rPr>
          <w:rFonts w:ascii="Times New Roman;serif" w:hAnsi="Times New Roman;serif"/>
          <w:b/>
          <w:i/>
          <w:color w:val="000000"/>
          <w:sz w:val="20"/>
        </w:rPr>
        <w:t>WuXi Biologics License</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2023, the Company entered into a cell line license agreement (the “Cell Line License Agreement”) with WuXi Biologics and its Affiliates (“WuXi Biologics”) for certain of WuXi Biologics’s know-how, cell line, and biological materials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(a) by the Company upon three months’ prior written notice and its payment of all undisputed amounts due to WuXi Biologics through the effective date of termination, (b) by WuXi Biologics for a material breach by the Company that remains uncured for 30 days after written notice; or (c) by WuXi Biologics if the Company fails to make a payment and such failure continues for 30 days after receiving notice of such failure. As of June 30, 2026, there are no payments currently due under the Cell Line License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Athanor Letter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29, 2025, the Company entered into a letter agreement with Athanor Capital, an exempted company incorporated under the laws of the Cayman Islands with limited liability (“Athanor”) (the “Athanor Agreement”), pursuant to which the Company issued to Athanor 8,657,402 Ordinary Shares (the “Athanor Shares”). Athanor is also entitled to piggyback registration rights pursuant to which Athanor has the right to include Athanor Shares in certain registered offerings by the Company or if the Company proposes to file a registration statement under the Securities Act of 1933, as amended, with respect to the registration of equity securities, as set forth in the Athanor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pursuant to the terms of the Athanor Agreement, the Company agreed to pay Athanor an upfront fee in an amount equal to $7.3 million within thirty days of execution of the Athanor Agreement and a one-time milestone payment in the amount of $25.0 million after the occurrence of the earliest of the following events: (a) the Company or ZB17 undergoes a Change of Control (as defined in the Athanor Agreement), (b) the consummation by the Company or ZB17 of a sale of assets resulting in net proceeds in excess of $500.0 million; or (c) First Indication Regulatory Approval (as defined in the Athanor Agreement). In addition, pursuant to the terms of the Athanor Agreement, the Company agreed to pay an amount equal to 2% of Net Sales (as defined in the Athanor Agreement) for the Product (as defined in the Athanor Agreement) to the extent such Net Sales (collectively, the “Net Sales Payments”) are the subject of a royalty payment under the 2023 Lilly License. The upfront fee was paid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Athanor Agreement contains representations, warranties and covenants by the parties in addition to the terms described above and shall remain in effect on a country-by-country basis until the expiration of the obligation to pay the Net Sales Payments.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300,000,000 Class A Ordinary Shares, par value of $0.0001 and 1,000,000 preferred shares, par value of $0.0001.</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Shelf Registration and ATM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no Class A Ordinary Shares were sold under the ATM.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$114.0 million of Class A Ordinary Shares remained available for sale under the Sales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February 2026 Equity Offering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entered into an underwriting agreement with Leerink Partners LLC, Piper Sandler &amp; Co. and Cantor Fitzgerald &amp; Co., as representatives of the several underwriters listed therein, pursuant to which the Company issued and sold 21,200,000 Class A Ordinary Shares, par value $0.0001 per share, at a price to the public of $6.25 per share, which included 3,000,000 additional Class A Ordinary Shares sold upon exercise in full by the underwriters of their option to purchase additional shares of stock in the offering, along with pre-funded warrants to purchase 1,800,000 Ordinary Shares at a price to the public of $6.249 per Pre-Funded Warrant, which represents the per share public offering price for the Shares less the $0.001 exercise price of each Pre-Funded Warrant (the “February 2026 Equity Offering”). The net proceeds from the February 2026 Equity Offering were approximately $134.6 million after deducting underwriting discounts and commissions and offering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Pre-Funded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February 2026 Equity Offering, the Company sold to accredited investors pre-funded warrants to purchase up to 1,800,000 Class A Ordinary Shares at a price of $6.249 per pre-funded warrant for an aggregate purchase price of approximately $11.2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was an aggregate 29,295,396 and 27,495,396 pre-funded warrants outstanding, respectively, each with an exercise price of $0.001.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each of the six months ended June 30, 2026 and 2025, no Class A Ordinary Shares were issued in connection with the exercise of Pre-Funded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Pre-Funded Warrant is exercisable for one Class A Ordinary Share at any time or times until the Pre-Funded Warrants are exercised in full. A holder of the Pre-Funded Warrants (together with its affiliates and other attribution parties) may not exercise any portion of a Pre-Funded Warrant to the extent that immediately prior to or after giving effect to such exercise the holder would beneficially own more than 4.99% or 9.99%, depending on the holder of the Company’s outstanding Class A Ordinary Shares immediately after exercise, which percentage may be increased or decreased to any other percentage specified not in excess of 19.99% at the holder’s election upon 61 days’ notice to the Company subject to the terms of the Pre-Funded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Ordinary Shares Reserved for Issuance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shares reserved for issuance as of June 30, 2026 is summarized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tbl>
      <w:tblPr>
        <w:tblW w:w="9154" w:type="dxa"/>
        <w:jc w:val="center"/>
        <w:tblInd w:w="0" w:type="dxa"/>
        <w:tblLayout w:type="fixed"/>
        <w:tblCellMar>
          <w:top w:w="28" w:type="dxa"/>
          <w:left w:w="28" w:type="dxa"/>
          <w:bottom w:w="28" w:type="dxa"/>
          <w:right w:w="28" w:type="dxa"/>
        </w:tblCellMar>
      </w:tblPr>
      <w:tblGrid>
        <w:gridCol w:w="2746"/>
        <w:gridCol w:w="2414"/>
        <w:gridCol w:w="2429"/>
        <w:gridCol w:w="540"/>
        <w:gridCol w:w="541"/>
        <w:gridCol w:w="484"/>
      </w:tblGrid>
      <w:tr>
        <w:trPr/>
        <w:tc>
          <w:tcPr>
            <w:tcW w:w="274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of pre-funded warrants to purchase Class A Ordinary Shares</w:t>
            </w:r>
          </w:p>
        </w:tc>
        <w:tc>
          <w:tcPr>
            <w:tcW w:w="108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29,295,396 </w:t>
            </w:r>
          </w:p>
        </w:tc>
        <w:tc>
          <w:tcPr>
            <w:tcW w:w="48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exercise and settlement of options to purchase Class A Ordinary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21,216,183 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2023 Equity Incentive Plan and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618,517 </w:t>
            </w:r>
          </w:p>
        </w:tc>
        <w:tc>
          <w:tcPr>
            <w:tcW w:w="48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upon release of restricted share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332,892 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issuance</w:t>
            </w:r>
          </w:p>
        </w:tc>
        <w:tc>
          <w:tcPr>
            <w:tcW w:w="1081"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51,462,988 </w:t>
            </w:r>
          </w:p>
        </w:tc>
        <w:tc>
          <w:tcPr>
            <w:tcW w:w="48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Share-based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16, 2023, the Zura Bio Limited 2023 Equity Incentive Plan (the “Equity Incentive Plan”) was approved, became effective on March 19, 2023, and was amended on June 1, 2023 and June 17, 2026. The Equity Incentive Plan allows for the grant of share options, both incentive and nonqualified share options; stock appreciation rights, alone or in conjunction with other awards; restricted shares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Class A Ordinary Shares issuable under the Equity Incentive Plan are subject to an annual increase on January 1st of each calendar year beginning on January 1, 2024, and ending on and including January 1, 2029, in accordance with the Equity Incentive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16, 2023, the Zura Bio Limited 2023 Employee Stock Purchase Plan (the “ESPP”) was approved and became effective on March 19, 2023. The ESPP enables eligible employees of the Company and designated affiliates to purchase Class A Ordinary Shares at a discount of 15%. As of June 30, 2026, the Company has not activated its ESPP.</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Class A Ordinary Shares reserved for future issuances under the Equity Incentive Plan and the ESPP increased in accordance with the respective plans on January 1, 2026. As of June 30, 2026, a maximum of 20,573,023 Class A Ordinary Shares were authorized for issuance under the Equity Incentive Plan and the ESPP, collectively.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Share Options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Equity Incentive Plan share options are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averaging the vesting period and the contractual life of the share options granted.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440"/>
        <w:jc w:val="both"/>
        <w:rPr>
          <w:rFonts w:ascii="Times New Roman;serif" w:hAnsi="Times New Roman;serif"/>
          <w:b w:val="false"/>
          <w:color w:val="000000"/>
          <w:sz w:val="20"/>
        </w:rPr>
      </w:pPr>
      <w:r>
        <w:rPr>
          <w:rFonts w:ascii="Times New Roman;serif" w:hAnsi="Times New Roman;serif"/>
          <w:b w:val="false"/>
          <w:color w:val="000000"/>
          <w:sz w:val="20"/>
        </w:rPr>
        <w:t>The following weighted-average assumptions were used to estimate the fair value of the share options granted during the six months ended June 30, 2026 and 2025:</w:t>
      </w:r>
    </w:p>
    <w:tbl>
      <w:tblPr>
        <w:tblW w:w="4488" w:type="dxa"/>
        <w:jc w:val="left"/>
        <w:tblInd w:w="0" w:type="dxa"/>
        <w:tblLayout w:type="fixed"/>
        <w:tblCellMar>
          <w:top w:w="28" w:type="dxa"/>
          <w:left w:w="28" w:type="dxa"/>
          <w:bottom w:w="28" w:type="dxa"/>
          <w:right w:w="28" w:type="dxa"/>
        </w:tblCellMar>
      </w:tblPr>
      <w:tblGrid>
        <w:gridCol w:w="773"/>
        <w:gridCol w:w="674"/>
        <w:gridCol w:w="683"/>
        <w:gridCol w:w="211"/>
        <w:gridCol w:w="511"/>
        <w:gridCol w:w="271"/>
        <w:gridCol w:w="109"/>
        <w:gridCol w:w="109"/>
        <w:gridCol w:w="109"/>
        <w:gridCol w:w="211"/>
        <w:gridCol w:w="511"/>
        <w:gridCol w:w="316"/>
      </w:tblGrid>
      <w:tr>
        <w:trPr/>
        <w:tc>
          <w:tcPr>
            <w:tcW w:w="7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4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 option activity for the six months ended June 30, 2026:</w:t>
      </w:r>
    </w:p>
    <w:tbl>
      <w:tblPr>
        <w:tblW w:w="9887" w:type="dxa"/>
        <w:jc w:val="left"/>
        <w:tblInd w:w="0" w:type="dxa"/>
        <w:tblLayout w:type="fixed"/>
        <w:tblCellMar>
          <w:top w:w="28" w:type="dxa"/>
          <w:left w:w="28" w:type="dxa"/>
          <w:bottom w:w="28" w:type="dxa"/>
          <w:right w:w="28" w:type="dxa"/>
        </w:tblCellMar>
      </w:tblPr>
      <w:tblGrid>
        <w:gridCol w:w="1537"/>
        <w:gridCol w:w="1352"/>
        <w:gridCol w:w="1355"/>
        <w:gridCol w:w="540"/>
        <w:gridCol w:w="541"/>
        <w:gridCol w:w="296"/>
        <w:gridCol w:w="109"/>
        <w:gridCol w:w="109"/>
        <w:gridCol w:w="109"/>
        <w:gridCol w:w="285"/>
        <w:gridCol w:w="692"/>
        <w:gridCol w:w="147"/>
        <w:gridCol w:w="109"/>
        <w:gridCol w:w="109"/>
        <w:gridCol w:w="109"/>
        <w:gridCol w:w="330"/>
        <w:gridCol w:w="330"/>
        <w:gridCol w:w="331"/>
        <w:gridCol w:w="109"/>
        <w:gridCol w:w="109"/>
        <w:gridCol w:w="109"/>
        <w:gridCol w:w="227"/>
        <w:gridCol w:w="777"/>
        <w:gridCol w:w="166"/>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as of December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16,463,011 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48,866 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8,676,478 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(716,853)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(3,547,753)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as of June 30,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20,874,883 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8,910,434 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33,128 </w:t>
            </w:r>
          </w:p>
        </w:tc>
        <w:tc>
          <w:tcPr>
            <w:tcW w:w="1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approximately $40.3 million of total unrecognized share-based compensation expense related to options granted to employees, executives, and directors that is expected to be recognized over a weighted average period of 3.1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Included in options outstanding as of June 30, 2026 and December 31, 2025 in the table above are 3,223,440 options and 2,843,814 options, respectively, to purchase Class A Ordinary Shares issued to certain directors, executives, and employees outside of the Equity Incentive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options granted during the six months ended June 30, 2026 and 2025 was $4.76 and $0.96,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Market-Based Share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21, 2026, the Company granted 505,881 options to purchase Class A Ordinary Shares (the “CEO Option Award”) to the Chief Executive Officer. The CEO Option Award will vest in full on the first date upon which both of the following goals are achieved, subject to the CEO’s continued service through such date: (a) the Company’s completion of an equity raise above a specified amount prior to a specified date, which condition was satisfied by the completion of the February 2026 Equity Offering, and (b) the volume-weighted average price of a Class A ordinary share of the Company equals or exceeds a specified price over a period of 30 consecutive trading days, prior to December 31, 2030. These awards have an exercise price of $6.32 and become exercisable when vested and both conditions are satisfied. These awards expire 10 years from the date of grant. The fair value of these Market-Based Share Options were estimated using a Monte Carlo valuation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weighted-average assumptions were used at the grant date to determine the fair value of Company’s Market-Based Share Options granted during the six months ended June 30, 2026:</w:t>
      </w:r>
    </w:p>
    <w:p>
      <w:pPr>
        <w:pStyle w:val="TextBody"/>
        <w:bidi w:val="0"/>
        <w:spacing w:before="0" w:after="0"/>
        <w:jc w:val="center"/>
        <w:rPr/>
      </w:pPr>
      <w:r>
        <w:rPr/>
      </w:r>
    </w:p>
    <w:tbl>
      <w:tblPr>
        <w:tblW w:w="4169" w:type="dxa"/>
        <w:jc w:val="center"/>
        <w:tblInd w:w="0" w:type="dxa"/>
        <w:tblLayout w:type="fixed"/>
        <w:tblCellMar>
          <w:top w:w="28" w:type="dxa"/>
          <w:left w:w="28" w:type="dxa"/>
          <w:bottom w:w="28" w:type="dxa"/>
          <w:right w:w="28" w:type="dxa"/>
        </w:tblCellMar>
      </w:tblPr>
      <w:tblGrid>
        <w:gridCol w:w="773"/>
        <w:gridCol w:w="674"/>
        <w:gridCol w:w="683"/>
        <w:gridCol w:w="414"/>
        <w:gridCol w:w="1004"/>
        <w:gridCol w:w="621"/>
      </w:tblGrid>
      <w:tr>
        <w:trPr/>
        <w:tc>
          <w:tcPr>
            <w:tcW w:w="7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6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expense recognized related to Market-Based Share Options was $0.9 million and $0.1 million for the three months ended June 30, 2026 and 2025, respectively, and $1.6 million and $0.3 million for the six months ended June 30, 2026 and 2025, respectively.</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Restricted Share Units</w:t>
      </w:r>
    </w:p>
    <w:p>
      <w:pPr>
        <w:pStyle w:val="TextBody"/>
        <w:bidi w:val="0"/>
        <w:spacing w:lineRule="auto" w:line="288" w:before="0" w:after="3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for the six months ended June 30, 2026:</w:t>
      </w:r>
    </w:p>
    <w:tbl>
      <w:tblPr>
        <w:tblW w:w="7778" w:type="dxa"/>
        <w:jc w:val="left"/>
        <w:tblInd w:w="0" w:type="dxa"/>
        <w:tblLayout w:type="fixed"/>
        <w:tblCellMar>
          <w:top w:w="28" w:type="dxa"/>
          <w:left w:w="28" w:type="dxa"/>
          <w:bottom w:w="28" w:type="dxa"/>
          <w:right w:w="28" w:type="dxa"/>
        </w:tblCellMar>
      </w:tblPr>
      <w:tblGrid>
        <w:gridCol w:w="1608"/>
        <w:gridCol w:w="1414"/>
        <w:gridCol w:w="1418"/>
        <w:gridCol w:w="449"/>
        <w:gridCol w:w="451"/>
        <w:gridCol w:w="296"/>
        <w:gridCol w:w="109"/>
        <w:gridCol w:w="109"/>
        <w:gridCol w:w="109"/>
        <w:gridCol w:w="437"/>
        <w:gridCol w:w="1059"/>
        <w:gridCol w:w="319"/>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outstanding as of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583,282 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(190,390)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outstanding as of June 30, 2026</w:t>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332,892 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approximately $1.4 million of total unrecognized share-based compensation expense related to RSUs granted to certain employees, executives, and directors under the Company’s Equity Incentive Plan that is expected to be recognized over a weighted average period of 0.9 years.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expense recognized related to RSUs was $0.2 million and $0.4 million for the three months ended June 30, 2026 and 2025, respectively, and $0.6 million and $0.8 million for the six months ended June 30,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Share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RSA activity for the six months ended June 30, 2026:</w:t>
      </w:r>
    </w:p>
    <w:p>
      <w:pPr>
        <w:pStyle w:val="TextBody"/>
        <w:bidi w:val="0"/>
        <w:spacing w:before="0" w:after="0"/>
        <w:jc w:val="left"/>
        <w:rPr/>
      </w:pPr>
      <w:r>
        <w:rPr/>
      </w:r>
    </w:p>
    <w:tbl>
      <w:tblPr>
        <w:tblW w:w="6953" w:type="dxa"/>
        <w:jc w:val="left"/>
        <w:tblInd w:w="0" w:type="dxa"/>
        <w:tblLayout w:type="fixed"/>
        <w:tblCellMar>
          <w:top w:w="28" w:type="dxa"/>
          <w:left w:w="28" w:type="dxa"/>
          <w:bottom w:w="28" w:type="dxa"/>
          <w:right w:w="28" w:type="dxa"/>
        </w:tblCellMar>
      </w:tblPr>
      <w:tblGrid>
        <w:gridCol w:w="1608"/>
        <w:gridCol w:w="1414"/>
        <w:gridCol w:w="1418"/>
        <w:gridCol w:w="449"/>
        <w:gridCol w:w="451"/>
        <w:gridCol w:w="296"/>
        <w:gridCol w:w="109"/>
        <w:gridCol w:w="109"/>
        <w:gridCol w:w="109"/>
        <w:gridCol w:w="238"/>
        <w:gridCol w:w="578"/>
        <w:gridCol w:w="174"/>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w:t>
              <w:br/>
              <w:t>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RSAs outstanding as of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249,997 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(124,998)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RSAs outstanding as of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124,999 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approximately $0.7 million of total unrecognized share-based compensation expense related to RSAs granted to a certain director under the Company’s Equity Incentive Plan that is expected to be recognized over a weighted average period of 0.7 years.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expense recognized related to RSAs was $0.3 million and $0.2 million for the three months ended June 30, 2026 and 2025, respectively, and $0.5 million and $0.5 million for the six months ended June 30, 2026 and 2025, respectively.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before="0" w:after="0"/>
        <w:jc w:val="both"/>
        <w:rPr/>
      </w:pPr>
      <w:r>
        <w:rPr/>
      </w:r>
    </w:p>
    <w:p>
      <w:pPr>
        <w:pStyle w:val="TextBody"/>
        <w:bidi w:val="0"/>
        <w:spacing w:lineRule="auto" w:line="288" w:before="0" w:after="36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for all equity arrangements for the three and six months ended June 30, 2026 and 2025 was as follows:</w:t>
      </w:r>
    </w:p>
    <w:tbl>
      <w:tblPr>
        <w:tblW w:w="8205" w:type="dxa"/>
        <w:jc w:val="left"/>
        <w:tblInd w:w="0" w:type="dxa"/>
        <w:tblLayout w:type="fixed"/>
        <w:tblCellMar>
          <w:top w:w="28" w:type="dxa"/>
          <w:left w:w="28" w:type="dxa"/>
          <w:bottom w:w="28" w:type="dxa"/>
          <w:right w:w="28" w:type="dxa"/>
        </w:tblCellMar>
      </w:tblPr>
      <w:tblGrid>
        <w:gridCol w:w="1245"/>
        <w:gridCol w:w="1092"/>
        <w:gridCol w:w="109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Defined Contribution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(the “U.K. Defined Contribution Plan” and, together with the 401(k) Plan, the “Defined Contribution Plans”). Contributions made by the Company vest 100% upon contribution. The expense recorded for the Defined Contribution Plans was $0.2 million and $0.1 million for the three months ended June 30, 2026 and 2025, respectively, and $0.4 million and $0.2 million for the six months ended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as of December 31, 2025, included in the 2025 Annual Report, and in conjunction with the unaudited condensed consolidated financial statements and notes thereto included elsewhere in this Quarterly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this discussion and analysis contains forward-looking statements. These forward-looking statements are subject to risks and uncertainties, including those discussed in the section titled “Risk Factors” in our 2025 Annual Report, as supplemented by the risks and uncertainties described in “Risk Factors” Item I.A. Risk Factors in Part II of this Quarterly Report, that could cause actual results to differ materially from historical results or anticipated results. You should carefully read the information under “Cautionary Note Regarding Forward-Looking Statements” in this Quarterly Report. Unless the context otherwise requires, references in this “Management’s Discussion and Analysis of Financial Condition and Results of Operations” to “we,” “us,” and “our” refer to Zura Bio Limited, a Cayman Islands exempted company.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 company developing novel and differentiated medicines to meaningfully improve the lives of patients with serious and debilitating autoimmune and inflammatory diseases, including those with significant unmet medical need. These diseases are often chronic and biologically complex, and many patients do not achieve durable disease control with currently available therapies.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focus on immune-mediated diseases in which translational and clinical evidence supports the involvement of specific biological pathways in disease pathogenesis. We are currently advancing our lead product candidate in Phase 2 clinical trials and are evaluating development opportunities across our pipeline of clinical</w:t>
        <w:noBreakHyphen/>
        <w:t>stage antibody assets, with a focus on indications with unmet medical need and commercial potential.</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Our lead product candidate, tibulizumab (ZB-106), is a bispecific dual-antagonist antibody engineered by the fusion of tabalumab with a single-chain variable fragment (scFv) derived from ixekizumab (Taltz</w:t>
      </w:r>
      <w:r>
        <w:rPr>
          <w:rFonts w:ascii="Times New Roman;serif" w:hAnsi="Times New Roman;serif"/>
          <w:b w:val="false"/>
          <w:color w:val="000000"/>
          <w:sz w:val="12"/>
        </w:rPr>
        <w:t>®</w:t>
      </w:r>
      <w:r>
        <w:rPr>
          <w:rFonts w:ascii="Times New Roman;serif" w:hAnsi="Times New Roman;serif"/>
          <w:b w:val="false"/>
          <w:color w:val="000000"/>
          <w:sz w:val="20"/>
        </w:rPr>
        <w:t>). Tibulizumab is designed to neutralize interleukin-17 and B-cell activating factor, two cytokines implicated in autoimmune and inflammatory diseases.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we initiated TibuSHIELD, a global, randomized, double-blind, placebo-controlled Phase 2 clinical study evaluating tibulizumab in participants with moderate to severe hidradenitis suppurativa (“HS”). Enrollment in TibuSHIELD is complete, exceeding the initial enrollment target with 247 participants. The study is designed to assess the safety, tolerability, and efficacy of tibulizumab in the relevant patient population. The study will evaluate tibulizumab over a 32-week period, which includes a 16-week efficacy assessment period followed by a 16-week optional open-label extension (“OLE”). The primary endpoint of the study is the percent change from baseline in total abscess and nodule (“AN”) count at week 16. Secondary endpoints include the proportion of participants achieving HiSCR50 or HiSCR75, defined as at least a 50% or 75% reduction in AN count without an increase in abscesses or draining fistulas at week 16. Topline results are expected to be available in the fourth quarter of 2026.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we initiated TibuSURE, a global, randomized, double-blind, placebo-controlled Phase 2 clinical study evaluating tibulizumab in participants with early diffuse cutaneous systemic sclerosis. Enrollment in TibuSURE is complete, exceeding the initial enrollment target with 91 participants. The study is designed to assess the safety, tolerability, and efficacy of tibulizumab in the relevant patient population. The study will evaluate tibulizumab over a 52-week period, which includes a 24-week efficacy period followed by a 28-week optional OLE. The primary endpoint is the modified Rodnan Skin Score. Key efficacy endpoints include lung disease, assessed by quantitative high-resolution computed tomography and forced vital capacity; physical function, measured by the Health Assessment Questionnaire-Disability Index; and the revised Combined Response Index in Systemic Sclerosis. Topline results are expected to be available in the first half of 2027. </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By year end 2026, we plan to initiate a global, randomized, double-blind, placebo-controlled Phase 2 clinical study evaluating tibulizumab in participants with polymyalgia rheumatica. The study is designed to assess the safety, tolerability, and efficacy of tibulizumab in the relevant patient population. The study design will incorporate recent feedback received from FDA.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are evaluating further development and strategic options for tibulizumab and our other clinical</w:t>
        <w:noBreakHyphen/>
        <w:t>stage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Torudokimab (ZB</w:t>
        <w:noBreakHyphen/>
        <w:t>880) is a fully human monoclonal antibody that neutralizes interleukin</w:t>
        <w:noBreakHyphen/>
        <w:t>33 (“IL</w:t>
        <w:noBreakHyphen/>
        <w:t>33”), an alarmin cytokine involved in inflammatory signaling, thereby inhibiting ST2-related inflammatory signaling. The IL</w:t>
        <w:noBreakHyphen/>
        <w:t>33/ST2 pathway has been implicated in inflammatory and immune</w:t>
        <w:noBreakHyphen/>
        <w:t>mediated diseases, including chronic obstructive pulmonary disease and asthma, and remains the subject of ongoing clinical and scientific investigation. Torudokimab was evaluated in clinical studies prior to our in</w:t>
        <w:noBreakHyphen/>
        <w:t>licensing of the program, and we continue to monitor developments in the IL</w:t>
        <w:noBreakHyphen/>
        <w:t>33 pathway as we consider potential future development opportunities.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Crebankitug (ZB</w:t>
        <w:noBreakHyphen/>
        <w:t>168) is a fully human monoclonal antibody that neutralizes the interleukin</w:t>
        <w:noBreakHyphen/>
        <w:t>7 receptor alpha chain, a shared receptor component of the interleukin</w:t>
        <w:noBreakHyphen/>
        <w:t>7 and thymic stromal lymphopoietin signaling pathways. Crebankitug has been evaluated in Phase 1 and Phase 1b clinical studies, and we are assessing potential therapeutic indications and future development strategies for this asset.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limited operating history. Since our inception, our operations have focused on organizing and staffing our company, business planning, raising capital, and entering into collaboration agreements for conducting manufacturing, clinical trials and other research and development activities. Our lead product candidate is in the clinical testing stage; however, prior to the initiation of TibuSHIELD and TibuSURE in May 2025 and December 2024, respectively, we had not conducted any clinical trials. We do not have any product candidates approved for sale and have not generated any revenue from product sales. We have funded our operations primarily through private and public equity financings, having raised aggregate gross proceeds of approximately $421.5 million as of the date hereof.</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Our net loss for the three and six months ended June 30, 2026 was $26.3 million and $50.5 million, respectively. As of June 30, 2026, we had an accumulated deficit of $275.1 million. We anticipate that our expenses will increase significantly in connection with our ongoing and future activities, as we: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 to advance the preclinical and clinical development of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conduct additional trials for our product candidates or future potential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scale up our clinical and regulatory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manufacture materials for clinical trials or potential commercial sales;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hire additional personnel, including in the clinical, quality, regulatory, manufacturing, scientific and administrative functions;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 a commercialization infrastructure and scale up manufacturing and distribution capabilities to commercialize any product candidates for which we may obtain regulatory approval;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adapt our regulatory compliance efforts to incorporate requirements applicable to marketed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seek regulatory approval for any product candidates that successfully complete clinical trials;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 operational, financial, and management information systems and personnel, including personnel to support our product development and planned future commercialization efforts;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additional legal, accounting, and other expenses in operating as a public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February 2026 Equity Offering</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sold 21,200,000 Class A Ordinary Shares (the “Shares”), par value $0.0001 per share, at a price to the public of $6.25 per share, along with pre-funded warrants (the “Pre-Funded Warrants”) to purchase 1,800,000 Class A Ordinary Shares at a price to the public of $6.249 per Pre-Funded Warrant, which represents the per share public offering price for the Shares less the $0.001 exercise price of each Pre-Funded Warrant (the “February 2026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Offering”). The net proceeds from the February 2026 Equity Offering were approximately $134.6 million after deducting underwriting discounts and commissions and offering expenses.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2023 Lilly License</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26, 2023, our consolidated subsidiary ZB17 LLC entered into a license agreement with Lilly, to develop, manufacture and commercialize tibulizumab.</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obligated to make payments to Lilly (a) for 4 development milestone payments up to an aggregate of $155.0 million, and sales milestone payments up to an aggregate of $440.0 million based on respective thresholds of net sales of products developed from tibulizumab; (b)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(collectively, the “2023 Lilly Contingent Payments”). As of June 30, 2026, none of the 2023 Lilly Contingent Payments are due and accordingly will not be recorded in our financial statements until they are due.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2022 Lilly License</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8, 2022, our consolidated subsidiary, Z33 Bio Inc. (“Z33”), entered into a license agreement with Lilly to develop, manufacture, and commercialize torudokimab.</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obligated to make payments to Lilly for (a) 10 commercial, development and regulatory milestone payments up to an aggregate of $155.0 million and sales milestone payments up to an aggregate of $440.0 million based on respective thresholds of net sales of products developed from the licensed molecule; and (b) an annual earned royalty at a marginal royalty rate in the mid-single to low-double digits, with increasing royalty percentage rates based on Net Sales in the respective calendar year, based on a percentage of sales within varying thresholds for a certain period of the year (collectively, the “2022 Lilly Contingent Payments”). As of June 30, 2026, none of the 2022 Lilly Contingent Payments are due and accordingly will not be recorded in our financial statements until they are due.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Pfizer Agreement</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22, 2022, we entered into a license agreement and a Series A-1 Subscription and Shareholder’s Agreement (collectively, the “Pfizer Agreement”) with Pfizer to develop, manufacture, and commercialize crebankitug.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obligated to make payments to Pfizer for (a) 11 remaining future development and regulatory milestone payments aggregating up to $69.0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Products, if any (collectively, the “Pfizer Contingent Payments”). As of June 30, 2026, none of the Pfizer Contingent Payments are due and accordingly will not be recorded in our financial statements until they are due.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Impact of Global Economic Trends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Macroeconomic conditions, including uncertainties associated with the changes to and by the United States federal government administration, the ongoing conflicts in Iran and the broader Middle East, the ongoing conflict between Ukraine and Russia, conflicts in Mexico, international trade policies (including tariffs, sanctions, and trade barriers),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Recent tariffs and trade restrictions have increased costs and complexity for many businesses, which may also have an adverse impact on our business.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Components of Operating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expenses consist of all direct and indirect operating expenses incurred to support our clinical development, including research activities conducted in support of such programs, manufacturing activities, consulting fees for clinical and manufacturing advisory services, contract research organization (“CRO”) costs, costs related to manufacturing materials for preclinical studies and clinical trials, payroll and benefits (including share-based compensation for employees supporting clinical and development activities), licensing fees, and data and study acquisition costs. Expenses are recognized as the related goods are delivered or the services are performed.</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accounting principles generally accepted in the United States of America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could include:</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External expenses: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external research and development expenses incurred under agreements with CROs, investigative sites and consultants to conduct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costs related to manufacturing material for preclinical studies and clinical trials, including fees paid to contract manufacturing organizations (“CMOs”);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milestone payments under our licensing agreements;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laboratory supplies and research materials;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costs related to compliance with regulatory requirements;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facilities, depreciation and other allocated expenses, which include direct and allocated expenses for rent, maintenance of facilities, insurance and equipment.</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Internal expenses:</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employee-related expenses, including salaries, bonuses, benefits, share-based compensation and other related costs for those employees involved in research and development efforts.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trials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continue and expand our clinical trial activities. Our future expenses may vary significantly each period based on factors such as: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expenses incurred to conduct preclinical studies required to advance our product candidates into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per patient clinical trial costs, which may vary based on the number of doses that patients receive and the number of visits for the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of patients who enroll in each clinical trial;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of clinical trials required for approval;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of sites included in the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countries in which the clinical trials are conducted;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length of time required to enroll eligible patients;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drop-out or discontinuation rates of patients;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duration of patient participation in clinical trials and follow-up;</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phase of development of the product candidate;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third-party contractors failing to comply with regulatory requirements or meet their contractual obligations in a timely manner, or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 of insurance, including product liability insurance, in connection with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efficacy and safety profile of our product candidates.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(“G&amp;A”) expenses primarily consist of professional fees for legal, accounting, and consulting costs relating to corporate matters, as well as salaries and related costs for personnel in executive and administrative functions and board of director fees, including share-based compensation.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our G&amp;A expenses will increase in the future as we continue to support research and development activities and incur costs of operating as a public company. These costs include headcount to support expanded operations and infrastructure.</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 (in thousands):</w:t>
      </w:r>
    </w:p>
    <w:tbl>
      <w:tblPr>
        <w:tblW w:w="7620" w:type="dxa"/>
        <w:jc w:val="left"/>
        <w:tblInd w:w="0" w:type="dxa"/>
        <w:tblLayout w:type="fixed"/>
        <w:tblCellMar>
          <w:top w:w="28" w:type="dxa"/>
          <w:left w:w="28" w:type="dxa"/>
          <w:bottom w:w="28" w:type="dxa"/>
          <w:right w:w="28" w:type="dxa"/>
        </w:tblCellMar>
      </w:tblPr>
      <w:tblGrid>
        <w:gridCol w:w="852"/>
        <w:gridCol w:w="748"/>
        <w:gridCol w:w="75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33"/>
        <w:gridCol w:w="233"/>
        <w:gridCol w:w="471"/>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net </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(26,385)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(26,304)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not meaningful</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presented (in thousands):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69"/>
        <w:gridCol w:w="1400"/>
        <w:gridCol w:w="1410"/>
        <w:gridCol w:w="284"/>
        <w:gridCol w:w="973"/>
        <w:gridCol w:w="146"/>
        <w:gridCol w:w="146"/>
        <w:gridCol w:w="146"/>
        <w:gridCol w:w="146"/>
        <w:gridCol w:w="284"/>
        <w:gridCol w:w="831"/>
        <w:gridCol w:w="146"/>
        <w:gridCol w:w="109"/>
        <w:gridCol w:w="109"/>
        <w:gridCol w:w="109"/>
        <w:gridCol w:w="211"/>
        <w:gridCol w:w="721"/>
        <w:gridCol w:w="109"/>
        <w:gridCol w:w="109"/>
        <w:gridCol w:w="109"/>
        <w:gridCol w:w="109"/>
        <w:gridCol w:w="233"/>
        <w:gridCol w:w="233"/>
        <w:gridCol w:w="463"/>
      </w:tblGrid>
      <w:tr>
        <w:trPr/>
        <w:tc>
          <w:tcPr>
            <w:tcW w:w="166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expenses:</w:t>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expenses by program:</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portfolio</w:t>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SSc program</w:t>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HS program</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program general</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Tibulizumab portfolio</w:t>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product candidates (torudokimab and crebankitug)</w:t>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expenses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expenses:</w:t>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(including share-based compensation)</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1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$12.0 million for the three months ended June 30, 2026 compared to the three months ended June 30, 2025. The increase was primarily due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$4.8 million increase in costs for tibulizumab that was not specific to an indication, primarily driven by increased drug manufacturing costs;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$2.7 million and $2.8 million increase in costs as we advance our Phase 2 clinical trials evaluating tibulizumab in adults with HS and SSc, respectively, driven by costs incurred for CRO fees to support the conduct of our clinical trials;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 $2.1 million increase in compensation, including share-based compensation, primarily driven by increased personnel in research and development functions. </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research and development expenses will continue to increase in the future as we conduct research and development activities.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$0.7 million for the three months ended June 30, 2026 as compared to the three months ended June 30, 2025. The decrease was primarily due to lower consulting and recruiting fees in the second quarter of 2026 as well as one-time severance costs recognized in the second quarter of 2025.</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$0.2 million for the three months ended June 30, 2026 as compared to the three months ended June 30, 2025. This is primarily due to a higher cash balance for the second quarter of 2026 due to the proceeds from the February 2026 Equity Offering.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before="0" w:after="0"/>
        <w:jc w:val="both"/>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by $0.7 million for the three months ended June 30, 2026 as compared to the three months ended June 30, 2025, primarily due to the receipt of an R&amp;D Credit during the three months ended June 30, 2026.</w:t>
      </w:r>
    </w:p>
    <w:p>
      <w:pPr>
        <w:pStyle w:val="TextBody"/>
        <w:bidi w:val="0"/>
        <w:spacing w:before="0" w:after="0"/>
        <w:ind w:left="0" w:right="0" w:firstLine="360"/>
        <w:jc w:val="left"/>
        <w:rPr/>
      </w:pPr>
      <w:r>
        <w:rPr/>
      </w:r>
    </w:p>
    <w:p>
      <w:pPr>
        <w:pStyle w:val="TextBody"/>
        <w:bidi w:val="0"/>
        <w:spacing w:lineRule="auto" w:line="268" w:before="0" w:after="24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 (in thousands):</w:t>
      </w:r>
    </w:p>
    <w:tbl>
      <w:tblPr>
        <w:tblW w:w="7589" w:type="dxa"/>
        <w:jc w:val="left"/>
        <w:tblInd w:w="0" w:type="dxa"/>
        <w:tblLayout w:type="fixed"/>
        <w:tblCellMar>
          <w:top w:w="28" w:type="dxa"/>
          <w:left w:w="28" w:type="dxa"/>
          <w:bottom w:w="28" w:type="dxa"/>
          <w:right w:w="28" w:type="dxa"/>
        </w:tblCellMar>
      </w:tblPr>
      <w:tblGrid>
        <w:gridCol w:w="852"/>
        <w:gridCol w:w="748"/>
        <w:gridCol w:w="754"/>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6"/>
        <w:gridCol w:w="219"/>
        <w:gridCol w:w="471"/>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37,316 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operations </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(54,820)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net </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(50,608)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(17,173)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(50,527)</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(33,435)</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(17,092)</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w:t>
      </w:r>
    </w:p>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presented (in thousands):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714"/>
        <w:gridCol w:w="1454"/>
        <w:gridCol w:w="1464"/>
        <w:gridCol w:w="258"/>
        <w:gridCol w:w="884"/>
        <w:gridCol w:w="133"/>
        <w:gridCol w:w="133"/>
        <w:gridCol w:w="133"/>
        <w:gridCol w:w="133"/>
        <w:gridCol w:w="258"/>
        <w:gridCol w:w="884"/>
        <w:gridCol w:w="133"/>
        <w:gridCol w:w="109"/>
        <w:gridCol w:w="109"/>
        <w:gridCol w:w="109"/>
        <w:gridCol w:w="211"/>
        <w:gridCol w:w="721"/>
        <w:gridCol w:w="109"/>
        <w:gridCol w:w="109"/>
        <w:gridCol w:w="109"/>
        <w:gridCol w:w="109"/>
        <w:gridCol w:w="232"/>
        <w:gridCol w:w="234"/>
        <w:gridCol w:w="463"/>
      </w:tblGrid>
      <w:tr>
        <w:trPr/>
        <w:tc>
          <w:tcPr>
            <w:tcW w:w="171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expenses: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expenses by program:</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portfolio</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SSc program</w:t>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HS program</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Tibulizumab program general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Tibulizumab portfolio</w:t>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26,656 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product candidates (torudokimab and crebankitug)</w:t>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expenses: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 (including share-based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63"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3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19,178 </w:t>
            </w:r>
          </w:p>
        </w:tc>
        <w:tc>
          <w:tcPr>
            <w:tcW w:w="13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$16.3 million for the six months ended June 30, 2026 compared to the six months ended June 30, 2025. The increase was primarily due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$6.1 million and $3.2 million increase in costs as we advance our Phase 2 clinical trials evaluating tibulizumab in adults with HS and SSc, respectively, driven by costs incurred for CRO fees to support the conduct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$4.0 million increase in costs for tibulizumab that was not specific to an indication, which was also driven by increased personnel;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 $3.3 million increase in compensation, including share-based compensation, driven by increased personnel in research and development functions.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research and development expenses will continue to increase in the future as we conduct research and development activities.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$1.2 million for the six months ended June 30, 2026 as compared to the six months ended June 30, 2025. The increase was primarily due to an increase in compensation expenses, including share-based compensation, for personnel in executive and administrative functions and our board of directors, and an increase in professional fees to support our growing organization as we advance our Phase 2 clinical trials evaluating tibulizumab in SSc and HS.</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decreased by $0.3 million for the six months ended June 30, 2026 as compared to the six months ended June 30, 2025. This is primarily due to lower interest rates, as well as a lower cash balance for the majority of the first quarter of 2026, as the proceeds from the February 2026 Equity Offering were not received until the end of February.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before="0" w:after="0"/>
        <w:jc w:val="both"/>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by $0.6 million for the six months ended June 30, 2026 compared to the six months ended June 30, 2025, primarily due to the receipt of an R&amp;D Credit during the six months ended June 30, 2026.</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not reached successful commercialization of our product candidates or generated any revenue and we expect to continue to incur significant operating losses for the foreseeable future. We will require ongoing financing in order to continue our research and development activities and may never become profitable. As of June 30, 2026, we had cash and cash equivalents of $205.1 million. We have funded our operations primarily through private and public equity financings, having raised aggregate gross proceeds of approximately $421.5 million as of the date hereof.</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revenue from any source, including the commercial sales of our approved drug products, and we do not expect to generate revenue from the commercial sales of our approved drug products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the commercial sale of our approved drug products, and we do not expect to generate revenue from the commercial sales of our approved drug products unless and until we obtain regulatory approval of, and commercialize, our product candidates.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our expenses to continue to increase in connection with our ongoing activities, particularly as we continue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also be responsible for significant future contingent payments to our licensors and other parties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our licensors and other parties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In addition to milestone payments, we are also required to pay ongoing royalties in the mid-single digits to low double-digits percentage range based upon thresholds of net sales of products.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our current business plans, we believe that our existing cash and cash equivalents should be sufficient to fund our operating expenses and capital requirements through at least the end of 2028.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are beyond our control, could result in less cash available to us or cause us to consume capital significantly faster than we currently anticipate, and we may need to seek additional funds sooner than planned.</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the research, development and commercialization of pharmaceutical drug products, we are unable to estimate the exact amount of our operating capital requirements. Our future funding requirements will depend on many factors, including, but not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extent to which we develop, in-license or acquire other product candidates and technologies;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and timing of process development and manufacturing scale-up activities associated with our product candidates and other programs as we advance them through preclinical and clinical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and development requirements for product candidates that we may pursue;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timing and amount of our milestone payments to our licensors and other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our headcount growth and associated costs as we expand our research and development capabilities and establish and expand our commercial infrastructure and operations;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distributions, for any of our product candidates for which we receive marketing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royalty payments to our licensors and other parties;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revenue, if any, received from commercial sales of our product candidates for which we receive marketing approval;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Flows</w:t>
      </w:r>
    </w:p>
    <w:tbl>
      <w:tblPr>
        <w:tblW w:w="7405" w:type="dxa"/>
        <w:jc w:val="center"/>
        <w:tblInd w:w="0" w:type="dxa"/>
        <w:tblLayout w:type="fixed"/>
        <w:tblCellMar>
          <w:top w:w="28" w:type="dxa"/>
          <w:left w:w="28" w:type="dxa"/>
          <w:bottom w:w="28" w:type="dxa"/>
          <w:right w:w="28" w:type="dxa"/>
        </w:tblCellMar>
      </w:tblPr>
      <w:tblGrid>
        <w:gridCol w:w="1562"/>
        <w:gridCol w:w="1377"/>
        <w:gridCol w:w="1380"/>
        <w:gridCol w:w="250"/>
        <w:gridCol w:w="944"/>
        <w:gridCol w:w="129"/>
        <w:gridCol w:w="129"/>
        <w:gridCol w:w="129"/>
        <w:gridCol w:w="129"/>
        <w:gridCol w:w="250"/>
        <w:gridCol w:w="944"/>
        <w:gridCol w:w="182"/>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(39,824)</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(27,093)</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135,588 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95,727 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(22,008)</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$12.7 million to $39.8 million for the six months ended June 30, 2026 compared to the six months ended June 30, 2025. This was primarily due to an increase in our net loss of $17.1 million, which is driven by an increase in our operating costs.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each of the six months ended June 30, 2026 and 2025 was de minimis. </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$135.6 million, which related primarily to net proceeds from the February 2026 Equity Offering, after underwriters’ fees and discounts. Cash provided by financing activities for the six months ended June 30, 2025 was $5.1 million, which primarily related to net proceeds, after placement agent commissions, from the sale of Class A Ordinary Shares under our ATM.</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Contractual Obligations and Other Commitments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or will enter into agreements in the normal course of business with CROs, CMOs and other vendors for research and development services for operating purposes, which are generally cancelable upon written notice. Some third-party CMOs have intellectual property, such as patents and/or know-how with an annual fee and royalty-bearing license to their customers, that forms part of the manufacturing agreement.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Lonza License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may terminate the Lonza License at any time upon 60 days’ notice, with or without cause. Lonza may terminate the Lonza License for cause upon a breach by us or for other commercially standard reasons.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Lonza License, we have a license fee of $0.4 million due to Lonza annually in the fourth quarter as a result of manufacturing drug substance with a third party other than Lonza since 2023.</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WuXi Biologics License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2023, we entered into a cell line license agreement (the “Cell Line License Agreement”) with WuXi Biologics and its Affiliates (“WuXi Biologics”)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we manufacture all of our commercial supplies of bulk drug product for WuXi Biologics Licensed Products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June 30, 2026, there are no payments currently due under the Cell Line License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our financial condition and results of operations is based on our unaudited condensed consolidated financial statements, which have been prepared in accordance with U.S. GAAP, and on a basis consistent with those accounting principles followed by us and disclosed in Note 2 to our most recent annual audited consolidated financial statements in the 2025 Annual Report. The preparation of these unaudited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since December 31, 2025. For a description of our critical accounting policies that affect our significant judgments and estimates used in preparation of our unaudited condensed consolidated financial statements, refer to Item 7 in “Management’s Discussion and Analysis of Financial Condition and Results of Operations,” contained in the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to our unaudited condensed consolidated financial statements located in “Part I – Financial Information, Item 1. Financial Statements” in this Quarterly Report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remain an emerging growth company and may elect to extend the transition period for complying with new or revised accounting standards, which delays the adoption of these accounting standards.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an emerging growth company, we may take advantage of specified reduced disclosure and other requirements that are otherwise applicable generally to public companies. These provisions include: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 exception from compliance with the auditor attestation requirements of Section 404 of the Sarbanes-Oxley Act of 2002, as amended;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reduced disclosure about our executive compensation arrangements in our periodic reports, proxy statements and registration statements;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Accordingly, the information contained herein may be different than you might obtain from other public companies in which you hold equity interests.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under the Securities Act and Securities Exchange Act of 1934, as amended (the “Exchange Act”). We may continue to be a smaller reporting company so long as either (i) the market value of Class A Ordinary Shares held by non-affiliates is less than $250.0 million or (ii) our annual revenue was less than $100.0 million during the most recently completed fiscal year and the market value of Class A Ordinary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fiscal years of audited financial statements in our Annual Report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Item 10 of Regulation S-K, we are not required to provide the information otherwise required by this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and Principal Financial and Accounting Officer, as appropriate, to allow timely decisions regarding required disclosure. Our Chief Executive Officer and Principal Financial and Accounting Officer carried out an evaluation of the effectiveness of our disclosure controls and procedures, as defined in Rules 13a-15(e) and 15d-15(e) under the Exchange Act. Based upon that evaluation, our Chief Executive Officer and Principal Financial and Accounting Officer concluded that our disclosure controls and procedures were effective at a reasonable assurance level as of June 30, 2026.</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15d-15(d) of the Exchange Act that occurred during the quarter ended June 30, 2026, that has materially affected, or is reasonably likely to materially affect, our internal control over financial reporting.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Internal Controls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 addition to the other information contained elsewhere in this report, you should carefully consider the risks and uncertainties described in “Part I, Item 1A—Risk Factors” of the 2025 Annual Report,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2025 Annual Report is qualified by the information that is described in this Quarterly Report on Form 10-Q. The risks described in our 2025 Annual Report are not our only risks. Additional risks and uncertainties not currently known to us or that we currently deem to be immaterial also may materially adversely affect our business, financial condition or future results. There have been no material changes in our risk factors previously disclosed in our 2025 Annual Report.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2750"/>
        <w:gridCol w:w="2620"/>
        <w:gridCol w:w="3758"/>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Third Amendment dated as of January 13, 2023 to the Business Combination Agreement by and among JATT Acquisition Corp., JATT Merger Sub, JATT Merger Sub 2, Zura Holdings, Ltd. and Zura Bio Limited (incorporated by reference to Exhibit 2.1 of JATT’s Current Report on Form 8-K (File No. 001-40598), filed with the SEC on January 19,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Second Amended and Restated Memorandum of Association of Zura Bio Limited (incorporated by reference to Exhibit 3.1 to the Current Report on Form 8-K, filed with the SEC on March 24,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Specimen Warrant Certificate of Zura (incorporated by reference to Exhibit 4.6 of JATT’s Form S-4 (File No. 333-267005) filed with the SEC on August 19, 2022).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Form of Pre-Funded Warrant to Purchase Ordinary Shares (incorporated herein by reference to Exhibit 4.1 to the Company’s Current Report on Form 8-K, filed with the SEC on May 3, 2023).</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Form of Pre-Funded Warrant to purchase Ordinary Shares (incorporated by reference to Exhibit 4.1 to the Current Report on Form 8-K filed with the SEC on April 23, 2024).</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80"/>
                  <w:sz w:val="20"/>
                  <w:u w:val="single"/>
                </w:rPr>
                <w:t>Form of Warrant to purchase Ordinary Shares (incorporated by reference to Exhibit 4.1 to the Current Report on Form 8</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K filed with the SEC on August 21, 2024).</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80"/>
                  <w:sz w:val="20"/>
                  <w:u w:val="single"/>
                </w:rPr>
                <w:t>Form of Warrant to purchase Ordinary Shares (incorporated by reference to Exhibit 4.1 to the Current Report on Form 8</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K filed with the SEC on April 17, 2025).</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20"/>
                  <w:u w:val="single"/>
                </w:rPr>
                <w:t>Form of Pre-Funded Warrant to purchase Ordinary Shares (incorporated by reference to Exhibit 4.1 to the Current Report on Form 8-K filed with the SEC on February 26, 2026).</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zura-202606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zura-20260630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zura-20260630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zura-20260630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fc2b5c231a34be8bb65126a577cd612_7">
        <w:r>
          <w:rPr>
            <w:rStyle w:val="InternetLink"/>
            <w:rFonts w:ascii="Times New Roman;serif" w:hAnsi="Times New Roman;serif"/>
            <w:b w:val="false"/>
            <w:color w:val="000080"/>
            <w:sz w:val="20"/>
            <w:u w:val="single"/>
          </w:rPr>
          <w:t xml:space="preserve">Table of </w:t>
        </w:r>
      </w:hyperlink>
      <w:hyperlink w:anchor="iafc2b5c231a34be8bb65126a577cd612_7">
        <w:r>
          <w:rPr>
            <w:rStyle w:val="InternetLink"/>
            <w:rFonts w:ascii="Times New Roman;serif" w:hAnsi="Times New Roman;serif"/>
            <w:b w:val="false"/>
            <w:color w:val="000080"/>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Securities Exchange Act of 1934, the registrant has duly caused this report to be signed on its behalf by the undersigned, thereunto duly authorized.</w:t>
      </w:r>
    </w:p>
    <w:tbl>
      <w:tblPr>
        <w:tblW w:w="8198" w:type="dxa"/>
        <w:jc w:val="left"/>
        <w:tblInd w:w="0" w:type="dxa"/>
        <w:tblLayout w:type="fixed"/>
        <w:tblCellMar>
          <w:top w:w="28" w:type="dxa"/>
          <w:left w:w="28" w:type="dxa"/>
          <w:bottom w:w="28" w:type="dxa"/>
          <w:right w:w="28" w:type="dxa"/>
        </w:tblCellMar>
      </w:tblPr>
      <w:tblGrid>
        <w:gridCol w:w="705"/>
        <w:gridCol w:w="621"/>
        <w:gridCol w:w="624"/>
        <w:gridCol w:w="313"/>
        <w:gridCol w:w="313"/>
        <w:gridCol w:w="313"/>
        <w:gridCol w:w="1551"/>
        <w:gridCol w:w="1551"/>
        <w:gridCol w:w="220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ZURA BIO LIMITED</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Sandeep Kulkarni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Sandeep Kulkarni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Marlyn Mathew</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Marlyn Mathew</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Finance and Accounting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Sandeep Kulkarni, certify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of Zura Bio Limited;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54"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724"/>
        <w:gridCol w:w="724"/>
        <w:gridCol w:w="102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Sandeep Kulkarni</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Sandeep Kulkarni</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Marlyn Mathew, certify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Form 10-Q of Zura Bio Limited;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85"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995"/>
        <w:gridCol w:w="995"/>
        <w:gridCol w:w="141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Marlyn Mathew</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Marlyn Mathew</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Accounting and Finance</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Zura Bio Limited (the “Company”) on Form 10-Q for the quarterly period ended June 30, 2026, as filed with the Securities and Exchange Commission (the “Report”), I, Sandeep Kulkarni, Chief Executive Officer of the Company, certify, pursuant to 18 U.S.C. §1350, as adopted pursuant to §906 of the Sarbanes-Oxley Act of 2002, that, to the best of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959" w:type="dxa"/>
        <w:jc w:val="left"/>
        <w:tblInd w:w="0" w:type="dxa"/>
        <w:tblLayout w:type="fixed"/>
        <w:tblCellMar>
          <w:top w:w="28" w:type="dxa"/>
          <w:left w:w="28" w:type="dxa"/>
          <w:bottom w:w="28" w:type="dxa"/>
          <w:right w:w="28" w:type="dxa"/>
        </w:tblCellMar>
      </w:tblPr>
      <w:tblGrid>
        <w:gridCol w:w="254"/>
        <w:gridCol w:w="224"/>
        <w:gridCol w:w="226"/>
        <w:gridCol w:w="484"/>
        <w:gridCol w:w="484"/>
        <w:gridCol w:w="486"/>
        <w:gridCol w:w="109"/>
        <w:gridCol w:w="109"/>
        <w:gridCol w:w="109"/>
        <w:gridCol w:w="724"/>
        <w:gridCol w:w="724"/>
        <w:gridCol w:w="1026"/>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Sandeep Kulkarni</w:t>
            </w:r>
          </w:p>
        </w:tc>
      </w:tr>
      <w:tr>
        <w:trPr/>
        <w:tc>
          <w:tcPr>
            <w:tcW w:w="24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Sandeep Kulkarni</w:t>
            </w:r>
          </w:p>
        </w:tc>
      </w:tr>
      <w:tr>
        <w:trPr/>
        <w:tc>
          <w:tcPr>
            <w:tcW w:w="24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Zura Bio Limited (the “Company”) on Form 10-Q for the quarterly period ended June 30, 2026, as filed with the Securities and Exchange Commission (the “Report”), I, Marlyn Mathew, Vice President, Accounting and Finance, of the Company, certify, pursuant to 18 U.S.C. §1350, as adopted pursuant to §906 of the Sarbanes-Oxley Act of 2002, that, to the best of my knowledge: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524"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1503"/>
        <w:gridCol w:w="1503"/>
        <w:gridCol w:w="213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Marlyn Mathew</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Marlyn Mathew</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Accounting and Finance</w:t>
            </w:r>
          </w:p>
        </w:tc>
      </w:tr>
      <w:tr>
        <w:trPr/>
        <w:tc>
          <w:tcPr>
            <w:tcW w:w="23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644/000110465923005068/tm233516d1_ex2-1.htm" TargetMode="External"/><Relationship Id="rId3" Type="http://schemas.openxmlformats.org/officeDocument/2006/relationships/hyperlink" Target="https://www.sec.gov/Archives/edgar/data/1855644/000110465923036697/tm2310353d1_ex3-1.htm" TargetMode="External"/><Relationship Id="rId4" Type="http://schemas.openxmlformats.org/officeDocument/2006/relationships/hyperlink" Target="https://www.sec.gov/Archives/edgar/data/1855644/000110465922093035/jatt-20220630xex4d6.htm" TargetMode="External"/><Relationship Id="rId5" Type="http://schemas.openxmlformats.org/officeDocument/2006/relationships/hyperlink" Target="https://www.sec.gov/Archives/edgar/data/1855644/000110465923055196/tm2314291d1_ex4-1.htm" TargetMode="External"/><Relationship Id="rId6" Type="http://schemas.openxmlformats.org/officeDocument/2006/relationships/hyperlink" Target="https://www.sec.gov/Archives/edgar/data/1855644/000110465924050169/tm2412407d1_ex4-1.htm" TargetMode="External"/><Relationship Id="rId7" Type="http://schemas.openxmlformats.org/officeDocument/2006/relationships/hyperlink" Target="https://www.sec.gov/Archives/edgar/data/1855644/000110465924091602/tm2422174d1_ex4-1.htm" TargetMode="External"/><Relationship Id="rId8" Type="http://schemas.openxmlformats.org/officeDocument/2006/relationships/hyperlink" Target="https://www.sec.gov/Archives/edgar/data/1855644/000110465924091602/tm2422174d1_ex4-1.htm" TargetMode="External"/><Relationship Id="rId9" Type="http://schemas.openxmlformats.org/officeDocument/2006/relationships/hyperlink" Target="https://www.sec.gov/Archives/edgar/data/1855644/000110465924091602/tm2422174d1_ex4-1.htm" TargetMode="External"/><Relationship Id="rId10" Type="http://schemas.openxmlformats.org/officeDocument/2006/relationships/hyperlink" Target="https://www.sec.gov/Archives/edgar/data/1855644/000110465925036057/tm2512482d1_ex4-1.htm" TargetMode="External"/><Relationship Id="rId11" Type="http://schemas.openxmlformats.org/officeDocument/2006/relationships/hyperlink" Target="https://www.sec.gov/Archives/edgar/data/1855644/000110465925036057/tm2512482d1_ex4-1.htm" TargetMode="External"/><Relationship Id="rId12" Type="http://schemas.openxmlformats.org/officeDocument/2006/relationships/hyperlink" Target="https://www.sec.gov/Archives/edgar/data/1855644/000110465925036057/tm2512482d1_ex4-1.htm" TargetMode="External"/><Relationship Id="rId13" Type="http://schemas.openxmlformats.org/officeDocument/2006/relationships/hyperlink" Target="https://www.sec.gov/Archives/edgar/data/1855644/000110465926019827/tm267297d1_ex4-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18645</Words>
  <Characters>104634</Characters>
  <CharactersWithSpaces>122125</CharactersWithSpaces>
  <Paragraphs>1802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