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October 27, 2026</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716534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5340" cy="133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71653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S-3</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ZURA BIO LIMITED</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50" w:lineRule="exact"/>
        <w:rPr>
          <w:sz w:val="24"/>
          <w:szCs w:val="24"/>
          <w:color w:val="auto"/>
        </w:rPr>
      </w:pPr>
    </w:p>
    <w:tbl>
      <w:tblPr>
        <w:tblLayout w:type="fixed"/>
        <w:tblInd w:w="1240" w:type="dxa"/>
        <w:tblCellMar>
          <w:top w:w="0" w:type="dxa"/>
          <w:left w:w="0" w:type="dxa"/>
          <w:bottom w:w="0" w:type="dxa"/>
          <w:right w:w="0" w:type="dxa"/>
        </w:tblCellMar>
      </w:tblPr>
      <w:tr>
        <w:trPr>
          <w:trHeight w:val="168"/>
        </w:trPr>
        <w:tc>
          <w:tcPr>
            <w:tcW w:w="2620" w:type="dxa"/>
            <w:vAlign w:val="bottom"/>
          </w:tcPr>
          <w:p>
            <w:pPr>
              <w:jc w:val="center"/>
              <w:ind w:right="972"/>
              <w:spacing w:after="0"/>
              <w:rPr>
                <w:sz w:val="20"/>
                <w:szCs w:val="20"/>
                <w:color w:val="auto"/>
              </w:rPr>
            </w:pPr>
            <w:r>
              <w:rPr>
                <w:rFonts w:ascii="Times New Roman" w:cs="Times New Roman" w:eastAsia="Times New Roman" w:hAnsi="Times New Roman"/>
                <w:sz w:val="14"/>
                <w:szCs w:val="14"/>
                <w:b w:val="1"/>
                <w:bCs w:val="1"/>
                <w:color w:val="auto"/>
                <w:w w:val="97"/>
              </w:rPr>
              <w:t>Cayman Islands</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2834</w:t>
            </w:r>
          </w:p>
        </w:tc>
        <w:tc>
          <w:tcPr>
            <w:tcW w:w="2680" w:type="dxa"/>
            <w:vAlign w:val="bottom"/>
          </w:tcPr>
          <w:p>
            <w:pPr>
              <w:jc w:val="center"/>
              <w:ind w:left="912"/>
              <w:spacing w:after="0"/>
              <w:rPr>
                <w:sz w:val="20"/>
                <w:szCs w:val="20"/>
                <w:color w:val="auto"/>
              </w:rPr>
            </w:pPr>
            <w:r>
              <w:rPr>
                <w:rFonts w:ascii="Times New Roman" w:cs="Times New Roman" w:eastAsia="Times New Roman" w:hAnsi="Times New Roman"/>
                <w:sz w:val="14"/>
                <w:szCs w:val="14"/>
                <w:b w:val="1"/>
                <w:bCs w:val="1"/>
                <w:color w:val="auto"/>
                <w:w w:val="97"/>
              </w:rPr>
              <w:t>98-1725736</w:t>
            </w:r>
          </w:p>
        </w:tc>
      </w:tr>
      <w:tr>
        <w:trPr>
          <w:trHeight w:val="164"/>
        </w:trPr>
        <w:tc>
          <w:tcPr>
            <w:tcW w:w="2620" w:type="dxa"/>
            <w:vAlign w:val="bottom"/>
          </w:tcPr>
          <w:p>
            <w:pPr>
              <w:jc w:val="center"/>
              <w:ind w:right="972"/>
              <w:spacing w:after="0"/>
              <w:rPr>
                <w:sz w:val="20"/>
                <w:szCs w:val="20"/>
                <w:color w:val="auto"/>
              </w:rPr>
            </w:pPr>
            <w:r>
              <w:rPr>
                <w:rFonts w:ascii="Times New Roman" w:cs="Times New Roman" w:eastAsia="Times New Roman" w:hAnsi="Times New Roman"/>
                <w:sz w:val="14"/>
                <w:szCs w:val="14"/>
                <w:color w:val="auto"/>
                <w:w w:val="97"/>
              </w:rPr>
              <w:t>(State or other jurisdiction of</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(Primary Standard Industrial</w:t>
            </w:r>
          </w:p>
        </w:tc>
        <w:tc>
          <w:tcPr>
            <w:tcW w:w="2680" w:type="dxa"/>
            <w:vAlign w:val="bottom"/>
          </w:tcPr>
          <w:p>
            <w:pPr>
              <w:jc w:val="center"/>
              <w:ind w:left="912"/>
              <w:spacing w:after="0"/>
              <w:rPr>
                <w:sz w:val="20"/>
                <w:szCs w:val="20"/>
                <w:color w:val="auto"/>
              </w:rPr>
            </w:pPr>
            <w:r>
              <w:rPr>
                <w:rFonts w:ascii="Times New Roman" w:cs="Times New Roman" w:eastAsia="Times New Roman" w:hAnsi="Times New Roman"/>
                <w:sz w:val="14"/>
                <w:szCs w:val="14"/>
                <w:color w:val="auto"/>
                <w:w w:val="97"/>
              </w:rPr>
              <w:t>(I.R.S. Employer Identification</w:t>
            </w:r>
          </w:p>
        </w:tc>
      </w:tr>
      <w:tr>
        <w:trPr>
          <w:trHeight w:val="164"/>
        </w:trPr>
        <w:tc>
          <w:tcPr>
            <w:tcW w:w="2620" w:type="dxa"/>
            <w:vAlign w:val="bottom"/>
          </w:tcPr>
          <w:p>
            <w:pPr>
              <w:jc w:val="center"/>
              <w:ind w:right="952"/>
              <w:spacing w:after="0"/>
              <w:rPr>
                <w:sz w:val="20"/>
                <w:szCs w:val="20"/>
                <w:color w:val="auto"/>
              </w:rPr>
            </w:pPr>
            <w:r>
              <w:rPr>
                <w:rFonts w:ascii="Times New Roman" w:cs="Times New Roman" w:eastAsia="Times New Roman" w:hAnsi="Times New Roman"/>
                <w:sz w:val="14"/>
                <w:szCs w:val="14"/>
                <w:color w:val="auto"/>
                <w:w w:val="97"/>
              </w:rPr>
              <w:t>incorporation or</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Classification Code Number)</w:t>
            </w:r>
          </w:p>
        </w:tc>
        <w:tc>
          <w:tcPr>
            <w:tcW w:w="2680" w:type="dxa"/>
            <w:vAlign w:val="bottom"/>
          </w:tcPr>
          <w:p>
            <w:pPr>
              <w:jc w:val="center"/>
              <w:ind w:left="912"/>
              <w:spacing w:after="0"/>
              <w:rPr>
                <w:sz w:val="20"/>
                <w:szCs w:val="20"/>
                <w:color w:val="auto"/>
              </w:rPr>
            </w:pPr>
            <w:r>
              <w:rPr>
                <w:rFonts w:ascii="Times New Roman" w:cs="Times New Roman" w:eastAsia="Times New Roman" w:hAnsi="Times New Roman"/>
                <w:sz w:val="14"/>
                <w:szCs w:val="14"/>
                <w:color w:val="auto"/>
                <w:w w:val="98"/>
              </w:rPr>
              <w:t>Number)</w:t>
            </w:r>
          </w:p>
        </w:tc>
      </w:tr>
      <w:tr>
        <w:trPr>
          <w:trHeight w:val="176"/>
        </w:trPr>
        <w:tc>
          <w:tcPr>
            <w:tcW w:w="2620" w:type="dxa"/>
            <w:vAlign w:val="bottom"/>
          </w:tcPr>
          <w:p>
            <w:pPr>
              <w:jc w:val="center"/>
              <w:ind w:right="952"/>
              <w:spacing w:after="0"/>
              <w:rPr>
                <w:sz w:val="20"/>
                <w:szCs w:val="20"/>
                <w:color w:val="auto"/>
              </w:rPr>
            </w:pPr>
            <w:r>
              <w:rPr>
                <w:rFonts w:ascii="Times New Roman" w:cs="Times New Roman" w:eastAsia="Times New Roman" w:hAnsi="Times New Roman"/>
                <w:sz w:val="14"/>
                <w:szCs w:val="14"/>
                <w:color w:val="auto"/>
                <w:w w:val="96"/>
              </w:rPr>
              <w:t>organization)</w:t>
            </w:r>
          </w:p>
        </w:tc>
        <w:tc>
          <w:tcPr>
            <w:tcW w:w="3620" w:type="dxa"/>
            <w:vAlign w:val="bottom"/>
          </w:tcPr>
          <w:p>
            <w:pPr>
              <w:spacing w:after="0"/>
              <w:rPr>
                <w:sz w:val="15"/>
                <w:szCs w:val="15"/>
                <w:color w:val="auto"/>
              </w:rPr>
            </w:pPr>
          </w:p>
        </w:tc>
        <w:tc>
          <w:tcPr>
            <w:tcW w:w="2680" w:type="dxa"/>
            <w:vAlign w:val="bottom"/>
          </w:tcPr>
          <w:p>
            <w:pPr>
              <w:spacing w:after="0"/>
              <w:rPr>
                <w:sz w:val="15"/>
                <w:szCs w:val="15"/>
                <w:color w:val="auto"/>
              </w:rPr>
            </w:pPr>
          </w:p>
        </w:tc>
      </w:tr>
    </w:tbl>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1489 W. Warm Springs Rd. #110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Henderson, NV 89014</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 (702) 825-9872</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Sandeep Kulkarni</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1489 W. Warm Springs Rd. #110</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Henderson, NV 89014</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 (702) 825-9872</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52" w:lineRule="exact"/>
        <w:rPr>
          <w:sz w:val="24"/>
          <w:szCs w:val="24"/>
          <w:color w:val="auto"/>
        </w:rPr>
      </w:pPr>
    </w:p>
    <w:tbl>
      <w:tblPr>
        <w:tblLayout w:type="fixed"/>
        <w:tblInd w:w="2440" w:type="dxa"/>
        <w:tblCellMar>
          <w:top w:w="0" w:type="dxa"/>
          <w:left w:w="0" w:type="dxa"/>
          <w:bottom w:w="0" w:type="dxa"/>
          <w:right w:w="0" w:type="dxa"/>
        </w:tblCellMar>
      </w:tblPr>
      <w:tr>
        <w:trPr>
          <w:trHeight w:val="180"/>
        </w:trPr>
        <w:tc>
          <w:tcPr>
            <w:tcW w:w="2080" w:type="dxa"/>
            <w:vAlign w:val="bottom"/>
          </w:tcPr>
          <w:p>
            <w:pPr>
              <w:spacing w:after="0"/>
              <w:rPr>
                <w:sz w:val="15"/>
                <w:szCs w:val="15"/>
                <w:color w:val="auto"/>
              </w:rPr>
            </w:pPr>
          </w:p>
        </w:tc>
        <w:tc>
          <w:tcPr>
            <w:tcW w:w="51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313"/>
        </w:trPr>
        <w:tc>
          <w:tcPr>
            <w:tcW w:w="2080" w:type="dxa"/>
            <w:vAlign w:val="bottom"/>
          </w:tcPr>
          <w:p>
            <w:pPr>
              <w:jc w:val="center"/>
              <w:ind w:right="792"/>
              <w:spacing w:after="0"/>
              <w:rPr>
                <w:sz w:val="20"/>
                <w:szCs w:val="20"/>
                <w:color w:val="auto"/>
              </w:rPr>
            </w:pPr>
            <w:r>
              <w:rPr>
                <w:rFonts w:ascii="Times New Roman" w:cs="Times New Roman" w:eastAsia="Times New Roman" w:hAnsi="Times New Roman"/>
                <w:sz w:val="14"/>
                <w:szCs w:val="14"/>
                <w:b w:val="1"/>
                <w:bCs w:val="1"/>
                <w:color w:val="auto"/>
                <w:w w:val="97"/>
              </w:rPr>
              <w:t>Sarah K. Sellers</w:t>
            </w:r>
          </w:p>
        </w:tc>
        <w:tc>
          <w:tcPr>
            <w:tcW w:w="5120" w:type="dxa"/>
            <w:vAlign w:val="bottom"/>
          </w:tcPr>
          <w:p>
            <w:pPr>
              <w:jc w:val="center"/>
              <w:ind w:left="3152"/>
              <w:spacing w:after="0"/>
              <w:rPr>
                <w:sz w:val="20"/>
                <w:szCs w:val="20"/>
                <w:color w:val="auto"/>
              </w:rPr>
            </w:pPr>
            <w:r>
              <w:rPr>
                <w:rFonts w:ascii="Times New Roman" w:cs="Times New Roman" w:eastAsia="Times New Roman" w:hAnsi="Times New Roman"/>
                <w:sz w:val="14"/>
                <w:szCs w:val="14"/>
                <w:b w:val="1"/>
                <w:bCs w:val="1"/>
                <w:color w:val="auto"/>
                <w:w w:val="96"/>
              </w:rPr>
              <w:t>Sandeep Kulkarni</w:t>
            </w:r>
          </w:p>
        </w:tc>
      </w:tr>
      <w:tr>
        <w:trPr>
          <w:trHeight w:val="164"/>
        </w:trPr>
        <w:tc>
          <w:tcPr>
            <w:tcW w:w="2080" w:type="dxa"/>
            <w:vAlign w:val="bottom"/>
          </w:tcPr>
          <w:p>
            <w:pPr>
              <w:jc w:val="center"/>
              <w:ind w:right="792"/>
              <w:spacing w:after="0"/>
              <w:rPr>
                <w:sz w:val="20"/>
                <w:szCs w:val="20"/>
                <w:color w:val="auto"/>
              </w:rPr>
            </w:pPr>
            <w:r>
              <w:rPr>
                <w:rFonts w:ascii="Times New Roman" w:cs="Times New Roman" w:eastAsia="Times New Roman" w:hAnsi="Times New Roman"/>
                <w:sz w:val="14"/>
                <w:szCs w:val="14"/>
                <w:b w:val="1"/>
                <w:bCs w:val="1"/>
                <w:color w:val="auto"/>
                <w:w w:val="99"/>
              </w:rPr>
              <w:t>Brandon Fenn</w:t>
            </w:r>
          </w:p>
        </w:tc>
        <w:tc>
          <w:tcPr>
            <w:tcW w:w="5120" w:type="dxa"/>
            <w:vAlign w:val="bottom"/>
          </w:tcPr>
          <w:p>
            <w:pPr>
              <w:jc w:val="center"/>
              <w:ind w:left="3152"/>
              <w:spacing w:after="0"/>
              <w:rPr>
                <w:sz w:val="20"/>
                <w:szCs w:val="20"/>
                <w:color w:val="auto"/>
              </w:rPr>
            </w:pPr>
            <w:r>
              <w:rPr>
                <w:rFonts w:ascii="Times New Roman" w:cs="Times New Roman" w:eastAsia="Times New Roman" w:hAnsi="Times New Roman"/>
                <w:sz w:val="14"/>
                <w:szCs w:val="14"/>
                <w:b w:val="1"/>
                <w:bCs w:val="1"/>
                <w:color w:val="auto"/>
                <w:w w:val="98"/>
              </w:rPr>
              <w:t>Chief Executive Officer</w:t>
            </w:r>
          </w:p>
        </w:tc>
      </w:tr>
      <w:tr>
        <w:trPr>
          <w:trHeight w:val="164"/>
        </w:trPr>
        <w:tc>
          <w:tcPr>
            <w:tcW w:w="2080" w:type="dxa"/>
            <w:vAlign w:val="bottom"/>
          </w:tcPr>
          <w:p>
            <w:pPr>
              <w:jc w:val="center"/>
              <w:ind w:right="772"/>
              <w:spacing w:after="0"/>
              <w:rPr>
                <w:sz w:val="20"/>
                <w:szCs w:val="20"/>
                <w:color w:val="auto"/>
              </w:rPr>
            </w:pPr>
            <w:r>
              <w:rPr>
                <w:rFonts w:ascii="Times New Roman" w:cs="Times New Roman" w:eastAsia="Times New Roman" w:hAnsi="Times New Roman"/>
                <w:sz w:val="14"/>
                <w:szCs w:val="14"/>
                <w:b w:val="1"/>
                <w:bCs w:val="1"/>
                <w:color w:val="auto"/>
                <w:w w:val="97"/>
              </w:rPr>
              <w:t>Mark Ballantyne</w:t>
            </w:r>
          </w:p>
        </w:tc>
        <w:tc>
          <w:tcPr>
            <w:tcW w:w="5120" w:type="dxa"/>
            <w:vAlign w:val="bottom"/>
          </w:tcPr>
          <w:p>
            <w:pPr>
              <w:jc w:val="center"/>
              <w:ind w:left="3152"/>
              <w:spacing w:after="0"/>
              <w:rPr>
                <w:sz w:val="20"/>
                <w:szCs w:val="20"/>
                <w:color w:val="auto"/>
              </w:rPr>
            </w:pPr>
            <w:r>
              <w:rPr>
                <w:rFonts w:ascii="Times New Roman" w:cs="Times New Roman" w:eastAsia="Times New Roman" w:hAnsi="Times New Roman"/>
                <w:sz w:val="14"/>
                <w:szCs w:val="14"/>
                <w:b w:val="1"/>
                <w:bCs w:val="1"/>
                <w:color w:val="auto"/>
                <w:w w:val="96"/>
              </w:rPr>
              <w:t>1489 W. Warm Springs Rd. #110</w:t>
            </w:r>
          </w:p>
        </w:tc>
      </w:tr>
      <w:tr>
        <w:trPr>
          <w:trHeight w:val="164"/>
        </w:trPr>
        <w:tc>
          <w:tcPr>
            <w:tcW w:w="2080" w:type="dxa"/>
            <w:vAlign w:val="bottom"/>
          </w:tcPr>
          <w:p>
            <w:pPr>
              <w:jc w:val="center"/>
              <w:ind w:right="792"/>
              <w:spacing w:after="0"/>
              <w:rPr>
                <w:sz w:val="20"/>
                <w:szCs w:val="20"/>
                <w:color w:val="auto"/>
              </w:rPr>
            </w:pPr>
            <w:r>
              <w:rPr>
                <w:rFonts w:ascii="Times New Roman" w:cs="Times New Roman" w:eastAsia="Times New Roman" w:hAnsi="Times New Roman"/>
                <w:sz w:val="14"/>
                <w:szCs w:val="14"/>
                <w:b w:val="1"/>
                <w:bCs w:val="1"/>
                <w:color w:val="auto"/>
                <w:w w:val="97"/>
              </w:rPr>
              <w:t>Alexander Gefter</w:t>
            </w:r>
          </w:p>
        </w:tc>
        <w:tc>
          <w:tcPr>
            <w:tcW w:w="5120" w:type="dxa"/>
            <w:vAlign w:val="bottom"/>
          </w:tcPr>
          <w:p>
            <w:pPr>
              <w:jc w:val="center"/>
              <w:ind w:left="3172"/>
              <w:spacing w:after="0"/>
              <w:rPr>
                <w:sz w:val="20"/>
                <w:szCs w:val="20"/>
                <w:color w:val="auto"/>
              </w:rPr>
            </w:pPr>
            <w:r>
              <w:rPr>
                <w:rFonts w:ascii="Times New Roman" w:cs="Times New Roman" w:eastAsia="Times New Roman" w:hAnsi="Times New Roman"/>
                <w:sz w:val="14"/>
                <w:szCs w:val="14"/>
                <w:b w:val="1"/>
                <w:bCs w:val="1"/>
                <w:color w:val="auto"/>
                <w:w w:val="97"/>
              </w:rPr>
              <w:t>Henderson, NV 89014</w:t>
            </w:r>
          </w:p>
        </w:tc>
      </w:tr>
      <w:tr>
        <w:trPr>
          <w:trHeight w:val="164"/>
        </w:trPr>
        <w:tc>
          <w:tcPr>
            <w:tcW w:w="2080" w:type="dxa"/>
            <w:vAlign w:val="bottom"/>
          </w:tcPr>
          <w:p>
            <w:pPr>
              <w:jc w:val="center"/>
              <w:ind w:right="792"/>
              <w:spacing w:after="0"/>
              <w:rPr>
                <w:sz w:val="20"/>
                <w:szCs w:val="20"/>
                <w:color w:val="auto"/>
              </w:rPr>
            </w:pPr>
            <w:r>
              <w:rPr>
                <w:rFonts w:ascii="Times New Roman" w:cs="Times New Roman" w:eastAsia="Times New Roman" w:hAnsi="Times New Roman"/>
                <w:sz w:val="14"/>
                <w:szCs w:val="14"/>
                <w:b w:val="1"/>
                <w:bCs w:val="1"/>
                <w:color w:val="auto"/>
                <w:w w:val="97"/>
              </w:rPr>
              <w:t>Cooley LLP</w:t>
            </w:r>
          </w:p>
        </w:tc>
        <w:tc>
          <w:tcPr>
            <w:tcW w:w="5120" w:type="dxa"/>
            <w:vAlign w:val="bottom"/>
          </w:tcPr>
          <w:p>
            <w:pPr>
              <w:jc w:val="center"/>
              <w:ind w:left="3152"/>
              <w:spacing w:after="0"/>
              <w:rPr>
                <w:sz w:val="20"/>
                <w:szCs w:val="20"/>
                <w:color w:val="auto"/>
              </w:rPr>
            </w:pPr>
            <w:r>
              <w:rPr>
                <w:rFonts w:ascii="Times New Roman" w:cs="Times New Roman" w:eastAsia="Times New Roman" w:hAnsi="Times New Roman"/>
                <w:sz w:val="14"/>
                <w:szCs w:val="14"/>
                <w:b w:val="1"/>
                <w:bCs w:val="1"/>
                <w:color w:val="auto"/>
                <w:w w:val="95"/>
              </w:rPr>
              <w:t>Tel: (702) 825-9872</w:t>
            </w:r>
          </w:p>
        </w:tc>
      </w:tr>
      <w:tr>
        <w:trPr>
          <w:trHeight w:val="164"/>
        </w:trPr>
        <w:tc>
          <w:tcPr>
            <w:tcW w:w="2080" w:type="dxa"/>
            <w:vAlign w:val="bottom"/>
          </w:tcPr>
          <w:p>
            <w:pPr>
              <w:jc w:val="center"/>
              <w:ind w:right="792"/>
              <w:spacing w:after="0"/>
              <w:rPr>
                <w:sz w:val="20"/>
                <w:szCs w:val="20"/>
                <w:color w:val="auto"/>
              </w:rPr>
            </w:pPr>
            <w:r>
              <w:rPr>
                <w:rFonts w:ascii="Times New Roman" w:cs="Times New Roman" w:eastAsia="Times New Roman" w:hAnsi="Times New Roman"/>
                <w:sz w:val="14"/>
                <w:szCs w:val="14"/>
                <w:b w:val="1"/>
                <w:bCs w:val="1"/>
                <w:color w:val="auto"/>
                <w:w w:val="97"/>
              </w:rPr>
              <w:t>55 Hudson Yards</w:t>
            </w:r>
          </w:p>
        </w:tc>
        <w:tc>
          <w:tcPr>
            <w:tcW w:w="5120" w:type="dxa"/>
            <w:vAlign w:val="bottom"/>
          </w:tcPr>
          <w:p>
            <w:pPr>
              <w:spacing w:after="0"/>
              <w:rPr>
                <w:sz w:val="14"/>
                <w:szCs w:val="14"/>
                <w:color w:val="auto"/>
              </w:rPr>
            </w:pPr>
          </w:p>
        </w:tc>
      </w:tr>
      <w:tr>
        <w:trPr>
          <w:trHeight w:val="164"/>
        </w:trPr>
        <w:tc>
          <w:tcPr>
            <w:tcW w:w="2080" w:type="dxa"/>
            <w:vAlign w:val="bottom"/>
          </w:tcPr>
          <w:p>
            <w:pPr>
              <w:jc w:val="center"/>
              <w:ind w:right="792"/>
              <w:spacing w:after="0"/>
              <w:rPr>
                <w:sz w:val="20"/>
                <w:szCs w:val="20"/>
                <w:color w:val="auto"/>
              </w:rPr>
            </w:pPr>
            <w:r>
              <w:rPr>
                <w:rFonts w:ascii="Times New Roman" w:cs="Times New Roman" w:eastAsia="Times New Roman" w:hAnsi="Times New Roman"/>
                <w:sz w:val="14"/>
                <w:szCs w:val="14"/>
                <w:b w:val="1"/>
                <w:bCs w:val="1"/>
                <w:color w:val="auto"/>
                <w:w w:val="96"/>
              </w:rPr>
              <w:t>New York, NY 10001</w:t>
            </w:r>
          </w:p>
        </w:tc>
        <w:tc>
          <w:tcPr>
            <w:tcW w:w="5120" w:type="dxa"/>
            <w:vAlign w:val="bottom"/>
          </w:tcPr>
          <w:p>
            <w:pPr>
              <w:spacing w:after="0"/>
              <w:rPr>
                <w:sz w:val="14"/>
                <w:szCs w:val="14"/>
                <w:color w:val="auto"/>
              </w:rPr>
            </w:pPr>
          </w:p>
        </w:tc>
      </w:tr>
      <w:tr>
        <w:trPr>
          <w:trHeight w:val="180"/>
        </w:trPr>
        <w:tc>
          <w:tcPr>
            <w:tcW w:w="2080" w:type="dxa"/>
            <w:vAlign w:val="bottom"/>
          </w:tcPr>
          <w:p>
            <w:pPr>
              <w:jc w:val="center"/>
              <w:ind w:right="792"/>
              <w:spacing w:after="0"/>
              <w:rPr>
                <w:sz w:val="20"/>
                <w:szCs w:val="20"/>
                <w:color w:val="auto"/>
              </w:rPr>
            </w:pPr>
            <w:r>
              <w:rPr>
                <w:rFonts w:ascii="Times New Roman" w:cs="Times New Roman" w:eastAsia="Times New Roman" w:hAnsi="Times New Roman"/>
                <w:sz w:val="14"/>
                <w:szCs w:val="14"/>
                <w:b w:val="1"/>
                <w:bCs w:val="1"/>
                <w:color w:val="auto"/>
                <w:w w:val="95"/>
              </w:rPr>
              <w:t>Tel: (212) 479-6000</w:t>
            </w:r>
          </w:p>
        </w:tc>
        <w:tc>
          <w:tcPr>
            <w:tcW w:w="5120" w:type="dxa"/>
            <w:vAlign w:val="bottom"/>
          </w:tcPr>
          <w:p>
            <w:pPr>
              <w:spacing w:after="0"/>
              <w:rPr>
                <w:sz w:val="15"/>
                <w:szCs w:val="15"/>
                <w:color w:val="auto"/>
              </w:rPr>
            </w:pPr>
          </w:p>
        </w:tc>
      </w:tr>
    </w:tbl>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From time to time after the effective date of this Registration Statement</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141" w:lineRule="exact"/>
        <w:rPr>
          <w:sz w:val="24"/>
          <w:szCs w:val="24"/>
          <w:color w:val="auto"/>
        </w:rPr>
      </w:pPr>
    </w:p>
    <w:p>
      <w:pPr>
        <w:ind w:left="24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99" w:lineRule="exact"/>
        <w:rPr>
          <w:sz w:val="24"/>
          <w:szCs w:val="24"/>
          <w:color w:val="auto"/>
        </w:rPr>
      </w:pPr>
    </w:p>
    <w:p>
      <w:pPr>
        <w:ind w:firstLine="246"/>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31" w:lineRule="exact"/>
        <w:rPr>
          <w:sz w:val="24"/>
          <w:szCs w:val="24"/>
          <w:color w:val="auto"/>
        </w:rPr>
      </w:pPr>
    </w:p>
    <w:p>
      <w:pPr>
        <w:ind w:firstLine="246"/>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1" w:lineRule="exact"/>
        <w:rPr>
          <w:sz w:val="24"/>
          <w:szCs w:val="24"/>
          <w:color w:val="auto"/>
        </w:rPr>
      </w:pPr>
    </w:p>
    <w:p>
      <w:pPr>
        <w:ind w:firstLine="246"/>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1" w:lineRule="exact"/>
        <w:rPr>
          <w:sz w:val="24"/>
          <w:szCs w:val="24"/>
          <w:color w:val="auto"/>
        </w:rPr>
      </w:pPr>
    </w:p>
    <w:p>
      <w:pPr>
        <w:ind w:firstLine="246"/>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Securities and Exchange Commission pursuant to Rule 462(e) under the Securities Act, check the following box. </w:t>
      </w:r>
      <w:r>
        <w:rPr>
          <w:rFonts w:ascii="MS PGothic" w:cs="MS PGothic" w:eastAsia="MS PGothic" w:hAnsi="MS PGothic"/>
          <w:sz w:val="14"/>
          <w:szCs w:val="14"/>
          <w:color w:val="auto"/>
        </w:rPr>
        <w:t>☐</w:t>
      </w:r>
    </w:p>
    <w:p>
      <w:pPr>
        <w:spacing w:after="0" w:line="131" w:lineRule="exact"/>
        <w:rPr>
          <w:sz w:val="24"/>
          <w:szCs w:val="24"/>
          <w:color w:val="auto"/>
        </w:rPr>
      </w:pPr>
    </w:p>
    <w:p>
      <w:pPr>
        <w:ind w:firstLine="246"/>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31" w:lineRule="exact"/>
        <w:rPr>
          <w:sz w:val="24"/>
          <w:szCs w:val="24"/>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390" w:right="319" w:bottom="1440" w:gutter="0" w:footer="0" w:header="0"/>
        </w:sectPr>
      </w:pPr>
    </w:p>
    <w:p>
      <w:pPr>
        <w:spacing w:after="0" w:line="104"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6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4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65" w:lineRule="exact"/>
        <w:rPr>
          <w:sz w:val="24"/>
          <w:szCs w:val="24"/>
          <w:color w:val="auto"/>
        </w:rPr>
      </w:pPr>
    </w:p>
    <w:p>
      <w:pPr>
        <w:sectPr>
          <w:pgSz w:w="11900" w:h="16838" w:orient="portrait"/>
          <w:cols w:equalWidth="0" w:num="2">
            <w:col w:w="6400" w:space="720"/>
            <w:col w:w="4160"/>
          </w:cols>
          <w:pgMar w:left="300" w:top="390" w:right="319" w:bottom="1440" w:gutter="0" w:footer="0" w:header="0"/>
          <w:type w:val="continuous"/>
        </w:sectPr>
      </w:pPr>
    </w:p>
    <w:p>
      <w:pPr>
        <w:jc w:val="both"/>
        <w:ind w:firstLine="246"/>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27"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97155</wp:posOffset>
            </wp:positionV>
            <wp:extent cx="716534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5340"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116205</wp:posOffset>
            </wp:positionV>
            <wp:extent cx="716534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340" cy="133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455295</wp:posOffset>
            </wp:positionV>
            <wp:extent cx="71653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390"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This registration statement contains the following documents:</w:t>
      </w:r>
    </w:p>
    <w:p>
      <w:pPr>
        <w:spacing w:after="0" w:line="168" w:lineRule="exact"/>
        <w:rPr>
          <w:sz w:val="20"/>
          <w:szCs w:val="20"/>
          <w:color w:val="auto"/>
        </w:rPr>
      </w:pPr>
    </w:p>
    <w:p>
      <w:pPr>
        <w:ind w:left="500" w:hanging="251"/>
        <w:spacing w:after="0" w:line="266" w:lineRule="auto"/>
        <w:tabs>
          <w:tab w:leader="none" w:pos="500" w:val="left"/>
        </w:tabs>
        <w:numPr>
          <w:ilvl w:val="0"/>
          <w:numId w:val="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 base prospectus which covers the offering, issuance and sale by us of up to a maximum aggregate offering price of $700,000,000 of ordinary shares, preference shares, debt securities, warrants and/or units from time to time in one or more offerings; and</w:t>
      </w:r>
    </w:p>
    <w:p>
      <w:pPr>
        <w:spacing w:after="0" w:line="135" w:lineRule="exact"/>
        <w:rPr>
          <w:rFonts w:ascii="Arial" w:cs="Arial" w:eastAsia="Arial" w:hAnsi="Arial"/>
          <w:sz w:val="14"/>
          <w:szCs w:val="14"/>
          <w:b w:val="1"/>
          <w:bCs w:val="1"/>
          <w:color w:val="auto"/>
        </w:rPr>
      </w:pPr>
    </w:p>
    <w:p>
      <w:pPr>
        <w:jc w:val="both"/>
        <w:ind w:left="500" w:hanging="251"/>
        <w:spacing w:after="0" w:line="255" w:lineRule="auto"/>
        <w:tabs>
          <w:tab w:leader="none" w:pos="500" w:val="left"/>
        </w:tabs>
        <w:numPr>
          <w:ilvl w:val="0"/>
          <w:numId w:val="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 sales agreement prospectus covering the offering, issuance and sale by us of up to a maximum aggregate offering price of $114,044,900 of our Class A ordinary shares, par value $0.0001 per share (“Class A Ordinary Shares”), that may be issued and sold under a sales agreement, dated September 3, 2024, as amended on October 27, 2026, with Leerink Partners LLC (the “Sales Agreement”).</w:t>
      </w:r>
    </w:p>
    <w:p>
      <w:pPr>
        <w:spacing w:after="0" w:line="143" w:lineRule="exact"/>
        <w:rPr>
          <w:sz w:val="20"/>
          <w:szCs w:val="20"/>
          <w:color w:val="auto"/>
        </w:rPr>
      </w:pPr>
    </w:p>
    <w:p>
      <w:pPr>
        <w:jc w:val="both"/>
        <w:ind w:firstLine="246"/>
        <w:spacing w:after="0" w:line="248" w:lineRule="auto"/>
        <w:rPr>
          <w:sz w:val="20"/>
          <w:szCs w:val="20"/>
          <w:color w:val="auto"/>
        </w:rPr>
      </w:pPr>
      <w:r>
        <w:rPr>
          <w:rFonts w:ascii="Times New Roman" w:cs="Times New Roman" w:eastAsia="Times New Roman" w:hAnsi="Times New Roman"/>
          <w:sz w:val="14"/>
          <w:szCs w:val="14"/>
          <w:color w:val="auto"/>
        </w:rPr>
        <w:t>The base prospectus immediately follows this explanatory note. The specific terms of any securities to be offered pursuant to the base prospectus other than the shares under the Sales Agreement will be specified in a prospectus supplement to the base prospectus. The specific terms of the securities to be issued and sold under the Sales Agreement are specified in the sales agreement prospectus that immediately follows the base prospectus. As of the date of this base prospectus, we had issued and sold Class A Ordinary Shares having an aggregate offering price of $10,955,100 pursuant to the Sales Agreement and a prior sales agreement prospectus. Accordingly, we may offer and sell Class A Ordinary Shares having an aggregate offering price of up to $114,044,900 pursuant to the sales agreement prospectus that immediately follows the base prospectus. The $114,044,900 of Class A Ordinary Shares that may be offered, issued and sold under the sales agreement prospectus is included in the $700,000,000 of securities that may be offered, issued and sold by the registrant under the base prospectus. Upon termination of the Sales Agreement, any portion of the $114,044,900 included in the sales agreement prospectus that is not sold pursuant to the Sales Agreement will be available for sale in other offerings pursuant to the base prospectus, and if no Class A Ordinary Shares are sold under the Sales Agreement, the full $700,000,000 of securities may be sold in other offerings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323215</wp:posOffset>
            </wp:positionV>
            <wp:extent cx="716534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2" w:name="page3"/>
    <w:bookmarkEnd w:id="2"/>
    <w:p>
      <w:pPr>
        <w:jc w:val="both"/>
        <w:spacing w:after="0" w:line="267" w:lineRule="auto"/>
        <w:rPr>
          <w:sz w:val="20"/>
          <w:szCs w:val="20"/>
          <w:color w:val="auto"/>
        </w:rPr>
      </w:pPr>
      <w:r>
        <w:rPr>
          <w:rFonts w:ascii="Times New Roman" w:cs="Times New Roman" w:eastAsia="Times New Roman" w:hAnsi="Times New Roman"/>
          <w:sz w:val="14"/>
          <w:szCs w:val="14"/>
          <w:color w:val="FF0000"/>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SUBJECT TO COMPLETION, DATED OCTOBER 27,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ZURA BIO LIMITED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$700,000,000</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 Shares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Shares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p>
      <w:pPr>
        <w:spacing w:after="0" w:line="156"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 xml:space="preserve">From time to time, we may offer and sell up to $700,000,000 in the aggregate of our Class A ordinary shares, par value $0.0001 per share </w:t>
      </w:r>
      <w:r>
        <w:rPr>
          <w:rFonts w:ascii="Times New Roman" w:cs="Times New Roman" w:eastAsia="Times New Roman" w:hAnsi="Times New Roman"/>
          <w:sz w:val="14"/>
          <w:szCs w:val="14"/>
          <w:color w:val="212529"/>
        </w:rPr>
        <w:t>(the “Class A Ordinary Shares”)</w:t>
      </w:r>
      <w:r>
        <w:rPr>
          <w:rFonts w:ascii="Times New Roman" w:cs="Times New Roman" w:eastAsia="Times New Roman" w:hAnsi="Times New Roman"/>
          <w:sz w:val="14"/>
          <w:szCs w:val="14"/>
          <w:color w:val="auto"/>
        </w:rPr>
        <w:t xml:space="preserve">, preference shares, par value $0.0001 per share </w:t>
      </w:r>
      <w:r>
        <w:rPr>
          <w:rFonts w:ascii="Times New Roman" w:cs="Times New Roman" w:eastAsia="Times New Roman" w:hAnsi="Times New Roman"/>
          <w:sz w:val="14"/>
          <w:szCs w:val="14"/>
          <w:color w:val="212529"/>
        </w:rPr>
        <w:t>(the “preference shares”),</w:t>
      </w:r>
      <w:r>
        <w:rPr>
          <w:rFonts w:ascii="Times New Roman" w:cs="Times New Roman" w:eastAsia="Times New Roman" w:hAnsi="Times New Roman"/>
          <w:sz w:val="14"/>
          <w:szCs w:val="14"/>
          <w:color w:val="auto"/>
        </w:rPr>
        <w:t xml:space="preserve"> debt securities, warrants and/or units to purchase any of such securities, described in this prospectus, either individually or in combination with other securities or in units, in one or more offerings. We may also offer securities as may be issuable upon conversion, redemption, repurchase, exchange or exercise of any securities registered hereunder, including any applicable antidilution provisions.</w:t>
      </w:r>
    </w:p>
    <w:p>
      <w:pPr>
        <w:spacing w:after="0" w:line="145" w:lineRule="exact"/>
        <w:rPr>
          <w:sz w:val="20"/>
          <w:szCs w:val="20"/>
          <w:color w:val="auto"/>
        </w:rPr>
      </w:pPr>
    </w:p>
    <w:p>
      <w:pPr>
        <w:jc w:val="both"/>
        <w:ind w:firstLine="246"/>
        <w:spacing w:after="0" w:line="277" w:lineRule="auto"/>
        <w:rPr>
          <w:sz w:val="20"/>
          <w:szCs w:val="20"/>
          <w:color w:val="auto"/>
        </w:rPr>
      </w:pPr>
      <w:r>
        <w:rPr>
          <w:rFonts w:ascii="Times New Roman" w:cs="Times New Roman" w:eastAsia="Times New Roman" w:hAnsi="Times New Roman"/>
          <w:sz w:val="13"/>
          <w:szCs w:val="13"/>
          <w:color w:val="auto"/>
        </w:rPr>
        <w:t>This prospectus provides a general description of the securities we may offer. As may be required, each time we offer and sell securities, we will file a prospectus supplement to this prospectus that contains specific information about the offering and, if applicable, the amounts, prices and terms of the securities offered.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any securities unless accompanied by a prospectus supplement.</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212529"/>
        </w:rPr>
        <w:t xml:space="preserve">Our Class A Ordinary Shares </w:t>
      </w:r>
      <w:r>
        <w:rPr>
          <w:rFonts w:ascii="Times New Roman" w:cs="Times New Roman" w:eastAsia="Times New Roman" w:hAnsi="Times New Roman"/>
          <w:sz w:val="14"/>
          <w:szCs w:val="14"/>
          <w:color w:val="000000"/>
        </w:rPr>
        <w:t>are currently listed on the Nasdaq Capital Market (“Nasdaq”) under the symbol “ZURA”. On October 26, 2026, the last reported sales price of our Class A Ordinary Shares</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was $3.56 per share. The applicable prospectus supplement will contain information, where applicable, as to any other listing on Nasdaq or any securities market or other exchange of the securities, if any,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320040</wp:posOffset>
            </wp:positionV>
            <wp:extent cx="716534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 w:name="page4"/>
    <w:bookmarkEnd w:id="3"/>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options to purchase additional securities will be set forth in a prospectus supplement. The price to the public of such securities and the net proceeds we expect to receive from such sale will also be set forth in a prospectus supplement.</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color w:val="auto"/>
        </w:rPr>
        <w:t>We are a “smaller reporting company” under applicable Securities and Exchange Commission rules and an “emerging growth company” as defined by the Jumpstart Our Business Startups Act of 2012, and as such, have elected to comply with reduced public company reporting requirements for this prospectus and the documents incorporated by reference herein and may elect to comply with reduced public company reporting requirements in future filings.</w:t>
      </w:r>
    </w:p>
    <w:p>
      <w:pPr>
        <w:spacing w:after="0" w:line="136" w:lineRule="exact"/>
        <w:rPr>
          <w:sz w:val="20"/>
          <w:szCs w:val="20"/>
          <w:color w:val="auto"/>
        </w:rPr>
      </w:pPr>
    </w:p>
    <w:p>
      <w:pPr>
        <w:jc w:val="both"/>
        <w:ind w:firstLine="246"/>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Investing in our securities involves a high degree of risk. You should review carefully the risks and uncertainties described under the heading “Risk Factors” on page 7 of this prospectus as well as those contained in the applicable prospectus supplement and any related free writing prospectus, and under similar headings in the other documents that are incorporated by reference into this prospectus.</w:t>
      </w:r>
    </w:p>
    <w:p>
      <w:pPr>
        <w:spacing w:after="0" w:line="13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60" w:type="dxa"/>
            <w:vAlign w:val="bottom"/>
          </w:tcPr>
          <w:p>
            <w:pPr>
              <w:ind w:left="4480"/>
              <w:spacing w:after="0"/>
              <w:rPr>
                <w:sz w:val="20"/>
                <w:szCs w:val="20"/>
                <w:color w:val="auto"/>
              </w:rPr>
            </w:pPr>
            <w:r>
              <w:rPr>
                <w:rFonts w:ascii="Times New Roman" w:cs="Times New Roman" w:eastAsia="Times New Roman" w:hAnsi="Times New Roman"/>
                <w:sz w:val="14"/>
                <w:szCs w:val="14"/>
                <w:color w:val="auto"/>
              </w:rPr>
              <w:t>The date of this prospectus is</w:t>
            </w:r>
          </w:p>
        </w:tc>
        <w:tc>
          <w:tcPr>
            <w:tcW w:w="5020" w:type="dxa"/>
            <w:vAlign w:val="bottom"/>
          </w:tcPr>
          <w:p>
            <w:pPr>
              <w:jc w:val="right"/>
              <w:ind w:right="4412"/>
              <w:spacing w:after="0"/>
              <w:rPr>
                <w:sz w:val="20"/>
                <w:szCs w:val="20"/>
                <w:color w:val="auto"/>
              </w:rPr>
            </w:pPr>
            <w:r>
              <w:rPr>
                <w:rFonts w:ascii="Times New Roman" w:cs="Times New Roman" w:eastAsia="Times New Roman" w:hAnsi="Times New Roman"/>
                <w:sz w:val="14"/>
                <w:szCs w:val="14"/>
                <w:color w:val="auto"/>
              </w:rPr>
              <w:t>, 2026.</w:t>
            </w:r>
          </w:p>
        </w:tc>
      </w:tr>
      <w:tr>
        <w:trPr>
          <w:trHeight w:val="514"/>
        </w:trPr>
        <w:tc>
          <w:tcPr>
            <w:tcW w:w="62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2" w:right="3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29"/>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40" w:type="dxa"/>
            <w:vAlign w:val="bottom"/>
            <w:gridSpan w:val="3"/>
          </w:tcPr>
          <w:p>
            <w:pPr>
              <w:ind w:left="634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5"/>
        </w:trPr>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ABOUT THIS PROSPECTUS</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MARKET AND INDUSTRY DATA</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TRADEMARKS</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PROSPECTUS SUMMARY</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RISK FACTORS</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USE OF PROCEEDS</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SECURITIES WE MAY OFFER</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DESCRIPTION OF SHARES</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DESCRIPTION OF WARRANTS</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DESCRIPTION OF UNITS</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PLAN OF DISTRIBUTION</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LEGAL MATTERS</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EXPERTS</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6480" w:type="dxa"/>
            <w:vAlign w:val="bottom"/>
            <w:tcBorders>
              <w:top w:val="single" w:sz="8" w:color="CCEEFF"/>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60" w:type="dxa"/>
            <w:vAlign w:val="bottom"/>
            <w:gridSpan w:val="18"/>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6620" w:type="dxa"/>
            <w:vAlign w:val="bottom"/>
            <w:tcBorders>
              <w:right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5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480" w:type="dxa"/>
            <w:vAlign w:val="bottom"/>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Securities and Exchange Commission (the “SEC”) using the “shelf” registration process. Under this shelf registration process, we may, from time to time, issue, offer and sell, as applicable, any combination, either individually or in units, of the securities described in this prospectus in one or more offerings from time to time up to a total aggregate offering price of $700,000,000 through any means described in the section 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by Reference</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We have not authorized any other person to provide you with different or additional information. If anyone provides you with different or additional information, you should not rely on it. We may only offer to sell, and seek offers to buy, any securities in jurisdictions where offers and sales are permitted.</w:t>
      </w:r>
    </w:p>
    <w:p>
      <w:pPr>
        <w:spacing w:after="0" w:line="135"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This prospectus incorporates by reference, and any prospectus supplement or free writing prospectus may contain and incorporate by reference, certain market and industry data obtained from independent market research, industry publications and surveys, governmental agencies and publicly available information. Industry surveys, publications and forecasts generally state that the information contained therein has been obtained from sources believed to be reliable, although they do not guarantee the accuracy or completeness of such information. We believe the data from such third-party sources to be reliable. However, we have not independently verified any of such data and cannot guarantee its accuracy or completeness. Similarly, internal market research and industry forecasts, which we believe to be reliable based upon our management’s knowledge of the market and the industry, have not been verified by any independent sources. While we are not aware of any misstatements regarding the market or industry data presented herein, our estimates involve risks and uncertainties and are subject to change based on various factors.</w:t>
      </w:r>
    </w:p>
    <w:p>
      <w:pPr>
        <w:spacing w:after="0" w:line="148"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Unless otherwise stated, the terms “we,” “us,” “our” and “Zura” refer to Zura Bio Limited, a Cayman Islands exempted company, or its affiliates.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Certain information contained in this document relates to or is based on studies, publications, surveys and other data obtained from third-party sources and our own internal estimates and research. While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 Notwithstanding the foregoing, we are not liable for the information provided in this prospectus.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This document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owner or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2"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and any prospectus supplement delivered with this prospectus contain forward-looking statements within the meaning of the safe harbor provisions of the Private Securities Litigation Reform Act of 1995. This includes, without limitation, statements regarding our financial position, business strategy, our objectives, plans, expectations and assumptions.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47"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The forward-looking statements are based on the current expectations of the Company and its management thereof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p>
      <w:pPr>
        <w:spacing w:after="0" w:line="145" w:lineRule="exact"/>
        <w:rPr>
          <w:sz w:val="20"/>
          <w:szCs w:val="20"/>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our expectations regarding our product candidates and their related benefits, and our beliefs regarding competing product candidates or approved products, may not be achieved;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our vision and strategy may not be successful;</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timing of key events and initiation of our studies and release of clinical data may take longer than anticipated or may not be achieved at all;</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expectations regarding the potential general acceptability and maintenance of our product candidates by regulatory authorities, payors, physicians, and patients may not be achieved;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may be unable to attract and retain key personnel;</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expectations with respect to our future operating expenses, capital requirements and needs for additional financing may not be achieved;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have not completed any clinical trials, and have no products approved for commercial sale;</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have incurred significant losses since inception, and expect to incur significant losses for the foreseeable future and may not be able to achieve or sustain profitability in the future;</w:t>
      </w:r>
    </w:p>
    <w:p>
      <w:pPr>
        <w:spacing w:after="0" w:line="166"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will continue to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8" w:name="page9"/>
    <w:bookmarkEnd w:id="8"/>
    <w:p>
      <w:pPr>
        <w:ind w:left="500" w:hanging="251"/>
        <w:spacing w:after="0"/>
        <w:tabs>
          <w:tab w:leader="none" w:pos="5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may be unable to renew existing contracts, enter into new contracts, or may experience disputes or other challenges with respect to our vendors or other third parties;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rely on third-party contract development manufacturing organizations for the manufacture of clinical materials;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rely on contract research organizations, clinical trial sites, and other third parties to conduct our preclinical studies and clinical trials;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may be unable to obtain regulatory approval for our product candidates, and there may be related restrictions or limitations of any approved products;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may be unable to successfully respond to general economic and geopolitical conditions;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may be unable to effectively achieve or manage growth;</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face competitive pressures from other companies worldwide;</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may be unable to adequately protect our intellectual property rights;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our expectations regarding the use of proceeds from offerings of our securities under this prospectus; and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other factors set forth in documents filed, or to be filed, with the SEC.</w:t>
      </w:r>
    </w:p>
    <w:p>
      <w:pPr>
        <w:spacing w:after="0" w:line="167" w:lineRule="exact"/>
        <w:rPr>
          <w:sz w:val="20"/>
          <w:szCs w:val="20"/>
          <w:color w:val="auto"/>
        </w:rPr>
      </w:pPr>
    </w:p>
    <w:p>
      <w:pPr>
        <w:jc w:val="both"/>
        <w:ind w:firstLine="246"/>
        <w:spacing w:after="0" w:line="248" w:lineRule="auto"/>
        <w:rPr>
          <w:sz w:val="20"/>
          <w:szCs w:val="20"/>
          <w:color w:val="auto"/>
        </w:rPr>
      </w:pPr>
      <w:r>
        <w:rPr>
          <w:rFonts w:ascii="Times New Roman" w:cs="Times New Roman" w:eastAsia="Times New Roman" w:hAnsi="Times New Roman"/>
          <w:sz w:val="14"/>
          <w:szCs w:val="14"/>
          <w:color w:val="auto"/>
        </w:rPr>
        <w:t>Additional discussion of the risks, uncertainties and other factors described above, as well as other risks material to our business, can be found in the section titled “Risk Factors” contained elsewhere in this prospectus and in any applicable prospectus supplement,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We may not actually achieve the plans, intentions or expectations disclosed in our forward-looking statements.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Our forward-looking statements do not reflect the potential impact of any future acquisitions, mergers, dispositions, joint ventures, investments or other transactions we may execute.</w:t>
      </w:r>
    </w:p>
    <w:p>
      <w:pPr>
        <w:spacing w:after="0" w:line="150"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Forward-looking statements are not guarantees of performance. You should not put undue reliance on our forward-looking statements. Forward-looking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188595</wp:posOffset>
            </wp:positionH>
            <wp:positionV relativeFrom="page">
              <wp:posOffset>464185</wp:posOffset>
            </wp:positionV>
            <wp:extent cx="7171055" cy="3572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1055" cy="3572510"/>
                    </a:xfrm>
                    <a:prstGeom prst="rect">
                      <a:avLst/>
                    </a:prstGeom>
                    <a:noFill/>
                  </pic:spPr>
                </pic:pic>
              </a:graphicData>
            </a:graphic>
          </wp:anchor>
        </w:drawing>
        <w:t>PROSPECTUS SUMMARY</w:t>
      </w:r>
    </w:p>
    <w:p>
      <w:pPr>
        <w:spacing w:after="0" w:line="168"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included in this prospectus or incorporated by reference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Class A Ordinary Shares, you should carefully read this entire prospectus, including the information under “Risk Factors” contained in this prospectus and any applicable prospectus supplement, and under similar headings in the other documents that are incorporated by reference in this prospectus. You should also carefully read the information incorporated by reference into this prospectus, including our financial statements, and exhibits to the registration statement of which this prospectus is a part. Unless the context indicates otherwise, references in this prospectus to “Zura,” “Company,” “we,” “us,” “our” and similar terms are intended to refer to Zura Bio Limited and its consolidated subsidiaries, and references in this prospectus to the “Board of Directors” or “Zura Board” are intended to refer to the board of directors of Zura Bio Limited.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are a clinical-stage biotech company developing novel and differentiated medicines to meaningfully improve the lives of patients with serious and debilitating autoimmune and inflammatory diseases, including those with significant unmet medical need. These diseases are often chronic and biologically complex, and many patients do not achieve durable disease control with currently available therapies.</w:t>
      </w:r>
    </w:p>
    <w:p>
      <w:pPr>
        <w:spacing w:after="0" w:line="14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focus on immune-mediated diseases in which translational and clinical evidence supports the involvement of specific biological pathways in disease pathogenesis. We are currently advancing our lead product candidate in Phase 2 clinical trials and are evaluating development opportunities across our pipeline of clinical-stage antibody assets, with a focus on indications with unmet medical need and commercial potential.</w:t>
      </w:r>
    </w:p>
    <w:p>
      <w:pPr>
        <w:spacing w:after="0" w:line="142"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Our lead product candidate, tibulizumab (ZB-106), is a bispecific dual-antagonist antibody engineered by the fusion of tabalumab with a single-chain variable fragment (scFv) derived from ixekizumab (Taltz®). Tibulizumab is designed to neutralize interleukin-17 and B-cell activating factor, two cytokines implicated in autoimmune and inflammatory diseases.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Exchange Listing</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Zura’s Class A Ordinary Shares are currently listed on Nasdaq under the symbol “ZURA”.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2" w:lineRule="exact"/>
        <w:rPr>
          <w:sz w:val="20"/>
          <w:szCs w:val="20"/>
          <w:color w:val="auto"/>
        </w:rPr>
      </w:pPr>
    </w:p>
    <w:p>
      <w:pPr>
        <w:jc w:val="both"/>
        <w:ind w:right="20" w:firstLine="246"/>
        <w:spacing w:after="0" w:line="256" w:lineRule="auto"/>
        <w:rPr>
          <w:sz w:val="20"/>
          <w:szCs w:val="20"/>
          <w:color w:val="auto"/>
        </w:rPr>
      </w:pPr>
      <w:r>
        <w:rPr>
          <w:rFonts w:ascii="Times New Roman" w:cs="Times New Roman" w:eastAsia="Times New Roman" w:hAnsi="Times New Roman"/>
          <w:sz w:val="14"/>
          <w:szCs w:val="14"/>
          <w:color w:val="auto"/>
        </w:rPr>
        <w:t>We are a Cayman Islands exempted company, formerly known as JATT Acquisition Corp, incorporated under the laws of the Cayman Islands on March 10, 2021. Our principal executive offices are located at 1489 W. Warm Springs Rd. #110, Henderson, NV. Our telephone number is (702) 825-9872. Our Class A Ordinary Shares are listed on the Nasdaq Capital Market under the symbol “ZURA.”</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10160</wp:posOffset>
            </wp:positionV>
            <wp:extent cx="716534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980"/>
          </w:cols>
          <w:pgMar w:left="460" w:top="893" w:right="459" w:bottom="1440" w:gutter="0" w:footer="0" w:header="0"/>
        </w:sectPr>
      </w:pPr>
    </w:p>
    <w:bookmarkStart w:id="10" w:name="page11"/>
    <w:bookmarkEnd w:id="10"/>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188595</wp:posOffset>
            </wp:positionH>
            <wp:positionV relativeFrom="page">
              <wp:posOffset>359410</wp:posOffset>
            </wp:positionV>
            <wp:extent cx="7171055" cy="2946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1055" cy="2946400"/>
                    </a:xfrm>
                    <a:prstGeom prst="rect">
                      <a:avLst/>
                    </a:prstGeom>
                    <a:noFill/>
                  </pic:spPr>
                </pic:pic>
              </a:graphicData>
            </a:graphic>
          </wp:anchor>
        </w:drawing>
        <w:t>Our internet website address is www.zurabio.com.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35"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“Zura Bio”, the Zura Bio logo and our other trademarks or service marks appearing in this prospectus supplement or incorporated herein by reference are our property. This prospectus supplement and the information incorporated herein by reference may contain additional trade names, trademarks and service marks of others, which are the property of their respective owners.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Smaller Reporting Company</w:t>
      </w:r>
    </w:p>
    <w:p>
      <w:pPr>
        <w:spacing w:after="0" w:line="172" w:lineRule="exact"/>
        <w:rPr>
          <w:sz w:val="20"/>
          <w:szCs w:val="20"/>
          <w:color w:val="auto"/>
        </w:rPr>
      </w:pPr>
    </w:p>
    <w:p>
      <w:pPr>
        <w:jc w:val="both"/>
        <w:ind w:firstLine="246"/>
        <w:spacing w:after="0" w:line="248"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December 31, 2026 or until we are no longer an “emerging growth company,” whichever is earlier. We will cease to be an emerging growth company prior to the end of such period if certain earlier events occur, including if we become a “large accelerated filer” as defined in Rule 12b-2 under the Exchange Act, our annual gross revenues exceed $1.235 billion or we issue more than $1.0 billion of non-convertible debt in any three-year period.</w:t>
      </w:r>
    </w:p>
    <w:p>
      <w:pPr>
        <w:spacing w:after="0" w:line="150" w:lineRule="exact"/>
        <w:rPr>
          <w:sz w:val="20"/>
          <w:szCs w:val="20"/>
          <w:color w:val="auto"/>
        </w:rPr>
      </w:pPr>
    </w:p>
    <w:p>
      <w:pPr>
        <w:jc w:val="both"/>
        <w:ind w:right="20" w:firstLine="246"/>
        <w:spacing w:after="0" w:line="256" w:lineRule="auto"/>
        <w:rPr>
          <w:sz w:val="20"/>
          <w:szCs w:val="20"/>
          <w:color w:val="auto"/>
        </w:rPr>
      </w:pPr>
      <w:r>
        <w:rPr>
          <w:rFonts w:ascii="Times New Roman" w:cs="Times New Roman" w:eastAsia="Times New Roman" w:hAnsi="Times New Roman"/>
          <w:sz w:val="14"/>
          <w:szCs w:val="14"/>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142"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We are also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Class A Ordinary Shares held by non-affiliates does not equal or exceed $250.0 million as of June 30th of such fiscal year, or (2) our annual revenues did not equal or exceed $100.0 million during the most recently completed fiscal year for which auditing financial statements are available and the market value of our Class A Ordinary Shares held by non-affiliates did not equal or exceed $700.0 million as of June 30th of such fiscal year. To the extent we take advantage of any reduced disclosure obligations, it may make the comparison of our financial statements with other public companies difficult or impossible.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10160</wp:posOffset>
            </wp:positionV>
            <wp:extent cx="716534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980"/>
          </w:cols>
          <w:pgMar w:left="460" w:top="733" w:right="4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2"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An investment in our securities involves a high degree of risk. In addition to the risks and uncertainties discussed above under “Cautionary Note Regarding Forward-Looking Statements,”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making an investment decision. Our business, prospects, financial condition or operating results could decline due to any of these risks and, as a result, you may lose all or part of your investment. The occurrence of any of these risks might cause you to lose all or part of your investment in the offered securities. We may face additional risks and uncertainties that are not presently known to us, or that we currently deem immaterial.</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2" w:lineRule="exact"/>
        <w:rPr>
          <w:sz w:val="20"/>
          <w:szCs w:val="20"/>
          <w:color w:val="auto"/>
        </w:rPr>
      </w:pPr>
    </w:p>
    <w:p>
      <w:pPr>
        <w:jc w:val="both"/>
        <w:ind w:firstLine="246"/>
        <w:spacing w:after="0" w:line="277" w:lineRule="auto"/>
        <w:rPr>
          <w:sz w:val="20"/>
          <w:szCs w:val="20"/>
          <w:color w:val="auto"/>
        </w:rPr>
      </w:pPr>
      <w:r>
        <w:rPr>
          <w:rFonts w:ascii="Times New Roman" w:cs="Times New Roman" w:eastAsia="Times New Roman" w:hAnsi="Times New Roman"/>
          <w:sz w:val="13"/>
          <w:szCs w:val="13"/>
          <w:color w:val="auto"/>
        </w:rPr>
        <w:t>Unless otherwise set forth in a prospectus supplement or any related free writing prospectus that we may authorize to be provided to you, we currently intend to use the net proceeds of any offering of securities for working capital and other general corporate purposes. Accordingly, we will have significant discretion in the use of any net proceeds. We will set forth in the applicable prospectus supplement or free writing prospectus our intended use for the net proceeds received from the sale of any securities sold pursuant to the prospectus supplement or free writing prospectus. Pending the use of net proceeds, we intend to invest the net proceeds in short-term, investment-grade, interest bearing obligations, certificates of deposit or direct or guaranteed obligations of the United States government.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t>SECURITIES WE MAY OFFER</w:t>
      </w:r>
    </w:p>
    <w:p>
      <w:pPr>
        <w:spacing w:after="0" w:line="172"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SHARES</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We are a company incorporated in the Cayman Islands as an exempted company and our affairs are governed by our Second Amended and Restated Memorandum and Articles of Association (the “MAA”), the Companies Act (Revised) of the Cayman Islands and the common law of the Cayman Islands. Pursuant to the MAA, our authorized share capital is $30,100 divided into 300,000,000 Class A Ordinary Shares, par value $0.0001 per share, no Class B ordinary shares, par value $0.001 per share, and 1,000,000 preference shares, par value $0.0001 per share. The following description summarizes certain terms of our shares as set out more particularly in the MAA. Because it is only a summary, it may not contain all the information that is important to you.</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Ordinary Shares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As of October 26, 2026, we had 96,325,411 Class A Ordinary Shares outstanding. Our shareholders of record are entitled to one vote for each share held on all matters to be voted on by shareholders.</w:t>
      </w:r>
    </w:p>
    <w:p>
      <w:pPr>
        <w:spacing w:after="0" w:line="179"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The members of our Board of Directors serve until the next annual general meeting. There is no cumulative voting with respect to the appointment of directors, with the result that the holders of more than 50% of the shares eligible to vote for the appointment of directors and voting at the applicable meeting can appoint all of the directors. Subject to the rights of any holders of preference shares to appoint directors, the number of directors that shall constitute the Zura Board shall be as determined from time to time exclusively by the Zura Board.</w:t>
      </w:r>
    </w:p>
    <w:p>
      <w:pPr>
        <w:spacing w:after="0" w:line="14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Directors may only be removed for cause by a majority of the other directors then in office (not including the director whose service is being terminated) or by the affirmative vote of such shareholders as, being entitled to do so, vote in person or, where proxies are allowed, by proxy at a general meeting of which notice specifying the intention to propose the resolution as a special resolution has been duly given, and, between such shareholders, hold and vote in favor of such special resolution shares carrying at least two-thirds (66 2∕3%) of the total votes attaching to all then-issued and outstanding shares of Zura entitled to vote thereon, voting together as a single class.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shareholders have no conversion, preemptive or other subscription rights and there are no sinking fund or redemption provisions applicable to the ordinary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Register of Members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Under Cayman Islands law, we must keep a register of members and there will be entered therein:</w:t>
      </w:r>
    </w:p>
    <w:p>
      <w:pPr>
        <w:spacing w:after="0" w:line="168" w:lineRule="exact"/>
        <w:rPr>
          <w:sz w:val="20"/>
          <w:szCs w:val="20"/>
          <w:color w:val="auto"/>
        </w:rPr>
      </w:pPr>
    </w:p>
    <w:p>
      <w:pPr>
        <w:jc w:val="both"/>
        <w:ind w:left="500" w:hanging="251"/>
        <w:spacing w:after="0" w:line="255" w:lineRule="auto"/>
        <w:tabs>
          <w:tab w:leader="none" w:pos="500" w:val="left"/>
        </w:tabs>
        <w:numPr>
          <w:ilvl w:val="0"/>
          <w:numId w:val="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names and addresses of the members, with the addition of a statement of the shares held by each member, that shall confirm the amount paid or agreed to be considered as paid, on the shares of each member, the number and category of shares held by each member, and whether each relevant category of shares held by a member carries the voting rights under the MAA, and if so, whether such voting rights are conditional;</w:t>
      </w:r>
    </w:p>
    <w:p>
      <w:pPr>
        <w:spacing w:after="0" w:line="143" w:lineRule="exact"/>
        <w:rPr>
          <w:rFonts w:ascii="Arial" w:cs="Arial" w:eastAsia="Arial" w:hAnsi="Arial"/>
          <w:sz w:val="14"/>
          <w:szCs w:val="14"/>
          <w:b w:val="1"/>
          <w:bCs w:val="1"/>
          <w:color w:val="auto"/>
        </w:rPr>
      </w:pPr>
    </w:p>
    <w:p>
      <w:pPr>
        <w:ind w:left="500" w:hanging="251"/>
        <w:spacing w:after="0"/>
        <w:tabs>
          <w:tab w:leader="none" w:pos="500" w:val="left"/>
        </w:tabs>
        <w:numPr>
          <w:ilvl w:val="0"/>
          <w:numId w:val="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date on which the name of any person was entered on the register as a member; and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date on which any person ceased to be a member.</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5" w:name="page16"/>
    <w:bookmarkEnd w:id="15"/>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shares, then the validity of such shares may be subject to re-examination by a Cayman Islands court.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Preference Shares</w:t>
      </w:r>
    </w:p>
    <w:p>
      <w:pPr>
        <w:spacing w:after="0" w:line="172"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Our MAA provide that preference shares may be issued from time to time in one or more series. Our Board of Directors are authorized to fix the voting rights, if any, designations, powers, preferences, the relative, participating, optional or other special rights and any qualifications, limitations and restrictions thereof, applicable to the shares of each series. Our Board of Directors are able to, without shareholder approval, issue preference shares with voting and other rights that could adversely affect the voting power and other rights of the holders of the Class A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outstanding at the date hereof. Although we do not currently intend to issue any preference shares, we cannot assure you that we will not do so in the future.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Athanor Letter Agreement</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On December 29, 2025, we entered into a letter agreement (the “Athanor Agreement”) with Athanor Capital, an exempted company incorporated under the laws of the Cayman Islands with limited liability (“Athanor”), pursuant to which we issued to Athanor 8,657,402 Class A Ordinary Shares (the “Athanor Shares”). Pursuant to the Athanor Agreement, Athanor is entitled to piggyback registration rights pursuant to which Athanor has the right to include the Athanor Shares in certain registered offerings or if we propose to file a registration statement under the Securities Act of 1933, as amended, with respect to the registration of equity securities, as set forth in the Athanor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We have not paid any cash dividends on our shares to date and do not expect to pay cash dividends in the foreseeable future. The payment of cash dividends in the future will be dependent upon our ability to comply with relevant legal requirements as well as our revenues and earnings, if any, capital requirements and general financial condition. The payment of any dividends will be within the discretion of the Zura Board. It is the present intention of our Board of Directors to retain all earnings, if any, for use in our business operations and, accordingly, our Board of Directors does not anticipate declaring any dividends in the foreseeable future.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Our Transfer Agent</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The transfer agent for our Class A Ordinary Shares is Continental Stock Transfer &amp; Trust Company, 17 Battery Place, New York, New York 10004. We have agreed to indemnify Continental Stock Transfer &amp; Trust Company in its roles as transfer agent, its agents and each of its shareholders,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 of Our Securities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Class A Ordinary Shares are listed on Nasdaq under the symbol “ZURA”.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Extraordinary General Meetings of Shareholders</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Our MAA provide that the directors, the chief executive officer or the chairman of the Board of Directors may call general meetings, and they shall on a shareholders’ requisition forthwith proceed to convene an extraordinary general meeting of the Company. A shareholders’ requisition is a requisition of shareholders holding at the date of deposit of the requisition not less than 10% in par value of the issued shares which as at that date carry the right to vote at general meetings of the Company.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Advance Notice Requirements for Shareholder Proposals and Director Nominations</w:t>
      </w:r>
    </w:p>
    <w:p>
      <w:pPr>
        <w:spacing w:after="0" w:line="172"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Our MAA provide that shareholders seeking to bring business before our annual general meeting, or to nominate candidates for election as directors at our annual general meeting, must provide timely notice of their intent in writing. To be timely, a shareholder’s notice will need to be delivered to our principal executive offices not less than 120 calendar days before the date of the proxy statement released to shareholders in connection with the previous year’s annual general meeting or, if we did not hold an annual general meeting in the previous year, or if the date of the current year’s annual general meeting has been changed by more than 30 days from the date of the previous year’s annual general meeting, then the deadline shall be set by our Board of Directors with such deadline being a reasonable time before we begin to print and send the related proxy materials. Our MAA also specify certain requirements as to the form and content of a shareholders’ meeting. These provisions may preclude our shareholders from bringing matters before our annual general meeting or from making nominations for directors at our annual general meeting.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Shares</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Our authorized but unissued Class A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w:t>
      </w:r>
    </w:p>
    <w:p>
      <w:pPr>
        <w:spacing w:after="0" w:line="142"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We will issue the debt securities under either the senior indenture or the subordinated indenture that we will enter into with trustee named in the applicable indenture. If we offer senior debt securities, we will issue them under the senior indenture. If we issue subordinated debt securities, we will issue them under the subordinated indenture. We have filed the forms of indentures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The indentures will be qualified under the Trust Indenture Act of 1939, as amended, or the Trust Indenture Act. Unless the context requires otherwise, whenever we refer to the indenture, we are referring to the senior indenture or the subordinated indenture, as applicable, and we also are referring to any supplemental indentures that specify the terms of a particular series of debt securities.</w:t>
      </w:r>
    </w:p>
    <w:p>
      <w:pPr>
        <w:spacing w:after="0" w:line="148"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The following summary of material provisions of the debt securities and the indentures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4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debt securities being offered, including:</w:t>
      </w:r>
    </w:p>
    <w:p>
      <w:pPr>
        <w:spacing w:after="0" w:line="168" w:lineRule="exact"/>
        <w:rPr>
          <w:sz w:val="20"/>
          <w:szCs w:val="20"/>
          <w:color w:val="auto"/>
        </w:rPr>
      </w:pPr>
    </w:p>
    <w:p>
      <w:pPr>
        <w:ind w:left="260" w:hanging="251"/>
        <w:spacing w:after="0"/>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title of the series of debt securities;</w:t>
      </w:r>
    </w:p>
    <w:p>
      <w:pPr>
        <w:spacing w:after="0" w:line="166" w:lineRule="exact"/>
        <w:rPr>
          <w:rFonts w:ascii="Arial" w:cs="Arial" w:eastAsia="Arial" w:hAnsi="Arial"/>
          <w:sz w:val="14"/>
          <w:szCs w:val="14"/>
          <w:b w:val="1"/>
          <w:bCs w:val="1"/>
          <w:color w:val="auto"/>
        </w:rPr>
      </w:pPr>
    </w:p>
    <w:p>
      <w:pPr>
        <w:ind w:left="260" w:hanging="251"/>
        <w:spacing w:after="0"/>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limit upon the aggregate principal amount that may be issued;</w:t>
      </w:r>
    </w:p>
    <w:p>
      <w:pPr>
        <w:spacing w:after="0" w:line="166" w:lineRule="exact"/>
        <w:rPr>
          <w:rFonts w:ascii="Arial" w:cs="Arial" w:eastAsia="Arial" w:hAnsi="Arial"/>
          <w:sz w:val="14"/>
          <w:szCs w:val="14"/>
          <w:b w:val="1"/>
          <w:bCs w:val="1"/>
          <w:color w:val="auto"/>
        </w:rPr>
      </w:pPr>
    </w:p>
    <w:p>
      <w:pPr>
        <w:ind w:left="260" w:hanging="251"/>
        <w:spacing w:after="0"/>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maturity date or dates;</w:t>
      </w:r>
    </w:p>
    <w:p>
      <w:pPr>
        <w:spacing w:after="0" w:line="166" w:lineRule="exact"/>
        <w:rPr>
          <w:rFonts w:ascii="Arial" w:cs="Arial" w:eastAsia="Arial" w:hAnsi="Arial"/>
          <w:sz w:val="14"/>
          <w:szCs w:val="14"/>
          <w:b w:val="1"/>
          <w:bCs w:val="1"/>
          <w:color w:val="auto"/>
        </w:rPr>
      </w:pPr>
    </w:p>
    <w:p>
      <w:pPr>
        <w:ind w:left="260" w:hanging="251"/>
        <w:spacing w:after="0"/>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form of the debt securities of the series;</w:t>
      </w:r>
    </w:p>
    <w:p>
      <w:pPr>
        <w:spacing w:after="0" w:line="166" w:lineRule="exact"/>
        <w:rPr>
          <w:rFonts w:ascii="Arial" w:cs="Arial" w:eastAsia="Arial" w:hAnsi="Arial"/>
          <w:sz w:val="14"/>
          <w:szCs w:val="14"/>
          <w:b w:val="1"/>
          <w:bCs w:val="1"/>
          <w:color w:val="auto"/>
        </w:rPr>
      </w:pPr>
    </w:p>
    <w:p>
      <w:pPr>
        <w:ind w:left="260" w:hanging="251"/>
        <w:spacing w:after="0"/>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applicability of any guarantees;</w:t>
      </w:r>
    </w:p>
    <w:p>
      <w:pPr>
        <w:spacing w:after="0" w:line="166" w:lineRule="exact"/>
        <w:rPr>
          <w:rFonts w:ascii="Arial" w:cs="Arial" w:eastAsia="Arial" w:hAnsi="Arial"/>
          <w:sz w:val="14"/>
          <w:szCs w:val="14"/>
          <w:b w:val="1"/>
          <w:bCs w:val="1"/>
          <w:color w:val="auto"/>
        </w:rPr>
      </w:pPr>
    </w:p>
    <w:p>
      <w:pPr>
        <w:ind w:left="260" w:hanging="251"/>
        <w:spacing w:after="0"/>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whether or not the debt securities will be secured or unsecured, and the terms of any secured debt;</w:t>
      </w:r>
    </w:p>
    <w:p>
      <w:pPr>
        <w:spacing w:after="0" w:line="166" w:lineRule="exact"/>
        <w:rPr>
          <w:rFonts w:ascii="Arial" w:cs="Arial" w:eastAsia="Arial" w:hAnsi="Arial"/>
          <w:sz w:val="14"/>
          <w:szCs w:val="14"/>
          <w:b w:val="1"/>
          <w:bCs w:val="1"/>
          <w:color w:val="auto"/>
        </w:rPr>
      </w:pPr>
    </w:p>
    <w:p>
      <w:pPr>
        <w:ind w:left="260" w:hanging="251"/>
        <w:spacing w:after="0"/>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whether the debt securities rank as senior debt, senior subordinated debt, subordinated debt or any combination thereof, and the terms of any subordination;</w:t>
      </w:r>
    </w:p>
    <w:p>
      <w:pPr>
        <w:spacing w:after="0" w:line="166" w:lineRule="exact"/>
        <w:rPr>
          <w:rFonts w:ascii="Arial" w:cs="Arial" w:eastAsia="Arial" w:hAnsi="Arial"/>
          <w:sz w:val="14"/>
          <w:szCs w:val="14"/>
          <w:b w:val="1"/>
          <w:bCs w:val="1"/>
          <w:color w:val="auto"/>
        </w:rPr>
      </w:pPr>
    </w:p>
    <w:p>
      <w:pPr>
        <w:jc w:val="both"/>
        <w:ind w:left="260" w:hanging="251"/>
        <w:spacing w:after="0" w:line="255" w:lineRule="auto"/>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43" w:lineRule="exact"/>
        <w:rPr>
          <w:rFonts w:ascii="Arial" w:cs="Arial" w:eastAsia="Arial" w:hAnsi="Arial"/>
          <w:sz w:val="14"/>
          <w:szCs w:val="14"/>
          <w:b w:val="1"/>
          <w:bCs w:val="1"/>
          <w:color w:val="auto"/>
        </w:rPr>
      </w:pPr>
    </w:p>
    <w:p>
      <w:pPr>
        <w:ind w:left="260" w:hanging="251"/>
        <w:spacing w:after="0" w:line="266" w:lineRule="auto"/>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35" w:lineRule="exact"/>
        <w:rPr>
          <w:rFonts w:ascii="Arial" w:cs="Arial" w:eastAsia="Arial" w:hAnsi="Arial"/>
          <w:sz w:val="14"/>
          <w:szCs w:val="14"/>
          <w:b w:val="1"/>
          <w:bCs w:val="1"/>
          <w:color w:val="auto"/>
        </w:rPr>
      </w:pPr>
    </w:p>
    <w:p>
      <w:pPr>
        <w:ind w:left="260" w:hanging="251"/>
        <w:spacing w:after="0"/>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166" w:lineRule="exact"/>
        <w:rPr>
          <w:rFonts w:ascii="Arial" w:cs="Arial" w:eastAsia="Arial" w:hAnsi="Arial"/>
          <w:sz w:val="14"/>
          <w:szCs w:val="14"/>
          <w:b w:val="1"/>
          <w:bCs w:val="1"/>
          <w:color w:val="auto"/>
        </w:rPr>
      </w:pPr>
    </w:p>
    <w:p>
      <w:pPr>
        <w:ind w:left="260" w:hanging="251"/>
        <w:spacing w:after="0" w:line="266" w:lineRule="auto"/>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35" w:lineRule="exact"/>
        <w:rPr>
          <w:rFonts w:ascii="Arial" w:cs="Arial" w:eastAsia="Arial" w:hAnsi="Arial"/>
          <w:sz w:val="14"/>
          <w:szCs w:val="14"/>
          <w:b w:val="1"/>
          <w:bCs w:val="1"/>
          <w:color w:val="auto"/>
        </w:rPr>
      </w:pPr>
    </w:p>
    <w:p>
      <w:pPr>
        <w:ind w:left="260" w:hanging="251"/>
        <w:spacing w:after="0" w:line="266" w:lineRule="auto"/>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35" w:lineRule="exact"/>
        <w:rPr>
          <w:rFonts w:ascii="Arial" w:cs="Arial" w:eastAsia="Arial" w:hAnsi="Arial"/>
          <w:sz w:val="14"/>
          <w:szCs w:val="14"/>
          <w:b w:val="1"/>
          <w:bCs w:val="1"/>
          <w:color w:val="auto"/>
        </w:rPr>
      </w:pPr>
    </w:p>
    <w:p>
      <w:pPr>
        <w:ind w:left="260" w:hanging="251"/>
        <w:spacing w:after="0"/>
        <w:tabs>
          <w:tab w:leader="none" w:pos="260" w:val="left"/>
        </w:tabs>
        <w:numPr>
          <w:ilvl w:val="0"/>
          <w:numId w:val="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3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10160</wp:posOffset>
            </wp:positionV>
            <wp:extent cx="716534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040"/>
          </w:cols>
          <w:pgMar w:left="540" w:top="722" w:right="319" w:bottom="1440" w:gutter="0" w:footer="0" w:header="0"/>
        </w:sectPr>
      </w:pPr>
    </w:p>
    <w:bookmarkStart w:id="19" w:name="page20"/>
    <w:bookmarkEnd w:id="19"/>
    <w:p>
      <w:pPr>
        <w:ind w:left="260" w:hanging="251"/>
        <w:spacing w:after="0" w:line="266" w:lineRule="auto"/>
        <w:tabs>
          <w:tab w:leader="none" w:pos="26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35" w:lineRule="exact"/>
        <w:rPr>
          <w:rFonts w:ascii="Arial" w:cs="Arial" w:eastAsia="Arial" w:hAnsi="Arial"/>
          <w:sz w:val="14"/>
          <w:szCs w:val="14"/>
          <w:b w:val="1"/>
          <w:bCs w:val="1"/>
          <w:color w:val="auto"/>
        </w:rPr>
      </w:pPr>
    </w:p>
    <w:p>
      <w:pPr>
        <w:ind w:left="260" w:hanging="251"/>
        <w:spacing w:after="0" w:line="266" w:lineRule="auto"/>
        <w:tabs>
          <w:tab w:leader="none" w:pos="26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35" w:lineRule="exact"/>
        <w:rPr>
          <w:rFonts w:ascii="Arial" w:cs="Arial" w:eastAsia="Arial" w:hAnsi="Arial"/>
          <w:sz w:val="14"/>
          <w:szCs w:val="14"/>
          <w:b w:val="1"/>
          <w:bCs w:val="1"/>
          <w:color w:val="auto"/>
        </w:rPr>
      </w:pPr>
    </w:p>
    <w:p>
      <w:pPr>
        <w:jc w:val="both"/>
        <w:ind w:left="260" w:hanging="251"/>
        <w:spacing w:after="0" w:line="255" w:lineRule="auto"/>
        <w:tabs>
          <w:tab w:leader="none" w:pos="26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43" w:lineRule="exact"/>
        <w:rPr>
          <w:rFonts w:ascii="Arial" w:cs="Arial" w:eastAsia="Arial" w:hAnsi="Arial"/>
          <w:sz w:val="14"/>
          <w:szCs w:val="14"/>
          <w:b w:val="1"/>
          <w:bCs w:val="1"/>
          <w:color w:val="auto"/>
        </w:rPr>
      </w:pPr>
    </w:p>
    <w:p>
      <w:pPr>
        <w:ind w:left="260" w:hanging="251"/>
        <w:spacing w:after="0"/>
        <w:tabs>
          <w:tab w:leader="none" w:pos="26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other than the full principal amount thereof, the portion of the principal amount of debt securities of the series which shall be payable upon declaration of acceleration of the maturity thereof;</w:t>
      </w:r>
    </w:p>
    <w:p>
      <w:pPr>
        <w:spacing w:after="0" w:line="166" w:lineRule="exact"/>
        <w:rPr>
          <w:rFonts w:ascii="Arial" w:cs="Arial" w:eastAsia="Arial" w:hAnsi="Arial"/>
          <w:sz w:val="14"/>
          <w:szCs w:val="14"/>
          <w:b w:val="1"/>
          <w:bCs w:val="1"/>
          <w:color w:val="auto"/>
        </w:rPr>
      </w:pPr>
    </w:p>
    <w:p>
      <w:pPr>
        <w:ind w:left="260" w:hanging="251"/>
        <w:spacing w:after="0"/>
        <w:tabs>
          <w:tab w:leader="none" w:pos="26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additions to or changes in the covenants applicable to the particular debt securities being issued, including, among others, the consolidation, merger or sale covenant;</w:t>
      </w:r>
    </w:p>
    <w:p>
      <w:pPr>
        <w:spacing w:after="0" w:line="166" w:lineRule="exact"/>
        <w:rPr>
          <w:rFonts w:ascii="Arial" w:cs="Arial" w:eastAsia="Arial" w:hAnsi="Arial"/>
          <w:sz w:val="14"/>
          <w:szCs w:val="14"/>
          <w:b w:val="1"/>
          <w:bCs w:val="1"/>
          <w:color w:val="auto"/>
        </w:rPr>
      </w:pPr>
    </w:p>
    <w:p>
      <w:pPr>
        <w:ind w:left="260" w:hanging="251"/>
        <w:spacing w:after="0" w:line="266" w:lineRule="auto"/>
        <w:tabs>
          <w:tab w:leader="none" w:pos="26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35" w:lineRule="exact"/>
        <w:rPr>
          <w:rFonts w:ascii="Arial" w:cs="Arial" w:eastAsia="Arial" w:hAnsi="Arial"/>
          <w:sz w:val="14"/>
          <w:szCs w:val="14"/>
          <w:b w:val="1"/>
          <w:bCs w:val="1"/>
          <w:color w:val="auto"/>
        </w:rPr>
      </w:pPr>
    </w:p>
    <w:p>
      <w:pPr>
        <w:ind w:left="260" w:hanging="251"/>
        <w:spacing w:after="0"/>
        <w:tabs>
          <w:tab w:leader="none" w:pos="26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166" w:lineRule="exact"/>
        <w:rPr>
          <w:rFonts w:ascii="Arial" w:cs="Arial" w:eastAsia="Arial" w:hAnsi="Arial"/>
          <w:sz w:val="14"/>
          <w:szCs w:val="14"/>
          <w:b w:val="1"/>
          <w:bCs w:val="1"/>
          <w:color w:val="auto"/>
        </w:rPr>
      </w:pPr>
    </w:p>
    <w:p>
      <w:pPr>
        <w:ind w:left="260" w:hanging="251"/>
        <w:spacing w:after="0"/>
        <w:tabs>
          <w:tab w:leader="none" w:pos="26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additions to or changes in the provisions relating to satisfaction and discharge of the indenture;</w:t>
      </w:r>
    </w:p>
    <w:p>
      <w:pPr>
        <w:spacing w:after="0" w:line="166" w:lineRule="exact"/>
        <w:rPr>
          <w:rFonts w:ascii="Arial" w:cs="Arial" w:eastAsia="Arial" w:hAnsi="Arial"/>
          <w:sz w:val="14"/>
          <w:szCs w:val="14"/>
          <w:b w:val="1"/>
          <w:bCs w:val="1"/>
          <w:color w:val="auto"/>
        </w:rPr>
      </w:pPr>
    </w:p>
    <w:p>
      <w:pPr>
        <w:ind w:left="260" w:hanging="251"/>
        <w:spacing w:after="0"/>
        <w:tabs>
          <w:tab w:leader="none" w:pos="26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additions to or changes in the provisions relating to the modification of the indenture both with and without the consent of holders of debt securities issued under the indenture;</w:t>
      </w:r>
    </w:p>
    <w:p>
      <w:pPr>
        <w:spacing w:after="0" w:line="166" w:lineRule="exact"/>
        <w:rPr>
          <w:rFonts w:ascii="Arial" w:cs="Arial" w:eastAsia="Arial" w:hAnsi="Arial"/>
          <w:sz w:val="14"/>
          <w:szCs w:val="14"/>
          <w:b w:val="1"/>
          <w:bCs w:val="1"/>
          <w:color w:val="auto"/>
        </w:rPr>
      </w:pPr>
    </w:p>
    <w:p>
      <w:pPr>
        <w:ind w:left="260" w:hanging="251"/>
        <w:spacing w:after="0"/>
        <w:tabs>
          <w:tab w:leader="none" w:pos="26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w:t>
      </w:r>
    </w:p>
    <w:p>
      <w:pPr>
        <w:spacing w:after="0" w:line="166" w:lineRule="exact"/>
        <w:rPr>
          <w:rFonts w:ascii="Arial" w:cs="Arial" w:eastAsia="Arial" w:hAnsi="Arial"/>
          <w:sz w:val="14"/>
          <w:szCs w:val="14"/>
          <w:b w:val="1"/>
          <w:bCs w:val="1"/>
          <w:color w:val="auto"/>
        </w:rPr>
      </w:pPr>
    </w:p>
    <w:p>
      <w:pPr>
        <w:ind w:left="260" w:hanging="251"/>
        <w:spacing w:after="0"/>
        <w:tabs>
          <w:tab w:leader="none" w:pos="26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whether interest will be payable in cash or additional debt securities at our or the holders’ option and the terms and conditions upon which the election may be made;</w:t>
      </w:r>
    </w:p>
    <w:p>
      <w:pPr>
        <w:spacing w:after="0" w:line="166" w:lineRule="exact"/>
        <w:rPr>
          <w:rFonts w:ascii="Arial" w:cs="Arial" w:eastAsia="Arial" w:hAnsi="Arial"/>
          <w:sz w:val="14"/>
          <w:szCs w:val="14"/>
          <w:b w:val="1"/>
          <w:bCs w:val="1"/>
          <w:color w:val="auto"/>
        </w:rPr>
      </w:pPr>
    </w:p>
    <w:p>
      <w:pPr>
        <w:ind w:left="260" w:hanging="251"/>
        <w:spacing w:after="0" w:line="266" w:lineRule="auto"/>
        <w:tabs>
          <w:tab w:leader="none" w:pos="260" w:val="left"/>
        </w:tabs>
        <w:numPr>
          <w:ilvl w:val="0"/>
          <w:numId w:val="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30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10160</wp:posOffset>
            </wp:positionV>
            <wp:extent cx="716534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040"/>
          </w:cols>
          <w:pgMar w:left="540" w:top="722" w:right="319" w:bottom="1440" w:gutter="0" w:footer="0" w:header="0"/>
        </w:sectPr>
      </w:pPr>
    </w:p>
    <w:bookmarkStart w:id="20" w:name="page21"/>
    <w:bookmarkEnd w:id="20"/>
    <w:p>
      <w:pPr>
        <w:ind w:left="500" w:hanging="251"/>
        <w:spacing w:after="0"/>
        <w:tabs>
          <w:tab w:leader="none" w:pos="500" w:val="left"/>
        </w:tabs>
        <w:numPr>
          <w:ilvl w:val="0"/>
          <w:numId w:val="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restrictions on transfer, sale or assignment of the debt securities of the series; and</w:t>
      </w:r>
    </w:p>
    <w:p>
      <w:pPr>
        <w:spacing w:after="0" w:line="166"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will set forth in the applicable prospectus supplement the terms on which a series of debt securities may be convertible into or exchangeable for our Class A Ordinary Shares or our other securities. We will include provisions as to settlement upon conversion or exchange and whether conversion or exchange is mandatory, at the option of the holder or at our option. We may include provisions pursuant to which the number of our Class A Ordinary Shares or our other securities that the holders of the series of debt securities receive would be subject to adjustment.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172"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35" w:lineRule="exact"/>
        <w:rPr>
          <w:sz w:val="20"/>
          <w:szCs w:val="20"/>
          <w:color w:val="auto"/>
        </w:rPr>
      </w:pPr>
    </w:p>
    <w:p>
      <w:pPr>
        <w:jc w:val="both"/>
        <w:ind w:left="500" w:hanging="251"/>
        <w:spacing w:after="0" w:line="255" w:lineRule="auto"/>
        <w:tabs>
          <w:tab w:leader="none" w:pos="500" w:val="left"/>
        </w:tabs>
        <w:numPr>
          <w:ilvl w:val="0"/>
          <w:numId w:val="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43" w:lineRule="exact"/>
        <w:rPr>
          <w:rFonts w:ascii="Arial" w:cs="Arial" w:eastAsia="Arial" w:hAnsi="Arial"/>
          <w:sz w:val="14"/>
          <w:szCs w:val="14"/>
          <w:b w:val="1"/>
          <w:bCs w:val="1"/>
          <w:color w:val="auto"/>
        </w:rPr>
      </w:pPr>
    </w:p>
    <w:p>
      <w:pPr>
        <w:jc w:val="both"/>
        <w:ind w:left="500" w:hanging="251"/>
        <w:spacing w:after="0" w:line="255" w:lineRule="auto"/>
        <w:tabs>
          <w:tab w:leader="none" w:pos="500" w:val="left"/>
        </w:tabs>
        <w:numPr>
          <w:ilvl w:val="0"/>
          <w:numId w:val="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21" w:name="page22"/>
    <w:bookmarkEnd w:id="21"/>
    <w:p>
      <w:pPr>
        <w:jc w:val="both"/>
        <w:ind w:left="500" w:hanging="251"/>
        <w:spacing w:after="0" w:line="255" w:lineRule="auto"/>
        <w:tabs>
          <w:tab w:leader="none" w:pos="500" w:val="left"/>
        </w:tabs>
        <w:numPr>
          <w:ilvl w:val="0"/>
          <w:numId w:val="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43" w:lineRule="exact"/>
        <w:rPr>
          <w:rFonts w:ascii="Arial" w:cs="Arial" w:eastAsia="Arial" w:hAnsi="Arial"/>
          <w:sz w:val="14"/>
          <w:szCs w:val="14"/>
          <w:b w:val="1"/>
          <w:bCs w:val="1"/>
          <w:color w:val="auto"/>
        </w:rPr>
      </w:pPr>
    </w:p>
    <w:p>
      <w:pPr>
        <w:ind w:left="500" w:hanging="251"/>
        <w:spacing w:after="0"/>
        <w:tabs>
          <w:tab w:leader="none" w:pos="500" w:val="left"/>
        </w:tabs>
        <w:numPr>
          <w:ilvl w:val="0"/>
          <w:numId w:val="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67"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45"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4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45" w:lineRule="exact"/>
        <w:rPr>
          <w:sz w:val="20"/>
          <w:szCs w:val="20"/>
          <w:color w:val="auto"/>
        </w:rPr>
      </w:pPr>
    </w:p>
    <w:p>
      <w:pPr>
        <w:ind w:left="500" w:hanging="251"/>
        <w:spacing w:after="0"/>
        <w:tabs>
          <w:tab w:leader="none" w:pos="500" w:val="left"/>
        </w:tabs>
        <w:numPr>
          <w:ilvl w:val="0"/>
          <w:numId w:val="1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166"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1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 or to appoint a receiver or trustee, or to seek other remedies only if:</w:t>
      </w:r>
    </w:p>
    <w:p>
      <w:pPr>
        <w:spacing w:after="0" w:line="168" w:lineRule="exact"/>
        <w:rPr>
          <w:sz w:val="20"/>
          <w:szCs w:val="20"/>
          <w:color w:val="auto"/>
        </w:rPr>
      </w:pPr>
    </w:p>
    <w:p>
      <w:pPr>
        <w:ind w:left="500" w:hanging="251"/>
        <w:spacing w:after="0"/>
        <w:tabs>
          <w:tab w:leader="none" w:pos="500" w:val="left"/>
        </w:tabs>
        <w:numPr>
          <w:ilvl w:val="0"/>
          <w:numId w:val="1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such holders have offered to the trustee indemnity satisfactory to it against the costs, expenses and liabilities to be incurred by the trustee in compliance with the request; and</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22" w:name="page23"/>
    <w:bookmarkEnd w:id="22"/>
    <w:p>
      <w:pPr>
        <w:ind w:left="500" w:hanging="251"/>
        <w:spacing w:after="0" w:line="266" w:lineRule="auto"/>
        <w:tabs>
          <w:tab w:leader="none" w:pos="500" w:val="left"/>
        </w:tabs>
        <w:numPr>
          <w:ilvl w:val="0"/>
          <w:numId w:val="1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and the trustee may change an indenture without the consent of any holders with respect to specific matters:</w:t>
      </w:r>
    </w:p>
    <w:p>
      <w:pPr>
        <w:spacing w:after="0" w:line="168" w:lineRule="exact"/>
        <w:rPr>
          <w:sz w:val="20"/>
          <w:szCs w:val="20"/>
          <w:color w:val="auto"/>
        </w:rPr>
      </w:pPr>
    </w:p>
    <w:p>
      <w:pPr>
        <w:ind w:left="500" w:hanging="251"/>
        <w:spacing w:after="0"/>
        <w:tabs>
          <w:tab w:leader="none" w:pos="500" w:val="left"/>
        </w:tabs>
        <w:numPr>
          <w:ilvl w:val="0"/>
          <w:numId w:val="1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cure any ambiguity, defect or inconsistency in the indenture or in the debt securities of any series;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comply with the provisions described above under “Description of Debt Securities—Consolidation, Merger or Sale;”</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provide for uncertificated debt securities in addition to or in place of certificated debt securities;</w:t>
      </w:r>
    </w:p>
    <w:p>
      <w:pPr>
        <w:spacing w:after="0" w:line="166" w:lineRule="exact"/>
        <w:rPr>
          <w:rFonts w:ascii="Arial" w:cs="Arial" w:eastAsia="Arial" w:hAnsi="Arial"/>
          <w:sz w:val="14"/>
          <w:szCs w:val="14"/>
          <w:b w:val="1"/>
          <w:bCs w:val="1"/>
          <w:color w:val="auto"/>
        </w:rPr>
      </w:pPr>
    </w:p>
    <w:p>
      <w:pPr>
        <w:jc w:val="both"/>
        <w:ind w:left="500" w:hanging="251"/>
        <w:spacing w:after="0" w:line="255" w:lineRule="auto"/>
        <w:tabs>
          <w:tab w:leader="none" w:pos="500" w:val="left"/>
        </w:tabs>
        <w:numPr>
          <w:ilvl w:val="0"/>
          <w:numId w:val="1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43"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1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135" w:lineRule="exact"/>
        <w:rPr>
          <w:rFonts w:ascii="Arial" w:cs="Arial" w:eastAsia="Arial" w:hAnsi="Arial"/>
          <w:sz w:val="14"/>
          <w:szCs w:val="14"/>
          <w:b w:val="1"/>
          <w:bCs w:val="1"/>
          <w:color w:val="auto"/>
        </w:rPr>
      </w:pPr>
    </w:p>
    <w:p>
      <w:pPr>
        <w:ind w:left="500" w:hanging="251"/>
        <w:spacing w:after="0"/>
        <w:tabs>
          <w:tab w:leader="none" w:pos="500" w:val="left"/>
        </w:tabs>
        <w:numPr>
          <w:ilvl w:val="0"/>
          <w:numId w:val="1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make any change that does not adversely affect the interests of any holder of debt securities of any series in any material respect;</w:t>
      </w:r>
    </w:p>
    <w:p>
      <w:pPr>
        <w:spacing w:after="0" w:line="166" w:lineRule="exact"/>
        <w:rPr>
          <w:rFonts w:ascii="Arial" w:cs="Arial" w:eastAsia="Arial" w:hAnsi="Arial"/>
          <w:sz w:val="14"/>
          <w:szCs w:val="14"/>
          <w:b w:val="1"/>
          <w:bCs w:val="1"/>
          <w:color w:val="auto"/>
        </w:rPr>
      </w:pPr>
    </w:p>
    <w:p>
      <w:pPr>
        <w:ind w:left="500" w:hanging="251"/>
        <w:spacing w:after="0" w:line="305" w:lineRule="auto"/>
        <w:tabs>
          <w:tab w:leader="none" w:pos="500" w:val="left"/>
        </w:tabs>
        <w:numPr>
          <w:ilvl w:val="0"/>
          <w:numId w:val="13"/>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112" w:lineRule="exact"/>
        <w:rPr>
          <w:rFonts w:ascii="Arial" w:cs="Arial" w:eastAsia="Arial" w:hAnsi="Arial"/>
          <w:sz w:val="13"/>
          <w:szCs w:val="13"/>
          <w:b w:val="1"/>
          <w:bCs w:val="1"/>
          <w:color w:val="auto"/>
        </w:rPr>
      </w:pPr>
    </w:p>
    <w:p>
      <w:pPr>
        <w:ind w:left="500" w:hanging="251"/>
        <w:spacing w:after="0"/>
        <w:tabs>
          <w:tab w:leader="none" w:pos="500" w:val="left"/>
        </w:tabs>
        <w:numPr>
          <w:ilvl w:val="0"/>
          <w:numId w:val="1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evidence and provide for the acceptance of appointment under any indenture by a successor trustee; or</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23" w:name="page24"/>
    <w:bookmarkEnd w:id="23"/>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42" w:lineRule="exact"/>
        <w:rPr>
          <w:sz w:val="20"/>
          <w:szCs w:val="20"/>
          <w:color w:val="auto"/>
        </w:rPr>
      </w:pPr>
    </w:p>
    <w:p>
      <w:pPr>
        <w:ind w:left="500" w:hanging="251"/>
        <w:spacing w:after="0"/>
        <w:tabs>
          <w:tab w:leader="none" w:pos="500" w:val="left"/>
        </w:tabs>
        <w:numPr>
          <w:ilvl w:val="0"/>
          <w:numId w:val="1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extending the fixed maturity of any debt securities of any series;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of any series of any debt securities; or</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4"/>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Each indenture provides that we can elect to be discharged from our obligations with respect to one or more series of debt securities, except for specified obligations, including obligations to:</w:t>
      </w:r>
    </w:p>
    <w:p>
      <w:pPr>
        <w:spacing w:after="0" w:line="168" w:lineRule="exact"/>
        <w:rPr>
          <w:sz w:val="20"/>
          <w:szCs w:val="20"/>
          <w:color w:val="auto"/>
        </w:rPr>
      </w:pPr>
    </w:p>
    <w:p>
      <w:pPr>
        <w:ind w:left="500" w:hanging="251"/>
        <w:spacing w:after="0"/>
        <w:tabs>
          <w:tab w:leader="none" w:pos="500" w:val="left"/>
        </w:tabs>
        <w:numPr>
          <w:ilvl w:val="0"/>
          <w:numId w:val="1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provide for payment;</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replace stolen, lost or mutilated debt securities of the series;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pay principal of and premium and interest on any debt securities of the series;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maintain paying agencies;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hold monies for payment in trust;</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recover excess money held by the trustee;</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compensate and indemnify the trustee; and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appoint any successor trustee.</w:t>
      </w:r>
    </w:p>
    <w:p>
      <w:pPr>
        <w:spacing w:after="0" w:line="167"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24" w:name="page25"/>
    <w:bookmarkEnd w:id="24"/>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35"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45"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If we elect to redeem the debt securities of any series, we will not be required to:</w:t>
      </w:r>
    </w:p>
    <w:p>
      <w:pPr>
        <w:spacing w:after="0" w:line="168" w:lineRule="exact"/>
        <w:rPr>
          <w:sz w:val="20"/>
          <w:szCs w:val="20"/>
          <w:color w:val="auto"/>
        </w:rPr>
      </w:pPr>
    </w:p>
    <w:p>
      <w:pPr>
        <w:ind w:left="500" w:hanging="251"/>
        <w:spacing w:after="0" w:line="266" w:lineRule="auto"/>
        <w:tabs>
          <w:tab w:leader="none" w:pos="500" w:val="left"/>
        </w:tabs>
        <w:numPr>
          <w:ilvl w:val="0"/>
          <w:numId w:val="1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35" w:lineRule="exact"/>
        <w:rPr>
          <w:rFonts w:ascii="Arial" w:cs="Arial" w:eastAsia="Arial" w:hAnsi="Arial"/>
          <w:sz w:val="14"/>
          <w:szCs w:val="14"/>
          <w:b w:val="1"/>
          <w:bCs w:val="1"/>
          <w:color w:val="auto"/>
        </w:rPr>
      </w:pPr>
    </w:p>
    <w:p>
      <w:pPr>
        <w:ind w:left="500" w:hanging="251"/>
        <w:spacing w:after="0"/>
        <w:tabs>
          <w:tab w:leader="none" w:pos="500" w:val="left"/>
        </w:tabs>
        <w:numPr>
          <w:ilvl w:val="0"/>
          <w:numId w:val="1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72"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35"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47"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72"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internal laws of the State of New York, except to the extent that the Trust Indenture Act of 1939 is applicable.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Provisions Relating only to the Subordinated Debt Securities</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The subordinated debt securities will be subordinate and junior in priority of payment to certain of our other indebtedness to the extent described in a prospectus supplement. The indentures in the forms initially filed as exhibits to the registration statement of which this prospectus is a part do not limit the amount of indebtedness which we may incur, including senior indebtedness or subordinated indebtedness, and do not limit us from issuing any other debt, including secured debt or unsecured debt.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2"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Ordinary Shares, preference shares or debt securities and may be issued in one or more series. Warrants may be offered independently or in combination with Class A Ordinary Shares, preference shares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48"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being offered, including:</w:t>
      </w:r>
    </w:p>
    <w:p>
      <w:pPr>
        <w:spacing w:after="0" w:line="168" w:lineRule="exact"/>
        <w:rPr>
          <w:sz w:val="20"/>
          <w:szCs w:val="20"/>
          <w:color w:val="auto"/>
        </w:rPr>
      </w:pPr>
    </w:p>
    <w:p>
      <w:pPr>
        <w:ind w:left="500" w:hanging="251"/>
        <w:spacing w:after="0"/>
        <w:tabs>
          <w:tab w:leader="none" w:pos="500" w:val="left"/>
        </w:tabs>
        <w:numPr>
          <w:ilvl w:val="0"/>
          <w:numId w:val="1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title of such securities;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offering price and aggregate number of warrants offered;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currency for which the warrants may be purchased;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7"/>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applicable, the designation and terms of the securities with which the warrants are issued and the number of warrants issued with each such security or each principal amount of such security;</w:t>
      </w:r>
    </w:p>
    <w:p>
      <w:pPr>
        <w:spacing w:after="0" w:line="178" w:lineRule="exact"/>
        <w:rPr>
          <w:rFonts w:ascii="Arial" w:cs="Arial" w:eastAsia="Arial" w:hAnsi="Arial"/>
          <w:sz w:val="13"/>
          <w:szCs w:val="13"/>
          <w:b w:val="1"/>
          <w:bCs w:val="1"/>
          <w:color w:val="auto"/>
        </w:rPr>
      </w:pPr>
    </w:p>
    <w:p>
      <w:pPr>
        <w:ind w:left="500" w:hanging="251"/>
        <w:spacing w:after="0"/>
        <w:tabs>
          <w:tab w:leader="none" w:pos="500" w:val="left"/>
        </w:tabs>
        <w:numPr>
          <w:ilvl w:val="0"/>
          <w:numId w:val="1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27" w:name="page28"/>
    <w:bookmarkEnd w:id="27"/>
    <w:p>
      <w:pPr>
        <w:ind w:left="500" w:hanging="251"/>
        <w:spacing w:after="0"/>
        <w:tabs>
          <w:tab w:leader="none" w:pos="5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if applicable, the minimum or maximum amount of such warrants which may be exercised at any one time;</w:t>
      </w:r>
    </w:p>
    <w:p>
      <w:pPr>
        <w:spacing w:after="0" w:line="166"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135"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in the case of warrants to purchase Class A Ordinary Shares or preference shares, the number of Class A Ordinary Shares or preference shares, as the case may be, purchasable upon the exercise of one warrant and the price at which these shares may be purchased upon such exercise;</w:t>
      </w:r>
    </w:p>
    <w:p>
      <w:pPr>
        <w:spacing w:after="0" w:line="135" w:lineRule="exact"/>
        <w:rPr>
          <w:rFonts w:ascii="Arial" w:cs="Arial" w:eastAsia="Arial" w:hAnsi="Arial"/>
          <w:sz w:val="14"/>
          <w:szCs w:val="14"/>
          <w:b w:val="1"/>
          <w:bCs w:val="1"/>
          <w:color w:val="auto"/>
        </w:rPr>
      </w:pPr>
    </w:p>
    <w:p>
      <w:pPr>
        <w:ind w:left="500" w:hanging="251"/>
        <w:spacing w:after="0"/>
        <w:tabs>
          <w:tab w:leader="none" w:pos="5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agreements and the warrants;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terms of any rights to redeem or call the warrants;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terms of any rights to force the exercise of the warrants;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manner in which the warrant agreements and warrants may be modified;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 discussion of any material or special U.S. federal income tax considerations of holding or exercising the warrants;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1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Before exercising their warrants, holders of warrants will not have any of the rights of holders of the securities purchasable upon such exercise, including:</w:t>
      </w:r>
    </w:p>
    <w:p>
      <w:pPr>
        <w:spacing w:after="0" w:line="168" w:lineRule="exact"/>
        <w:rPr>
          <w:sz w:val="20"/>
          <w:szCs w:val="20"/>
          <w:color w:val="auto"/>
        </w:rPr>
      </w:pPr>
    </w:p>
    <w:p>
      <w:pPr>
        <w:ind w:left="500" w:hanging="251"/>
        <w:spacing w:after="0" w:line="266" w:lineRule="auto"/>
        <w:tabs>
          <w:tab w:leader="none" w:pos="500" w:val="left"/>
        </w:tabs>
        <w:numPr>
          <w:ilvl w:val="0"/>
          <w:numId w:val="1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135"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1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in the case of warrants to purchase Class A Ordinary Shares or preference shares, the right to receive dividends, if any, or, payments upon our liquidation, dissolution or winding up or to exercise voting rights, if 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28" w:name="page29"/>
    <w:bookmarkEnd w:id="28"/>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 If we so indicate in the applicable prospectus supplement, holders of the warrants may surrender securities as all or part of the exercise price for warrants.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Unless we otherwise specify in the applicable prospectus supplement, the warrants and any warrant agreements will be governed by and construed in accordance with the laws of the State of New York.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Enforceability of Rights by Holders of Warrants</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2"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We might issue units composed of one or more debt securities, Class A Ordinary Shares, preference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We will file as exhibits to the registration statement of which this prospectus is a part, or will incorporate by reference from reports that we file with the SEC, the form of unit agreement, warrant and any supplemental agreements that describe the terms of the series of units we are offering before the issuance of the related series of units.</w:t>
      </w:r>
    </w:p>
    <w:p>
      <w:pPr>
        <w:spacing w:after="0" w:line="147"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We may choose to evidence each series of units by unit certificates that we would issue under a separate agreement. If we choose to evidence the units by unit certificates, we will enter into the unit agreements with a unit agent and will indicate the name and address of the unit agent in the applicable prospectus supplement relating to the particular series of units.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2"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We may sell the securities covered hereby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35" w:lineRule="exact"/>
        <w:rPr>
          <w:sz w:val="20"/>
          <w:szCs w:val="20"/>
          <w:color w:val="auto"/>
        </w:rPr>
      </w:pPr>
    </w:p>
    <w:p>
      <w:pPr>
        <w:ind w:left="500" w:hanging="251"/>
        <w:spacing w:after="0"/>
        <w:tabs>
          <w:tab w:leader="none" w:pos="500" w:val="left"/>
        </w:tabs>
        <w:numPr>
          <w:ilvl w:val="0"/>
          <w:numId w:val="2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at a fixed price or prices, which may be changed;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at market prices prevailing at the time of sale;</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at prices related to such prevailing market prices;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at varying prices determined at the time of sale; or</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at negotiated prices.</w:t>
      </w:r>
    </w:p>
    <w:p>
      <w:pPr>
        <w:spacing w:after="0" w:line="167"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either:</w:t>
      </w:r>
    </w:p>
    <w:p>
      <w:pPr>
        <w:spacing w:after="0" w:line="135" w:lineRule="exact"/>
        <w:rPr>
          <w:sz w:val="20"/>
          <w:szCs w:val="20"/>
          <w:color w:val="auto"/>
        </w:rPr>
      </w:pPr>
    </w:p>
    <w:p>
      <w:pPr>
        <w:ind w:left="500" w:hanging="251"/>
        <w:spacing w:after="0" w:line="266" w:lineRule="auto"/>
        <w:tabs>
          <w:tab w:leader="none" w:pos="500" w:val="left"/>
        </w:tabs>
        <w:numPr>
          <w:ilvl w:val="0"/>
          <w:numId w:val="2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on or through the facilities of The Nasdaq Capital Market or any other securities exchange or quotation or trading service on which such securities may be listed, quoted or traded at the time of sale; and/or</w:t>
      </w:r>
    </w:p>
    <w:p>
      <w:pPr>
        <w:spacing w:after="0" w:line="135" w:lineRule="exact"/>
        <w:rPr>
          <w:rFonts w:ascii="Arial" w:cs="Arial" w:eastAsia="Arial" w:hAnsi="Arial"/>
          <w:sz w:val="14"/>
          <w:szCs w:val="14"/>
          <w:b w:val="1"/>
          <w:bCs w:val="1"/>
          <w:color w:val="auto"/>
        </w:rPr>
      </w:pPr>
    </w:p>
    <w:p>
      <w:pPr>
        <w:ind w:left="500" w:hanging="251"/>
        <w:spacing w:after="0"/>
        <w:tabs>
          <w:tab w:leader="none" w:pos="500" w:val="left"/>
        </w:tabs>
        <w:numPr>
          <w:ilvl w:val="0"/>
          <w:numId w:val="2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to or through a market maker otherwise than on The Nasdaq Capital Market or such other securities exchanges or quotation or trading services.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Such at the market offerings, if any, may be conducted by underwriters acting as principal or agent.</w:t>
      </w:r>
    </w:p>
    <w:p>
      <w:pPr>
        <w:spacing w:after="0" w:line="168"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A prospectus supplement or supplements (and any related free writing prospectus that we may authorize to be provided to you) will describe the terms of the offering of the securities, including, to the extent applicable:</w:t>
      </w:r>
    </w:p>
    <w:p>
      <w:pPr>
        <w:spacing w:after="0" w:line="135" w:lineRule="exact"/>
        <w:rPr>
          <w:sz w:val="20"/>
          <w:szCs w:val="20"/>
          <w:color w:val="auto"/>
        </w:rPr>
      </w:pPr>
    </w:p>
    <w:p>
      <w:pPr>
        <w:ind w:left="500" w:hanging="251"/>
        <w:spacing w:after="0"/>
        <w:tabs>
          <w:tab w:leader="none" w:pos="500" w:val="left"/>
        </w:tabs>
        <w:numPr>
          <w:ilvl w:val="0"/>
          <w:numId w:val="2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name or names of any underwriters, dealers or agents, if any;</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purchase price of the securities and the proceeds we will receive from the sale;</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options under which underwriters may purchase additional securities from us;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agency fees or underwriting discounts and other items constituting agents’ or underwriters’ compensation;</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public offering price;</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any securities exchange or market on which the securities may be listed.</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31" w:name="page32"/>
    <w:bookmarkEnd w:id="31"/>
    <w:p>
      <w:pPr>
        <w:ind w:left="240"/>
        <w:spacing w:after="0"/>
        <w:rPr>
          <w:sz w:val="20"/>
          <w:szCs w:val="20"/>
          <w:color w:val="auto"/>
        </w:rPr>
      </w:pPr>
      <w:r>
        <w:rPr>
          <w:rFonts w:ascii="Times New Roman" w:cs="Times New Roman" w:eastAsia="Times New Roman" w:hAnsi="Times New Roman"/>
          <w:sz w:val="14"/>
          <w:szCs w:val="14"/>
          <w:color w:val="auto"/>
        </w:rPr>
        <w:t>Only underwriters named in the prospectus supplement are underwriters of the securities offered by the prospectus supplement.</w:t>
      </w:r>
    </w:p>
    <w:p>
      <w:pPr>
        <w:spacing w:after="0" w:line="168"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47"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w:t>
      </w:r>
    </w:p>
    <w:p>
      <w:pPr>
        <w:spacing w:after="0" w:line="135"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4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All securities we offer, other than our Class A Ordinary Shares, will be new issues of securities, and all securities we offer, other than our Class A Ordinary Shares, will have no established trading market. Any agents or underwriters may make a market in these securities, but will not be obligated to do so and may discontinue any market making at any time without notice. We cannot guarantee the liquidity of the trading markets for any securities.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2" w:name="page33"/>
    <w:bookmarkEnd w:id="32"/>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48" w:lineRule="exact"/>
        <w:rPr>
          <w:sz w:val="20"/>
          <w:szCs w:val="20"/>
          <w:color w:val="auto"/>
        </w:rPr>
      </w:pPr>
    </w:p>
    <w:p>
      <w:pPr>
        <w:jc w:val="both"/>
        <w:ind w:firstLine="246"/>
        <w:spacing w:after="0" w:line="274" w:lineRule="auto"/>
        <w:rPr>
          <w:sz w:val="20"/>
          <w:szCs w:val="20"/>
          <w:color w:val="auto"/>
        </w:rPr>
      </w:pPr>
      <w:r>
        <w:rPr>
          <w:rFonts w:ascii="Times New Roman" w:cs="Times New Roman" w:eastAsia="Times New Roman" w:hAnsi="Times New Roman"/>
          <w:sz w:val="13"/>
          <w:szCs w:val="13"/>
          <w:color w:val="auto"/>
        </w:rPr>
        <w:t>Any agents and underwriters who are qualified market makers on The Nasdaq Capital Market may engage in passive market making transactions in the securities on The Nasdaq Capital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2"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Certain matters with respect to U.S. federal and New York State law will be passed upon for us by Cooley LLP, New York, New York. Ogier (Cayman) LLP, Cayman Islands, will pass upon the validity of the securities offered in this prospectus with respect to the Class A Ordinary Shares and matters of Cayman Islands law.</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2" w:lineRule="exact"/>
        <w:rPr>
          <w:sz w:val="20"/>
          <w:szCs w:val="20"/>
          <w:color w:val="auto"/>
        </w:rPr>
      </w:pPr>
    </w:p>
    <w:p>
      <w:pPr>
        <w:jc w:val="both"/>
        <w:ind w:firstLine="246"/>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financial statements appearing in our </w:t>
      </w:r>
      <w:hyperlink r:id="rId46">
        <w:r>
          <w:rPr>
            <w:rFonts w:ascii="Times New Roman" w:cs="Times New Roman" w:eastAsia="Times New Roman" w:hAnsi="Times New Roman"/>
            <w:sz w:val="14"/>
            <w:szCs w:val="14"/>
            <w:u w:val="single" w:color="auto"/>
            <w:color w:val="0000EE"/>
          </w:rPr>
          <w:t>Annual Report on Form 10-K for the year ended December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have been audited by WithumSmith+Brown, PC (“Withum”), independent registered public accountants, as set forth in their report thereon, included therein, and incorporated herein by reference. The financial statements are incorporated herein by reference in reliance upon such report given on the authority of said firm as experts in accounting and auditing.</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www.zurabio.com, at which you may access these materials free of charge as soon as reasonably practicable after they are electronically filed with, or furnished to, the SEC. The information contained in, or that can be accessed through, our website is not part of this prospectus.</w:t>
      </w:r>
    </w:p>
    <w:p>
      <w:pPr>
        <w:spacing w:after="0" w:line="14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Our website address is www.zurabio.com. Through our website, we make available, free of charge, the following documents as soon as reasonably practicable after they are electronically filed with, or furnished to, the SEC, including our Annual Reports on Form 10-K; our proxy statements for our annual and extraordinary shareholder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2"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 (in each case, other than those documents or the portions of those documents not deemed to be filed, including the portions of these documents that are furnished under Item 2.02 or Item 7.01 of a Current Report on Form 8-K, including any exhibits included with such Items):</w:t>
      </w:r>
    </w:p>
    <w:p>
      <w:pPr>
        <w:spacing w:after="0" w:line="148" w:lineRule="exact"/>
        <w:rPr>
          <w:sz w:val="20"/>
          <w:szCs w:val="20"/>
          <w:color w:val="auto"/>
        </w:rPr>
      </w:pPr>
    </w:p>
    <w:p>
      <w:pPr>
        <w:ind w:left="500" w:hanging="251"/>
        <w:spacing w:after="0"/>
        <w:tabs>
          <w:tab w:leader="none" w:pos="500" w:val="left"/>
        </w:tabs>
        <w:numPr>
          <w:ilvl w:val="0"/>
          <w:numId w:val="23"/>
        </w:numPr>
        <w:rPr>
          <w:rFonts w:ascii="Times New Roman" w:cs="Times New Roman" w:eastAsia="Times New Roman" w:hAnsi="Times New Roman"/>
          <w:sz w:val="14"/>
          <w:szCs w:val="14"/>
          <w:u w:val="single" w:color="auto"/>
          <w:color w:val="0000EE"/>
        </w:rPr>
      </w:pPr>
      <w:hyperlink r:id="rId46">
        <w:r>
          <w:rPr>
            <w:rFonts w:ascii="Times New Roman" w:cs="Times New Roman" w:eastAsia="Times New Roman" w:hAnsi="Times New Roman"/>
            <w:sz w:val="14"/>
            <w:szCs w:val="14"/>
            <w:u w:val="single" w:color="auto"/>
            <w:color w:val="0000EE"/>
          </w:rPr>
          <w:t>our Annual Report on Form 10-K for the year ended December 31, 2025, filed with the SEC on March 19, 2026;</w:t>
        </w:r>
      </w:hyperlink>
    </w:p>
    <w:p>
      <w:pPr>
        <w:spacing w:after="0" w:line="166" w:lineRule="exact"/>
        <w:rPr>
          <w:rFonts w:ascii="Times New Roman" w:cs="Times New Roman" w:eastAsia="Times New Roman" w:hAnsi="Times New Roman"/>
          <w:sz w:val="14"/>
          <w:szCs w:val="14"/>
          <w:u w:val="single" w:color="auto"/>
          <w:color w:val="0000EE"/>
        </w:rPr>
      </w:pPr>
    </w:p>
    <w:p>
      <w:pPr>
        <w:ind w:left="500" w:hanging="251"/>
        <w:spacing w:after="0" w:line="266"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March 31, 2026, filed with the SEC on </w:t>
      </w:r>
      <w:hyperlink r:id="rId49">
        <w:r>
          <w:rPr>
            <w:rFonts w:ascii="Times New Roman" w:cs="Times New Roman" w:eastAsia="Times New Roman" w:hAnsi="Times New Roman"/>
            <w:sz w:val="14"/>
            <w:szCs w:val="14"/>
            <w:u w:val="single" w:color="auto"/>
            <w:color w:val="0000EE"/>
          </w:rPr>
          <w:t>May 7, 2026</w:t>
        </w:r>
      </w:hyperlink>
      <w:r>
        <w:rPr>
          <w:rFonts w:ascii="Times New Roman" w:cs="Times New Roman" w:eastAsia="Times New Roman" w:hAnsi="Times New Roman"/>
          <w:sz w:val="14"/>
          <w:szCs w:val="14"/>
          <w:color w:val="auto"/>
        </w:rPr>
        <w:t xml:space="preserve">, June 30, 2026, filed with the SEC on </w:t>
      </w:r>
      <w:hyperlink r:id="rId50">
        <w:r>
          <w:rPr>
            <w:rFonts w:ascii="Times New Roman" w:cs="Times New Roman" w:eastAsia="Times New Roman" w:hAnsi="Times New Roman"/>
            <w:sz w:val="14"/>
            <w:szCs w:val="14"/>
            <w:u w:val="single" w:color="auto"/>
            <w:color w:val="0000EE"/>
          </w:rPr>
          <w:t>August 11,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and September 30, 2026, filed with the SEC on October 27, 2026;</w:t>
      </w:r>
    </w:p>
    <w:p>
      <w:pPr>
        <w:spacing w:after="0" w:line="135" w:lineRule="exact"/>
        <w:rPr>
          <w:rFonts w:ascii="Times New Roman" w:cs="Times New Roman" w:eastAsia="Times New Roman" w:hAnsi="Times New Roman"/>
          <w:sz w:val="14"/>
          <w:szCs w:val="14"/>
          <w:color w:val="auto"/>
        </w:rPr>
      </w:pPr>
    </w:p>
    <w:p>
      <w:pPr>
        <w:ind w:left="500" w:hanging="251"/>
        <w:spacing w:after="0" w:line="266" w:lineRule="auto"/>
        <w:tabs>
          <w:tab w:leader="none" w:pos="500" w:val="left"/>
        </w:tabs>
        <w:numPr>
          <w:ilvl w:val="0"/>
          <w:numId w:val="23"/>
        </w:numPr>
        <w:rPr>
          <w:rFonts w:ascii="Times New Roman" w:cs="Times New Roman" w:eastAsia="Times New Roman" w:hAnsi="Times New Roman"/>
          <w:sz w:val="14"/>
          <w:szCs w:val="14"/>
          <w:color w:val="0000EE"/>
        </w:rPr>
      </w:pPr>
      <w:hyperlink r:id="rId51">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January 2, 2026, January 12,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January 26,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23,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26,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23,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22, 2026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June 18,</w:t>
        </w:r>
      </w:hyperlink>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hyperlink>
    </w:p>
    <w:p>
      <w:pPr>
        <w:spacing w:after="0" w:line="135" w:lineRule="exact"/>
        <w:rPr>
          <w:rFonts w:ascii="Times New Roman" w:cs="Times New Roman" w:eastAsia="Times New Roman" w:hAnsi="Times New Roman"/>
          <w:sz w:val="14"/>
          <w:szCs w:val="14"/>
          <w:color w:val="0000EE"/>
        </w:rPr>
      </w:pPr>
    </w:p>
    <w:p>
      <w:pPr>
        <w:ind w:left="500" w:hanging="251"/>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52">
        <w:r>
          <w:rPr>
            <w:rFonts w:ascii="Times New Roman" w:cs="Times New Roman" w:eastAsia="Times New Roman" w:hAnsi="Times New Roman"/>
            <w:sz w:val="14"/>
            <w:szCs w:val="14"/>
            <w:u w:val="single" w:color="auto"/>
            <w:color w:val="0000EE"/>
          </w:rPr>
          <w:t>Definitive Proxy Statement on Schedule 14A, filed with the SEC on April 30,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the portions thereof that are furnished and not filed); and</w:t>
      </w:r>
    </w:p>
    <w:p>
      <w:pPr>
        <w:spacing w:after="0" w:line="166" w:lineRule="exact"/>
        <w:rPr>
          <w:rFonts w:ascii="Times New Roman" w:cs="Times New Roman" w:eastAsia="Times New Roman" w:hAnsi="Times New Roman"/>
          <w:sz w:val="14"/>
          <w:szCs w:val="14"/>
          <w:color w:val="auto"/>
        </w:rPr>
      </w:pPr>
    </w:p>
    <w:p>
      <w:pPr>
        <w:ind w:left="500" w:hanging="251"/>
        <w:spacing w:after="0" w:line="266"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securities contained in our Registration Statement on </w:t>
      </w:r>
      <w:hyperlink r:id="rId53">
        <w:r>
          <w:rPr>
            <w:rFonts w:ascii="Times New Roman" w:cs="Times New Roman" w:eastAsia="Times New Roman" w:hAnsi="Times New Roman"/>
            <w:sz w:val="14"/>
            <w:szCs w:val="14"/>
            <w:u w:val="single" w:color="auto"/>
            <w:color w:val="0000EE"/>
          </w:rPr>
          <w:t>Form 8-A filed on July 13, 2021</w:t>
        </w:r>
      </w:hyperlink>
      <w:r>
        <w:rPr>
          <w:rFonts w:ascii="Times New Roman" w:cs="Times New Roman" w:eastAsia="Times New Roman" w:hAnsi="Times New Roman"/>
          <w:sz w:val="14"/>
          <w:szCs w:val="14"/>
          <w:color w:val="auto"/>
        </w:rPr>
        <w:t xml:space="preserve">, as updated by </w:t>
      </w:r>
      <w:hyperlink r:id="rId54">
        <w:r>
          <w:rPr>
            <w:rFonts w:ascii="Times New Roman" w:cs="Times New Roman" w:eastAsia="Times New Roman" w:hAnsi="Times New Roman"/>
            <w:sz w:val="14"/>
            <w:szCs w:val="14"/>
            <w:u w:val="single" w:color="auto"/>
            <w:color w:val="0000EE"/>
          </w:rPr>
          <w:t>Exhibit 4.2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2023, filed with the SEC on March 28, 2024, together with any amendment or report filed with the SEC for the purpose of updating such description.</w:t>
      </w:r>
    </w:p>
    <w:p>
      <w:pPr>
        <w:spacing w:after="0" w:line="135" w:lineRule="exact"/>
        <w:rPr>
          <w:rFonts w:ascii="Arial" w:cs="Arial" w:eastAsia="Arial" w:hAnsi="Arial"/>
          <w:sz w:val="14"/>
          <w:szCs w:val="14"/>
          <w:b w:val="1"/>
          <w:bCs w:val="1"/>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Notwithstanding the foregoing, information furnished under Items 2.02 and 7.01 of any Current Report on Form 8-K, including the related exhibits under Item 9.01, is not incorporated by reference in this prospectus or any prospectus supplement.</w:t>
      </w:r>
    </w:p>
    <w:p>
      <w:pPr>
        <w:spacing w:after="0" w:line="135" w:lineRule="exact"/>
        <w:rPr>
          <w:rFonts w:ascii="Arial" w:cs="Arial" w:eastAsia="Arial" w:hAnsi="Arial"/>
          <w:sz w:val="14"/>
          <w:szCs w:val="14"/>
          <w:b w:val="1"/>
          <w:bCs w:val="1"/>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All documents we subsequently file pursuant to Section 13(a), 13(c), 14 or 15(d) of the Exchange Act (in each case, other than those documents or the portions of those documents not deemed to be filed, including the portions of these documents that are furnished under Item 2.02 or Item 7.01 of a Current Report on Form 8-K, including any exhibits included with such Items), prior to the termination of this offering, including all such documents we may file after the date of the initial registration statement of which this prospectus forms a part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311" w:lineRule="exact"/>
        <w:rPr>
          <w:rFonts w:ascii="Arial" w:cs="Arial" w:eastAsia="Arial" w:hAnsi="Arial"/>
          <w:sz w:val="14"/>
          <w:szCs w:val="14"/>
          <w:b w:val="1"/>
          <w:bCs w:val="1"/>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36" w:name="page37"/>
    <w:bookmarkEnd w:id="36"/>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1489 W. Warm Springs Rd. #110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Henderson, NV 89014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Attn: Chief Legal Officer</w:t>
      </w:r>
    </w:p>
    <w:p>
      <w:pPr>
        <w:spacing w:after="0" w:line="3" w:lineRule="exact"/>
        <w:rPr>
          <w:sz w:val="20"/>
          <w:szCs w:val="20"/>
          <w:color w:val="auto"/>
        </w:rPr>
      </w:pPr>
    </w:p>
    <w:p>
      <w:pPr>
        <w:ind w:left="5540" w:hanging="324"/>
        <w:spacing w:after="0"/>
        <w:tabs>
          <w:tab w:leader="none" w:pos="55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825-9872</w:t>
      </w:r>
    </w:p>
    <w:p>
      <w:pPr>
        <w:spacing w:after="0" w:line="320"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467360</wp:posOffset>
            </wp:positionV>
            <wp:extent cx="716534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65340" cy="6350"/>
                    </a:xfrm>
                    <a:prstGeom prst="rect">
                      <a:avLst/>
                    </a:prstGeom>
                    <a:noFill/>
                  </pic:spPr>
                </pic:pic>
              </a:graphicData>
            </a:graphic>
          </wp:anchor>
        </w:drawing>
        <w:t>ZURA BIO LIMITED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$700,000,000</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ORDINARY SHARES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PREFERENCE SHARES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116840</wp:posOffset>
            </wp:positionV>
            <wp:extent cx="716534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wp:posOffset>
            </wp:positionV>
            <wp:extent cx="716534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335915</wp:posOffset>
            </wp:positionV>
            <wp:extent cx="716534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9019"/>
          </w:cols>
          <w:pgMar w:left="1440" w:top="893" w:right="1440"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4"/>
          <w:szCs w:val="14"/>
          <w:color w:val="FF0000"/>
        </w:rPr>
        <w:t>The information in this prospectus supplement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SUBJECT TO COMPLETION, DATED OCTOBER 27,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ZURA BIO LIMITED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Up to $114,044,900</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 Shares</w:t>
      </w:r>
    </w:p>
    <w:p>
      <w:pPr>
        <w:spacing w:after="0" w:line="172" w:lineRule="exact"/>
        <w:rPr>
          <w:sz w:val="20"/>
          <w:szCs w:val="20"/>
          <w:color w:val="auto"/>
        </w:rPr>
      </w:pPr>
    </w:p>
    <w:p>
      <w:pPr>
        <w:jc w:val="both"/>
        <w:ind w:firstLine="246"/>
        <w:spacing w:after="0" w:line="274" w:lineRule="auto"/>
        <w:rPr>
          <w:sz w:val="20"/>
          <w:szCs w:val="20"/>
          <w:color w:val="auto"/>
        </w:rPr>
      </w:pPr>
      <w:r>
        <w:rPr>
          <w:rFonts w:ascii="Times New Roman" w:cs="Times New Roman" w:eastAsia="Times New Roman" w:hAnsi="Times New Roman"/>
          <w:sz w:val="13"/>
          <w:szCs w:val="13"/>
          <w:color w:val="auto"/>
        </w:rPr>
        <w:t>We have entered into a sales agreement, dated September 3, 2024, as amended on October 27, 2026 (the “Sales Agreement”), with Leerink Partners LLC (“Leerink Partners”), relating to our Class A ordinary shares, par value $0.0001 per share (“Class A Ordinary Shares”), offered by this prospectus supplement and the accompanying prospectus. In accordance with the terms of the Sales Agreement, from time to time we may offer and sell our Class A Ordinary Shares having an aggregate gross sales price of up to $125,000,000 through Leerink Partners, acting as sales agent or principal, pursuant to this prospectus. As of the date of this prospectus supplement, we had issued and sold Class A Ordinary Shares having an aggregate offering price of $10,955,100 pursuant to the Sales Agreement and a prior sales agreement prospectus. Accordingly, we may offer and sell Class A Ordinary Shares having an aggregate offering price of up to $114,044,900 pursuant to this prospectus supplement.</w:t>
      </w:r>
    </w:p>
    <w:p>
      <w:pPr>
        <w:spacing w:after="0" w:line="132"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Our public shares are currently listed on the Nasdaq Capital Market (“Nasdaq”) under the symbol “ZURA”. On October 26, 2026, the last reported sales price of our Class A Ordinary Shares was $3.56 per share.</w:t>
      </w:r>
    </w:p>
    <w:p>
      <w:pPr>
        <w:spacing w:after="0" w:line="135"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Sales of our Class A Ordinary Shares, if any, under this prospectus supplement may be made in sales deemed to be an “at the market offering” as defined in Rule 415(a)(4) promulgated under the Securities Act of 1933, as amended (the “Securities Act”). Subject to terms of the Sales Agreement, Leerink Partners is not required to sell any specific number or dollar amount of securities but will act as our sales agent using commercially reasonable efforts consistent with its normal trading and sales practices, on mutually agreed terms between Leerink Partners and us. There is no arrangement for funds to be received in any escrow, trust or similar arrangement.</w:t>
      </w:r>
    </w:p>
    <w:p>
      <w:pPr>
        <w:spacing w:after="0" w:line="145"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Leerink Partners will be entitled to a commission of 3.0% of the gross sales price per share sold under the Sales Agreement. In connection with the sale of our Class A Ordinary Shares on our behalf, Leerink Partners will be deemed to be an “underwriter” within the meaning of the Securities Act and the compensation of Leerink Partners will be deemed to be underwriting commissions or discounts. We have also agreed to provide indemnification and contributions to Leerink Partners against certain civil liabilities, including liabilities under the Securities Act or the Securities Exchange Act of 1934, as amended (the “Exchange Act”). See “Plan of Distribution” beginning on page S-25 for additional information regarding the compensation to be paid to Leerink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321945</wp:posOffset>
            </wp:positionV>
            <wp:extent cx="716534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9" w:name="page40"/>
    <w:bookmarkEnd w:id="39"/>
    <w:p>
      <w:pPr>
        <w:ind w:firstLine="246"/>
        <w:spacing w:after="0" w:line="267" w:lineRule="auto"/>
        <w:rPr>
          <w:sz w:val="20"/>
          <w:szCs w:val="20"/>
          <w:color w:val="auto"/>
        </w:rPr>
      </w:pPr>
      <w:r>
        <w:rPr>
          <w:rFonts w:ascii="Times New Roman" w:cs="Times New Roman" w:eastAsia="Times New Roman" w:hAnsi="Times New Roman"/>
          <w:sz w:val="14"/>
          <w:szCs w:val="14"/>
          <w:color w:val="auto"/>
        </w:rPr>
        <w:t>We are an “emerging growth company” and a “smaller reporting company” under the federal securities laws and, as such, we have elected to comply with certain reduced public company reporting requirements for this prospectus supplement and related base prospectus and for future filings.</w:t>
      </w:r>
    </w:p>
    <w:p>
      <w:pPr>
        <w:spacing w:after="0" w:line="131" w:lineRule="exact"/>
        <w:rPr>
          <w:sz w:val="20"/>
          <w:szCs w:val="20"/>
          <w:color w:val="auto"/>
        </w:rPr>
      </w:pPr>
    </w:p>
    <w:p>
      <w:pPr>
        <w:ind w:firstLine="246"/>
        <w:spacing w:after="0" w:line="273" w:lineRule="auto"/>
        <w:rPr>
          <w:sz w:val="20"/>
          <w:szCs w:val="20"/>
          <w:color w:val="auto"/>
        </w:rPr>
      </w:pPr>
      <w:r>
        <w:rPr>
          <w:rFonts w:ascii="Times New Roman" w:cs="Times New Roman" w:eastAsia="Times New Roman" w:hAnsi="Times New Roman"/>
          <w:sz w:val="14"/>
          <w:szCs w:val="14"/>
          <w:b w:val="1"/>
          <w:bCs w:val="1"/>
          <w:color w:val="auto"/>
        </w:rPr>
        <w:t>Investing in our Class A Ordinary Shares involves a high degree of risk. You should review carefully the risks and uncertainties described under the heading “</w:t>
      </w:r>
      <w:r>
        <w:rPr>
          <w:rFonts w:ascii="Times New Roman" w:cs="Times New Roman" w:eastAsia="Times New Roman" w:hAnsi="Times New Roman"/>
          <w:sz w:val="14"/>
          <w:szCs w:val="14"/>
          <w:b w:val="1"/>
          <w:bCs w:val="1"/>
          <w:u w:val="single" w:color="auto"/>
          <w:color w:val="auto"/>
        </w:rPr>
        <w:t>Risk Factors</w:t>
      </w:r>
      <w:r>
        <w:rPr>
          <w:rFonts w:ascii="Times New Roman" w:cs="Times New Roman" w:eastAsia="Times New Roman" w:hAnsi="Times New Roman"/>
          <w:sz w:val="14"/>
          <w:szCs w:val="14"/>
          <w:b w:val="1"/>
          <w:bCs w:val="1"/>
          <w:color w:val="auto"/>
        </w:rPr>
        <w:t>” on page S-9 of this prospectus, and under similar headings in the documents that are incorporated by reference into this prospectus.</w:t>
      </w:r>
    </w:p>
    <w:p>
      <w:pPr>
        <w:spacing w:after="0" w:line="127" w:lineRule="exact"/>
        <w:rPr>
          <w:sz w:val="20"/>
          <w:szCs w:val="20"/>
          <w:color w:val="auto"/>
        </w:rPr>
      </w:pPr>
    </w:p>
    <w:p>
      <w:pPr>
        <w:ind w:firstLine="246"/>
        <w:spacing w:after="0" w:line="27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90805</wp:posOffset>
            </wp:positionV>
            <wp:extent cx="179260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Leerink Partners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20" w:type="dxa"/>
            <w:vAlign w:val="bottom"/>
          </w:tcPr>
          <w:p>
            <w:pPr>
              <w:ind w:left="4260"/>
              <w:spacing w:after="0"/>
              <w:rPr>
                <w:sz w:val="20"/>
                <w:szCs w:val="20"/>
                <w:color w:val="auto"/>
              </w:rPr>
            </w:pPr>
            <w:r>
              <w:rPr>
                <w:rFonts w:ascii="Times New Roman" w:cs="Times New Roman" w:eastAsia="Times New Roman" w:hAnsi="Times New Roman"/>
                <w:sz w:val="14"/>
                <w:szCs w:val="14"/>
                <w:b w:val="1"/>
                <w:bCs w:val="1"/>
                <w:color w:val="auto"/>
              </w:rPr>
              <w:t>The date of this prospectus is</w:t>
            </w:r>
          </w:p>
        </w:tc>
        <w:tc>
          <w:tcPr>
            <w:tcW w:w="4960" w:type="dxa"/>
            <w:vAlign w:val="bottom"/>
          </w:tcPr>
          <w:p>
            <w:pPr>
              <w:jc w:val="right"/>
              <w:ind w:right="4192"/>
              <w:spacing w:after="0"/>
              <w:rPr>
                <w:sz w:val="20"/>
                <w:szCs w:val="20"/>
                <w:color w:val="auto"/>
              </w:rPr>
            </w:pPr>
            <w:r>
              <w:rPr>
                <w:rFonts w:ascii="Times New Roman" w:cs="Times New Roman" w:eastAsia="Times New Roman" w:hAnsi="Times New Roman"/>
                <w:sz w:val="14"/>
                <w:szCs w:val="14"/>
                <w:b w:val="1"/>
                <w:bCs w:val="1"/>
                <w:color w:val="auto"/>
              </w:rPr>
              <w:t>, 2026</w:t>
            </w:r>
          </w:p>
        </w:tc>
      </w:tr>
      <w:tr>
        <w:trPr>
          <w:trHeight w:val="525"/>
        </w:trPr>
        <w:tc>
          <w:tcPr>
            <w:tcW w:w="63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2" w:right="31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60" w:type="dxa"/>
            <w:vAlign w:val="bottom"/>
            <w:gridSpan w:val="4"/>
          </w:tcPr>
          <w:p>
            <w:pPr>
              <w:jc w:val="right"/>
              <w:ind w:right="49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29"/>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5"/>
        </w:trPr>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ABOUT THIS PROSPECTUS</w:t>
            </w:r>
          </w:p>
        </w:tc>
        <w:tc>
          <w:tcPr>
            <w:tcW w:w="6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w w:val="82"/>
              </w:rPr>
              <w:t>S-1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MARKET AND INDUSTRY DATA</w:t>
            </w:r>
          </w:p>
        </w:tc>
        <w:tc>
          <w:tcPr>
            <w:tcW w:w="6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w w:val="82"/>
              </w:rPr>
              <w:t>S-2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TRADEMARKS</w:t>
            </w:r>
          </w:p>
        </w:tc>
        <w:tc>
          <w:tcPr>
            <w:tcW w:w="6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w w:val="82"/>
              </w:rPr>
              <w:t>S-2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6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w w:val="82"/>
              </w:rPr>
              <w:t>S-3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PROSPECTUS SUMMARY</w:t>
            </w:r>
          </w:p>
        </w:tc>
        <w:tc>
          <w:tcPr>
            <w:tcW w:w="6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w w:val="82"/>
              </w:rPr>
              <w:t>S-5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THE OFFERING</w:t>
            </w:r>
          </w:p>
        </w:tc>
        <w:tc>
          <w:tcPr>
            <w:tcW w:w="6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w w:val="82"/>
              </w:rPr>
              <w:t>S-7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RISK FACTORS</w:t>
            </w:r>
          </w:p>
        </w:tc>
        <w:tc>
          <w:tcPr>
            <w:tcW w:w="6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w w:val="82"/>
              </w:rPr>
              <w:t>S-9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USE OF PROCEEDS</w:t>
            </w:r>
          </w:p>
        </w:tc>
        <w:tc>
          <w:tcPr>
            <w:tcW w:w="644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S-13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DILUTION</w:t>
            </w:r>
          </w:p>
        </w:tc>
        <w:tc>
          <w:tcPr>
            <w:tcW w:w="644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S-14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w w:val="98"/>
              </w:rPr>
              <w:t>MATERIAL U.S. FEDERAL INCOME TAX CONSEQUENCES TO U.S. HOLDERS</w:t>
            </w:r>
          </w:p>
        </w:tc>
        <w:tc>
          <w:tcPr>
            <w:tcW w:w="644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S-16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PLAN OF DISTRIBUTION</w:t>
            </w:r>
          </w:p>
        </w:tc>
        <w:tc>
          <w:tcPr>
            <w:tcW w:w="644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S-25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LEGAL MATTERS</w:t>
            </w:r>
          </w:p>
        </w:tc>
        <w:tc>
          <w:tcPr>
            <w:tcW w:w="644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S-27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EXPERTS</w:t>
            </w:r>
          </w:p>
        </w:tc>
        <w:tc>
          <w:tcPr>
            <w:tcW w:w="644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S-27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644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S-28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40" w:type="dxa"/>
            <w:vAlign w:val="bottom"/>
            <w:gridSpan w:val="16"/>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644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0000EE"/>
              </w:rPr>
              <w:t>S-29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5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This prospectus relates to an offering of our Class A Ordinary Shares. Before buying any of the Class A Ordinary Shares that we are offering, we urge you to carefully read this prospectus, together with the information incorporated by reference as described under the headings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 in this prospectus. These documents contain important information that you should consider when making your investment decision. Unless otherwise stated, the terms “we,” “us,” “our” and “Zura” refer to Zura Bio Limited, a Cayman Islands exempted company, or its affiliates.</w:t>
      </w:r>
    </w:p>
    <w:p>
      <w:pPr>
        <w:spacing w:after="0" w:line="145"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This prospectus describes the terms of this offering of Class A Ordinary Shares and also adds to and updates information contained in the documents incorporated by reference into this prospectus. To the extent the information contained in this prospectus differs from or conflicts with the information contained in any document incorporated by reference, the information in this prospectus will control. If any statement in one of these documents is inconsistent with a statement in another document having a later date—for example, a document incorporated by reference into this prospectus—the statement in the document having the later date modifies or supersedes the earlier statement.</w:t>
      </w:r>
    </w:p>
    <w:p>
      <w:pPr>
        <w:spacing w:after="0" w:line="145" w:lineRule="exact"/>
        <w:rPr>
          <w:sz w:val="20"/>
          <w:szCs w:val="20"/>
          <w:color w:val="auto"/>
        </w:rPr>
      </w:pPr>
    </w:p>
    <w:p>
      <w:pPr>
        <w:jc w:val="both"/>
        <w:ind w:firstLine="246"/>
        <w:spacing w:after="0" w:line="272" w:lineRule="auto"/>
        <w:rPr>
          <w:sz w:val="20"/>
          <w:szCs w:val="20"/>
          <w:color w:val="auto"/>
        </w:rPr>
      </w:pPr>
      <w:r>
        <w:rPr>
          <w:rFonts w:ascii="Times New Roman" w:cs="Times New Roman" w:eastAsia="Times New Roman" w:hAnsi="Times New Roman"/>
          <w:sz w:val="13"/>
          <w:szCs w:val="13"/>
          <w:color w:val="auto"/>
        </w:rPr>
        <w:t>We have not, and Leerink Partners has not, authorized anyone to provide you with information different from that which is contained in or incorporated by reference in this prospectus, any accompanying prospectus and in any free writing prospectus that we may authorize for use in connection with this offering. We take no responsibility for, and can provide no assurance as to the reliability of, any other information that others may give to you. No one is making offers to sell or seeking offers to buy these securities in any jurisdiction where the offer or sale is not permitted. You should assume that the information contained in this prospectus is accurate as of the date on the front cover of this prospectus only and that any information we have incorporated by reference or included in the prospectus is accurate only as of the date given in the document incorporated by reference or as of the date of the prospectus, as applicable, regardless of the time of delivery of this prospectus, any accompanying prospectus, any related free writing prospectus, or any sale of our Class A Ordinary Shares. Our business, financial condition, results of operations and prospects may have changed since those dates.</w:t>
      </w:r>
    </w:p>
    <w:p>
      <w:pPr>
        <w:spacing w:after="0" w:line="133"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MARKET AND INDUSTRY DATA</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Certain information contained in this document relates to or is based on studies, publications, surveys and other data obtained from third-party sources and our own internal estimates and research. While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 Notwithstanding the foregoing, we are not liable for the information provided in this prospectus.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This document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owner or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2"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and any prospectus supplement delivered with this prospectus contain forward-looking statements within the meaning of the safe harbor provisions of the Private Securities Litigation Reform Act of 1995. This includes, without limitation, statements regarding our financial position, business strategy, our objectives, plans, expectations and assumptions.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47"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The forward-looking statements are based on the current expectations of the Company and its management thereof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p>
      <w:pPr>
        <w:spacing w:after="0" w:line="145" w:lineRule="exact"/>
        <w:rPr>
          <w:sz w:val="20"/>
          <w:szCs w:val="20"/>
          <w:color w:val="auto"/>
        </w:rPr>
      </w:pPr>
    </w:p>
    <w:p>
      <w:pPr>
        <w:ind w:left="500" w:hanging="251"/>
        <w:spacing w:after="0"/>
        <w:tabs>
          <w:tab w:leader="none" w:pos="500" w:val="left"/>
        </w:tabs>
        <w:numPr>
          <w:ilvl w:val="0"/>
          <w:numId w:val="2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our expectations regarding our product candidates and their related benefits, and our beliefs regarding competing product candidates or approved products, may not be achieved;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our vision and strategy may not be successful;</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timing of key events and initiation of our studies and release of clinical data may take longer than anticipated or may not be achieved at all;</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expectations regarding the potential general acceptability and maintenance of our product candidates by regulatory authorities, payors, physicians, and patients may not be achieved;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may be unable to attract and retain key personnel;</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expectations with respect to our future operating expenses, capital requirements and needs for additional financing may not be achieved;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have not completed any clinical trials, and have no products approved for commercial sale;</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have incurred significant losses since inception, and expect to incur significant losses for the foreseeable future and may not be able to achieve or sustain profitability in the future;</w:t>
      </w:r>
    </w:p>
    <w:p>
      <w:pPr>
        <w:spacing w:after="0" w:line="166"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2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will continue to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44" w:name="page45"/>
    <w:bookmarkEnd w:id="44"/>
    <w:p>
      <w:pPr>
        <w:ind w:left="500" w:hanging="251"/>
        <w:spacing w:after="0"/>
        <w:tabs>
          <w:tab w:leader="none" w:pos="500" w:val="left"/>
        </w:tabs>
        <w:numPr>
          <w:ilvl w:val="0"/>
          <w:numId w:val="2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may be unable to renew existing contracts, enter into new contracts, or may experience disputes or other challenges with respect to our vendors or other third parties;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rely on third-party contract development manufacturing organizations for the manufacture of clinical materials;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rely on contract research organizations, clinical trial sites, and other third parties to conduct our preclinical studies and clinical trials;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may be unable to obtain regulatory approval for our product candidates, and there may be related restrictions or limitations of any approved products;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may be unable to successfully respond to general economic and geopolitical conditions;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may be unable to effectively achieve or manage growth;</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face competitive pressures from other companies worldwide;</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we may be unable to adequately protect our intellectual property rights;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our expectations regarding the use of proceeds from offerings of our securities under this prospectus; and</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6"/>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other factors set forth in documents filed, or to be filed, with the SEC.</w:t>
      </w:r>
    </w:p>
    <w:p>
      <w:pPr>
        <w:spacing w:after="0" w:line="167" w:lineRule="exact"/>
        <w:rPr>
          <w:sz w:val="20"/>
          <w:szCs w:val="20"/>
          <w:color w:val="auto"/>
        </w:rPr>
      </w:pPr>
    </w:p>
    <w:p>
      <w:pPr>
        <w:jc w:val="both"/>
        <w:ind w:firstLine="246"/>
        <w:spacing w:after="0" w:line="248" w:lineRule="auto"/>
        <w:rPr>
          <w:sz w:val="20"/>
          <w:szCs w:val="20"/>
          <w:color w:val="auto"/>
        </w:rPr>
      </w:pPr>
      <w:r>
        <w:rPr>
          <w:rFonts w:ascii="Times New Roman" w:cs="Times New Roman" w:eastAsia="Times New Roman" w:hAnsi="Times New Roman"/>
          <w:sz w:val="14"/>
          <w:szCs w:val="14"/>
          <w:color w:val="auto"/>
        </w:rPr>
        <w:t>Additional discussion of the risks, uncertainties and other factors described above, as well as other risks material to our business, can be found in the section titled “Risk Factors” contained elsewhere in this prospectus and in any applicable prospectus supplement,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We may not actually achieve the plans, intentions or expectations disclosed in our forward-looking statements.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Our forward-looking statements do not reflect the potential impact of any future acquisitions, mergers, dispositions, joint ventures, investments or other transactions we may execute.</w:t>
      </w:r>
    </w:p>
    <w:p>
      <w:pPr>
        <w:spacing w:after="0" w:line="150"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Forward-looking statements are not guarantees of performance. You should not put undue reliance on our forward-looking statements. Forward-looking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188595</wp:posOffset>
            </wp:positionH>
            <wp:positionV relativeFrom="page">
              <wp:posOffset>464185</wp:posOffset>
            </wp:positionV>
            <wp:extent cx="7171055" cy="3468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1055" cy="3468370"/>
                    </a:xfrm>
                    <a:prstGeom prst="rect">
                      <a:avLst/>
                    </a:prstGeom>
                    <a:noFill/>
                  </pic:spPr>
                </pic:pic>
              </a:graphicData>
            </a:graphic>
          </wp:anchor>
        </w:drawing>
        <w:t>PROSPECTUS SUMMARY</w:t>
      </w:r>
    </w:p>
    <w:p>
      <w:pPr>
        <w:spacing w:after="0" w:line="168"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included in this prospectus or incorporated by reference in this prospectus, and does not contain all of the information that may be important to you in making an investment decision. This summary is qualified in its entirety by the more detailed information included in this prospectus. Before making your investment decision with respect to our Class A Ordinary Shares, you should carefully read this entire prospectus, including the information under “Risk Factors” contained in this prospectus and any applicable prospectus supplement, and under similar headings in the other documents that are incorporated by reference in this prospectus. You should also carefully read the information incorporated by reference into this prospectus, including our financial statements, and exhibits to the registration statement of which this prospectus is a part. Unless the context indicates otherwise, references in this prospectus to “Zura,” “Company,” “we,” “us,” “our” and similar terms are intended to refer to Zura Bio Limited and its consolidated subsidiaries.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are a clinical-stage biotech company developing novel and differentiated medicines to meaningfully improve the lives of patients with serious and debilitating autoimmune and inflammatory diseases, including those with significant unmet medical need. These diseases are often chronic and biologically complex, and many patients do not achieve durable disease control with currently available therapies.</w:t>
      </w:r>
    </w:p>
    <w:p>
      <w:pPr>
        <w:spacing w:after="0" w:line="14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focus on immune-mediated diseases in which translational and clinical evidence supports the involvement of specific biological pathways in disease pathogenesis. We are currently advancing our lead product candidate in Phase 2 clinical trials and are evaluating development opportunities across our pipeline of clinical-stage antibody assets, with a focus on indications with unmet medical need and commercial potential.</w:t>
      </w:r>
    </w:p>
    <w:p>
      <w:pPr>
        <w:spacing w:after="0" w:line="142"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Our lead product candidate, tibulizumab (ZB-106), is a bispecific dual-antagonist antibody engineered by the fusion of tabalumab with a single-chain variable fragment (scFv) derived from ixekizumab (Taltz®). Tibulizumab is designed to neutralize interleukin-17 and B-cell activating factor, two cytokines implicated in autoimmune and inflammatory diseases.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Exchange Listing</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Zura’s Class A Ordinary Shares are currently listed on Nasdaq under the symbol “ZURA”.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are a Cayman Islands exempted company, formerly known as JATT Acquisition Corp, incorporated under the laws of the Cayman Islands on March 10, 2021. Our principal executive offices are located at 1489 W. Warm Springs Rd. #110, Henderson, NV. Our telephone number is (702) 825-9872. Our Class A Ordinary Shares are listed on the Nasdaq Capital Market under the symbol “ZURA.”</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10160</wp:posOffset>
            </wp:positionV>
            <wp:extent cx="716534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760"/>
          </w:cols>
          <w:pgMar w:left="560" w:top="893" w:right="579" w:bottom="1440" w:gutter="0" w:footer="0" w:header="0"/>
        </w:sectPr>
      </w:pPr>
    </w:p>
    <w:bookmarkStart w:id="46" w:name="page47"/>
    <w:bookmarkEnd w:id="46"/>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188595</wp:posOffset>
            </wp:positionH>
            <wp:positionV relativeFrom="page">
              <wp:posOffset>359410</wp:posOffset>
            </wp:positionV>
            <wp:extent cx="7171055" cy="2946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1055" cy="2946400"/>
                    </a:xfrm>
                    <a:prstGeom prst="rect">
                      <a:avLst/>
                    </a:prstGeom>
                    <a:noFill/>
                  </pic:spPr>
                </pic:pic>
              </a:graphicData>
            </a:graphic>
          </wp:anchor>
        </w:drawing>
        <w:t>Our internet website address is www.zurabio.com. The information contained on our website is not incorporated by reference into this prospectus supplement, and you should not consider any information contained on, or that can be accessed through, our website as part of this prospectus supplement or in deciding whether to purchase our securities.</w:t>
      </w:r>
    </w:p>
    <w:p>
      <w:pPr>
        <w:spacing w:after="0" w:line="135" w:lineRule="exact"/>
        <w:rPr>
          <w:sz w:val="20"/>
          <w:szCs w:val="20"/>
          <w:color w:val="auto"/>
        </w:rPr>
      </w:pPr>
    </w:p>
    <w:p>
      <w:pPr>
        <w:jc w:val="both"/>
        <w:ind w:firstLine="246"/>
        <w:spacing w:after="0" w:line="306" w:lineRule="auto"/>
        <w:rPr>
          <w:sz w:val="20"/>
          <w:szCs w:val="20"/>
          <w:color w:val="auto"/>
        </w:rPr>
      </w:pPr>
      <w:r>
        <w:rPr>
          <w:rFonts w:ascii="Times New Roman" w:cs="Times New Roman" w:eastAsia="Times New Roman" w:hAnsi="Times New Roman"/>
          <w:sz w:val="13"/>
          <w:szCs w:val="13"/>
          <w:color w:val="auto"/>
        </w:rPr>
        <w:t>“Zura Bio”, the Zura Bio logo and our other trademarks or service marks appearing in this prospectus supplement or incorporated herein by reference are our property. This prospectus supplement and the information incorporated herein by reference may contain additional trade names, trademarks and service marks of others, which are the property of their respective owners.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Smaller Reporting Company</w:t>
      </w:r>
    </w:p>
    <w:p>
      <w:pPr>
        <w:spacing w:after="0" w:line="172" w:lineRule="exact"/>
        <w:rPr>
          <w:sz w:val="20"/>
          <w:szCs w:val="20"/>
          <w:color w:val="auto"/>
        </w:rPr>
      </w:pPr>
    </w:p>
    <w:p>
      <w:pPr>
        <w:jc w:val="both"/>
        <w:ind w:firstLine="246"/>
        <w:spacing w:after="0" w:line="248"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until December 31, 2026 or until we are no longer an “emerging growth company,” whichever is earlier. We will cease to be an emerging growth company prior to the end of such period if certain earlier events occur, including if we become a “large accelerated filer” as defined in Rule 12b-2 under the Exchange Act, our annual gross revenues exceed $1.235 billion or we issue more than $1.0 billion of non-convertible debt in any three-year period.</w:t>
      </w:r>
    </w:p>
    <w:p>
      <w:pPr>
        <w:spacing w:after="0" w:line="150"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spacing w:after="0" w:line="142"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We are also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remain a smaller reporting company until the last day of any fiscal year for so long as either (1) the market value of our Class A Ordinary Shares held by non-affiliates does not equal or exceed $250.0 million as of June 30th of such fiscal year, or (2) our annual revenues did not equal or exceed $100.0 million during the most recently completed fiscal year for which auditing financial statements are available and the market value of our Class A Ordinary Shares held by non-affiliates did not equal or exceed $700.0 million as of June 30th of such fiscal year. To the extent we take advantage of any reduced disclosure obligations, it may make the comparison of our financial statements with other public companies difficult or impossible.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10160</wp:posOffset>
            </wp:positionV>
            <wp:extent cx="716534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760"/>
          </w:cols>
          <w:pgMar w:left="560" w:top="733" w:right="57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188595</wp:posOffset>
            </wp:positionH>
            <wp:positionV relativeFrom="page">
              <wp:posOffset>359410</wp:posOffset>
            </wp:positionV>
            <wp:extent cx="7171055" cy="3963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1055" cy="3963670"/>
                    </a:xfrm>
                    <a:prstGeom prst="rect">
                      <a:avLst/>
                    </a:prstGeom>
                    <a:noFill/>
                  </pic:spPr>
                </pic:pic>
              </a:graphicData>
            </a:graphic>
          </wp:anchor>
        </w:drawing>
        <w:t>THE OFFERING</w:t>
      </w:r>
    </w:p>
    <w:p>
      <w:pPr>
        <w:sectPr>
          <w:pgSz w:w="11900" w:h="16838" w:orient="portrait"/>
          <w:cols w:equalWidth="0" w:num="1">
            <w:col w:w="10760"/>
          </w:cols>
          <w:pgMar w:left="560" w:top="729" w:right="579" w:bottom="1440" w:gutter="0" w:footer="0" w:header="0"/>
        </w:sect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Class A Ordinary Shares offered by us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Class A Ordinary Shares having an aggregate offering price of up to $114,044,900.</w:t>
      </w:r>
    </w:p>
    <w:p>
      <w:pPr>
        <w:spacing w:after="0" w:line="200" w:lineRule="exact"/>
        <w:rPr>
          <w:sz w:val="20"/>
          <w:szCs w:val="20"/>
          <w:color w:val="auto"/>
        </w:rPr>
      </w:pPr>
    </w:p>
    <w:p>
      <w:pPr>
        <w:sectPr>
          <w:pgSz w:w="11900" w:h="16838" w:orient="portrait"/>
          <w:cols w:equalWidth="0" w:num="2">
            <w:col w:w="2120" w:space="180"/>
            <w:col w:w="8460"/>
          </w:cols>
          <w:pgMar w:left="560" w:top="729" w:right="579" w:bottom="1440" w:gutter="0" w:footer="0" w:header="0"/>
          <w:type w:val="continuous"/>
        </w:sectPr>
      </w:pPr>
    </w:p>
    <w:p>
      <w:pPr>
        <w:spacing w:after="0" w:line="61" w:lineRule="exact"/>
        <w:rPr>
          <w:sz w:val="20"/>
          <w:szCs w:val="20"/>
          <w:color w:val="auto"/>
        </w:rPr>
      </w:pPr>
    </w:p>
    <w:p>
      <w:pPr>
        <w:ind w:left="20"/>
        <w:spacing w:after="0" w:line="306" w:lineRule="auto"/>
        <w:rPr>
          <w:sz w:val="20"/>
          <w:szCs w:val="20"/>
          <w:color w:val="auto"/>
        </w:rPr>
      </w:pPr>
      <w:r>
        <w:rPr>
          <w:rFonts w:ascii="Times New Roman" w:cs="Times New Roman" w:eastAsia="Times New Roman" w:hAnsi="Times New Roman"/>
          <w:sz w:val="13"/>
          <w:szCs w:val="13"/>
          <w:color w:val="auto"/>
        </w:rPr>
        <w:t>Class A Ordinary Shares to be outstanding after the offering</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4"/>
          <w:szCs w:val="14"/>
          <w:color w:val="auto"/>
        </w:rPr>
        <w:t>Up to 128,341,495 Class A Ordinary Shares, assuming sales of 32,035,084 Class A Ordinary Shares in this offering at an assumed offering price of $3.56 per share, which was the last reported sale price of our Class A Ordinary Shares on Nasdaq on October 26, 2026. The actual number of shares issued will vary depending on the sales prices at which our Class A Ordinary Shares are sold under this offering.</w:t>
      </w:r>
    </w:p>
    <w:p>
      <w:pPr>
        <w:spacing w:after="0" w:line="200" w:lineRule="exact"/>
        <w:rPr>
          <w:sz w:val="20"/>
          <w:szCs w:val="20"/>
          <w:color w:val="auto"/>
        </w:rPr>
      </w:pPr>
    </w:p>
    <w:p>
      <w:pPr>
        <w:sectPr>
          <w:pgSz w:w="11900" w:h="16838" w:orient="portrait"/>
          <w:cols w:equalWidth="0" w:num="2">
            <w:col w:w="1660" w:space="640"/>
            <w:col w:w="8460"/>
          </w:cols>
          <w:pgMar w:left="560" w:top="729" w:right="579" w:bottom="1440"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Plan of Distribution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“At the market offering” that may be made from time to time through our sales agent, Leerink Partners. See “Plan of Distribution” on page S-25 of this prospectus supplement.</w:t>
      </w:r>
    </w:p>
    <w:p>
      <w:pPr>
        <w:spacing w:after="0" w:line="200" w:lineRule="exact"/>
        <w:rPr>
          <w:sz w:val="20"/>
          <w:szCs w:val="20"/>
          <w:color w:val="auto"/>
        </w:rPr>
      </w:pPr>
    </w:p>
    <w:p>
      <w:pPr>
        <w:sectPr>
          <w:pgSz w:w="11900" w:h="16838" w:orient="portrait"/>
          <w:cols w:equalWidth="0" w:num="2">
            <w:col w:w="1580" w:space="720"/>
            <w:col w:w="8460"/>
          </w:cols>
          <w:pgMar w:left="560" w:top="729" w:right="579" w:bottom="1440" w:gutter="0" w:footer="0" w:header="0"/>
          <w:type w:val="continuous"/>
        </w:sectPr>
      </w:pP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56" w:lineRule="auto"/>
        <w:rPr>
          <w:sz w:val="20"/>
          <w:szCs w:val="20"/>
          <w:color w:val="auto"/>
        </w:rPr>
      </w:pPr>
      <w:r>
        <w:rPr>
          <w:rFonts w:ascii="Times New Roman" w:cs="Times New Roman" w:eastAsia="Times New Roman" w:hAnsi="Times New Roman"/>
          <w:sz w:val="14"/>
          <w:szCs w:val="14"/>
          <w:color w:val="auto"/>
        </w:rPr>
        <w:t>We intend to use the net proceeds from this offering as working capital, including continuing to advance our pipeline through preclinical studies, clinical trials, regulatory submissions, commercial planning and commercialization, and for general corporate purposes. See “Use of Proceeds” on page S-13 of this prospectus supplement.</w:t>
      </w:r>
    </w:p>
    <w:p>
      <w:pPr>
        <w:spacing w:after="0" w:line="200" w:lineRule="exact"/>
        <w:rPr>
          <w:sz w:val="20"/>
          <w:szCs w:val="20"/>
          <w:color w:val="auto"/>
        </w:rPr>
      </w:pPr>
    </w:p>
    <w:p>
      <w:pPr>
        <w:sectPr>
          <w:pgSz w:w="11900" w:h="16838" w:orient="portrait"/>
          <w:cols w:equalWidth="0" w:num="2">
            <w:col w:w="1580" w:space="720"/>
            <w:col w:w="8460"/>
          </w:cols>
          <w:pgMar w:left="560" w:top="729" w:right="579" w:bottom="1440"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Risk Factors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4"/>
          <w:szCs w:val="14"/>
          <w:color w:val="auto"/>
        </w:rPr>
        <w:t>Investing in our Class A Ordinary Shares involves a high degree of risk. See the information contained in or incorporated by reference under the heading “Risk Factors” on page S-9 of this prospectus supplement, in the accompanying prospectus and in the documents incorporated by reference into this prospectus supplement and any free writing prospectus that we authorize for use in connection with this offering.</w:t>
      </w:r>
    </w:p>
    <w:p>
      <w:pPr>
        <w:spacing w:after="0" w:line="200" w:lineRule="exact"/>
        <w:rPr>
          <w:sz w:val="20"/>
          <w:szCs w:val="20"/>
          <w:color w:val="auto"/>
        </w:rPr>
      </w:pPr>
    </w:p>
    <w:p>
      <w:pPr>
        <w:sectPr>
          <w:pgSz w:w="11900" w:h="16838" w:orient="portrait"/>
          <w:cols w:equalWidth="0" w:num="2">
            <w:col w:w="1580" w:space="720"/>
            <w:col w:w="8460"/>
          </w:cols>
          <w:pgMar w:left="560" w:top="729" w:right="579" w:bottom="1440" w:gutter="0" w:footer="0" w:header="0"/>
          <w:type w:val="continuous"/>
        </w:sectPr>
      </w:pP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Nasdaq Capital Market symbol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“ZURA”</w:t>
      </w:r>
    </w:p>
    <w:p>
      <w:pPr>
        <w:spacing w:after="0" w:line="200" w:lineRule="exact"/>
        <w:rPr>
          <w:sz w:val="20"/>
          <w:szCs w:val="20"/>
          <w:color w:val="auto"/>
        </w:rPr>
      </w:pPr>
    </w:p>
    <w:p>
      <w:pPr>
        <w:sectPr>
          <w:pgSz w:w="11900" w:h="16838" w:orient="portrait"/>
          <w:cols w:equalWidth="0" w:num="2">
            <w:col w:w="1720" w:space="580"/>
            <w:col w:w="8460"/>
          </w:cols>
          <w:pgMar w:left="560" w:top="729" w:right="57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3"/>
          <w:szCs w:val="13"/>
          <w:color w:val="auto"/>
        </w:rPr>
        <w:t>The number of Class A Ordinary Shares that will be outstanding after this offering is based on 96,306,411 Class A Ordinary Shares outstanding as of September 30, 2026 and excludes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2026:</w:t>
      </w:r>
    </w:p>
    <w:p>
      <w:pPr>
        <w:spacing w:after="0" w:line="156" w:lineRule="exact"/>
        <w:rPr>
          <w:sz w:val="20"/>
          <w:szCs w:val="20"/>
          <w:color w:val="auto"/>
        </w:rPr>
      </w:pPr>
    </w:p>
    <w:p>
      <w:pPr>
        <w:ind w:left="500" w:hanging="251"/>
        <w:spacing w:after="0" w:line="266" w:lineRule="auto"/>
        <w:tabs>
          <w:tab w:leader="none" w:pos="500" w:val="left"/>
        </w:tabs>
        <w:numPr>
          <w:ilvl w:val="0"/>
          <w:numId w:val="2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21,037,518 Class A Ordinary Shares issuable upon the exercise and settlement of share options outstanding as of September 30, 2026, at a weighted average exercise price of $3.85 per share;</w:t>
      </w:r>
    </w:p>
    <w:p>
      <w:pPr>
        <w:spacing w:after="0" w:line="135"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2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250,200 Class A Ordinary Shares issuable upon the exercise of share options that we granted after September 30, 2026 and through the date of this prospectus supplement, at a weighted average exercise price of $3.56 per share;</w:t>
      </w:r>
    </w:p>
    <w:p>
      <w:pPr>
        <w:spacing w:after="0" w:line="135" w:lineRule="exact"/>
        <w:rPr>
          <w:rFonts w:ascii="Arial" w:cs="Arial" w:eastAsia="Arial" w:hAnsi="Arial"/>
          <w:sz w:val="14"/>
          <w:szCs w:val="14"/>
          <w:b w:val="1"/>
          <w:bCs w:val="1"/>
          <w:color w:val="auto"/>
        </w:rPr>
      </w:pPr>
    </w:p>
    <w:p>
      <w:pPr>
        <w:ind w:left="500" w:hanging="251"/>
        <w:spacing w:after="0"/>
        <w:tabs>
          <w:tab w:leader="none" w:pos="500" w:val="left"/>
        </w:tabs>
        <w:numPr>
          <w:ilvl w:val="0"/>
          <w:numId w:val="2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261,642 Class A Ordinary Shares issuable upon the vesting or other settlement of restricted share units outstanding as of September 30, 2026;</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2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29,295,396 Class A Ordinary Shares issuable upon the exercise of pre-funded warrants outstanding as of September 30, 2026 at an exercise price of $0.001 per share; and</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10160</wp:posOffset>
            </wp:positionV>
            <wp:extent cx="716534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760"/>
          </w:cols>
          <w:pgMar w:left="560" w:top="729" w:right="579" w:bottom="1440" w:gutter="0" w:footer="0" w:header="0"/>
          <w:type w:val="continuous"/>
        </w:sectPr>
      </w:pPr>
    </w:p>
    <w:bookmarkStart w:id="48" w:name="page49"/>
    <w:bookmarkEnd w:id="48"/>
    <w:p>
      <w:pPr>
        <w:ind w:left="500" w:hanging="251"/>
        <w:spacing w:after="0" w:line="266" w:lineRule="auto"/>
        <w:tabs>
          <w:tab w:leader="none" w:pos="500" w:val="left"/>
        </w:tabs>
        <w:numPr>
          <w:ilvl w:val="0"/>
          <w:numId w:val="2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188595</wp:posOffset>
            </wp:positionH>
            <wp:positionV relativeFrom="page">
              <wp:posOffset>359410</wp:posOffset>
            </wp:positionV>
            <wp:extent cx="7171055" cy="7556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1055" cy="755650"/>
                    </a:xfrm>
                    <a:prstGeom prst="rect">
                      <a:avLst/>
                    </a:prstGeom>
                    <a:noFill/>
                  </pic:spPr>
                </pic:pic>
              </a:graphicData>
            </a:graphic>
          </wp:anchor>
        </w:drawing>
        <w:t>571,473 Class A Ordinary Shares reserved for future issuance under our 2023 Equity Incentive Plan and 2023 Employee Share Purchase Plan as of September 30, 2026, as well as any automatic increases in the number of Class A Ordinary Shares reserved for future issuance under these plans.</w:t>
      </w:r>
    </w:p>
    <w:p>
      <w:pPr>
        <w:spacing w:after="0" w:line="135"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To the extent additional shares have been or will be issued, including under the above securities, prices lower than the price of our Class A Ordinary Shares in this offering, you will incur further dilution.</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10160</wp:posOffset>
            </wp:positionV>
            <wp:extent cx="716534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760"/>
          </w:cols>
          <w:pgMar w:left="560" w:top="733" w:right="57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68" w:lineRule="exact"/>
        <w:rPr>
          <w:sz w:val="20"/>
          <w:szCs w:val="20"/>
          <w:color w:val="auto"/>
        </w:rPr>
      </w:pPr>
    </w:p>
    <w:p>
      <w:pPr>
        <w:jc w:val="both"/>
        <w:ind w:firstLine="246"/>
        <w:spacing w:after="0" w:line="273" w:lineRule="auto"/>
        <w:rPr>
          <w:sz w:val="20"/>
          <w:szCs w:val="20"/>
          <w:color w:val="auto"/>
        </w:rPr>
      </w:pPr>
      <w:r>
        <w:rPr>
          <w:rFonts w:ascii="Times New Roman" w:cs="Times New Roman" w:eastAsia="Times New Roman" w:hAnsi="Times New Roman"/>
          <w:sz w:val="13"/>
          <w:szCs w:val="13"/>
          <w:i w:val="1"/>
          <w:iCs w:val="1"/>
          <w:color w:val="auto"/>
        </w:rPr>
        <w:t>Investing in our securities involves risks. Before making an investment decision, you should carefully consider the risks and other information we include or incorporate by reference in this prospectus, and in any prospectus supplement or free writing prospectus that we have authorized for use in connection with this offering. In particular, you should consider the risk factors described under the heading “Risk Factors” in our most recent Annual Report on Form 10-K, as may be revised or supplemented by our subsequent Quarterly Reports on Form 10-Q or Current Reports on Form 8-K, each of which are on file with the SEC and are incorporated herein by reference, and which may be amended, supplemented or superseded from time to time by other reports we file with the SEC in the future. In addition to those risk factors, there may be additional risks and uncertainties which are not currently known to us or that we currently deem immaterial. Our business, financial condition or results of operations could be materially adversely affected by any of these risks. The occurrence of any of these risks might cause you to lose all or part of your investment in the offered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you purchase Class A Ordinary Shares in this offering, you will suffer immediate and substantial dilution in the book value per Class A Ordinary Share purchased in the offering.</w:t>
      </w:r>
    </w:p>
    <w:p>
      <w:pPr>
        <w:spacing w:after="0" w:line="172"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The Class A Ordinary Shares sold in this offering from time to time will be sold at various prices; however, we expect that the per Class A Ordinary Share offering price will be substantially higher than the as adjusted net tangible book value per Class A Ordinary Share. Therefore, assuming that an aggregate of 32,035,084 Class A Ordinary Shares are sold at a price of $3.56 per share, which was the closing price of our Class A Ordinary Shares on Nasdaq on October 26, 2026, for aggregate gross proceeds of approximately $114,044,900, and after deducting commissions and estimated offering expenses payable by us, new investors in this offering will incur immediate dilution of $1.32 per share. See “Dilution” on page S-14 of this prospectus for a more detailed discussion of the dilution you will incur in connection with this offering.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as a result of future equity issuances.</w:t>
      </w:r>
    </w:p>
    <w:p>
      <w:pPr>
        <w:spacing w:after="0" w:line="172" w:lineRule="exact"/>
        <w:rPr>
          <w:sz w:val="20"/>
          <w:szCs w:val="20"/>
          <w:color w:val="auto"/>
        </w:rPr>
      </w:pPr>
    </w:p>
    <w:p>
      <w:pPr>
        <w:jc w:val="both"/>
        <w:ind w:firstLine="246"/>
        <w:spacing w:after="0" w:line="272" w:lineRule="auto"/>
        <w:rPr>
          <w:sz w:val="20"/>
          <w:szCs w:val="20"/>
          <w:color w:val="auto"/>
        </w:rPr>
      </w:pPr>
      <w:r>
        <w:rPr>
          <w:rFonts w:ascii="Times New Roman" w:cs="Times New Roman" w:eastAsia="Times New Roman" w:hAnsi="Times New Roman"/>
          <w:sz w:val="13"/>
          <w:szCs w:val="13"/>
          <w:color w:val="auto"/>
        </w:rPr>
        <w:t>In order to raise additional capital, we may in the future offer additional Class A Ordinary Shares or other securities convertible into or exchangeable for our Class A Ordinary Shares. We cannot assure you that we will be able to sell Class A Ordinary Shares or other securities in any other offering at a price per share that is equal to or greater than the price per share paid by investors in this offering, and investors purchasing Class A Ordinary Shares or other securities in the future could have rights superior to existing shareholders. The price per share at which we sell additional Class A Ordinary Shares or other securities convertible into or exchangeable for our Class A Ordinary Shares in future transactions may be higher or lower than the price per share in this offering. We also may issue additional Class A Ordinary Shares or other securities convertible into or exchangeable for our Class A Ordinary Shares as consideration for acquisitions of businesses or products, strategic alliances or joint ventures with third parties that we believe will complement or augment our existing business, which may result in significant dilution to our shareholders, including the investors in this offering.</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0" w:name="page51"/>
    <w:bookmarkEnd w:id="50"/>
    <w:p>
      <w:pPr>
        <w:jc w:val="both"/>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Sales of a significant number of Class A Ordinary Shares, or any other securities, in the public markets, or the perception that such sales could occur, could depress the market price of our Class A Ordinary Shares.</w:t>
      </w:r>
    </w:p>
    <w:p>
      <w:pPr>
        <w:spacing w:after="0" w:line="131"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Sales of a substantial number of Class A Ordinary Shares, or any other securities, in the public markets, or the perception that such sales could occur, could depress the market price of our Class A Ordinary Shares and impair our ability to raise capital through the sale of additional equity securities. We may sell a significant number of Class A Ordinary Shares at any time pursuant to this prospectus or in one or more separate offerings.</w:t>
      </w:r>
    </w:p>
    <w:p>
      <w:pPr>
        <w:spacing w:after="0" w:line="14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We may also offer and sell up to $700,000,000 in the aggregate of our Class A Ordinary Shares, preference shares, debt securities, warrants and/or units, pursuant to our shelf registration statement on Form S-3, for which this prospectus forms a part. Additionally, the market price of our Class A Ordinary Shares or other securities could decline if holders of our shares sell them, including pursuant to the resale registration statements, or are perceived by the market as intending to sell them. We cannot predict the effect that future sales of our Class A Ordinary Shares or any other securities would have on the market price of our Class A Ordinary Shares.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actual number of shares we may sell under the Sales Agreement, at any one time or in total, as well as the gross proceeds resulting from those sales, is uncertain.</w:t>
      </w:r>
    </w:p>
    <w:p>
      <w:pPr>
        <w:spacing w:after="0" w:line="172"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a placement notice to Leerink Partners at any time throughout the term of the Sales Agreement. The number of shares that may be sold by Leerink Partners under the Sales Agreement and upon delivery of a placement notice will fluctuate based on the market price of our Class A Ordinary Shares during the sales period and any limits we set with Leerink Partners. Because the price of any share sold will fluctuate based on the market price of our Class A Ordinary Shares during the sales period, it is not possible to predict the number of shares that may ultimately be sold or the gross proceeds that may be raised in connection with the sale of Class A Ordinary Shares offered under this prospectus.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Our management might apply the net proceeds from this offering in ways with which you do not agree and in ways that may impair the value of your investment.</w:t>
      </w:r>
    </w:p>
    <w:p>
      <w:pPr>
        <w:spacing w:after="0" w:line="172" w:lineRule="exact"/>
        <w:rPr>
          <w:sz w:val="20"/>
          <w:szCs w:val="20"/>
          <w:color w:val="auto"/>
        </w:rPr>
      </w:pPr>
    </w:p>
    <w:p>
      <w:pPr>
        <w:jc w:val="both"/>
        <w:ind w:firstLine="246"/>
        <w:spacing w:after="0" w:line="248"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primarily for working capital, advancing our pipeline, and general corporate purposes. We may also use a portion of the net proceeds to invest in or acquire additional businesses or technologies that we believe are complementary to our own, although we have no current plans, commitments or agreements with respect to any future acquisitions as of the date of this prospectus supplement. Pending these uses, we expect to invest the net proceeds in short-term, interest-bearing obligations, certificates of deposit or direct or guaranteed obligations of the United States or foreign government agencies. Our management has broad discretion as to the use of these proceeds and you will be relying on the judgment of our management regarding the application of these proceeds. We might apply these net proceeds in ways with which you do not agree, or in ways that do not yield a favorable return. If our management applies these net proceeds in a manner that does not yield a significant return, if any, on our investment of these net proceeds, it could compromise our ability to pursue our growth strategy and adversely affect the market price of our Class A Ordinary Shares.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i w:val="1"/>
          <w:iCs w:val="1"/>
          <w:color w:val="auto"/>
        </w:rPr>
        <w:t>Any Class A Ordinary Shares offered hereby will be sold in “at the market offerings” and investors who buy shares at different times will likely pay different prices.</w:t>
      </w:r>
    </w:p>
    <w:p>
      <w:pPr>
        <w:spacing w:after="0" w:line="172"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pricing and number of shares sold, and there is no maximum sales price. Pursuant to any parameters we may set, we expect to have a minimum sales price for Class A Ordinary Shares sold in this offering, which will limit our ability to make sales if the public trading price of our Class A Ordinary Shares drops below that minimum sales price. Such minimum sales price may be below the price paid by investors in this offering. Further, we may increase or decrease such minimum sales price in the future. Investors may experience a decline in the value of the shares they purchase in this offering as a result of sales made at prices lower than the prices they paid.</w:t>
      </w:r>
    </w:p>
    <w:p>
      <w:pPr>
        <w:spacing w:after="0" w:line="1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We believe that we were a passive foreign investment company (“PFIC”) for U.S. federal income tax purposes for the taxable year ended December 31, 2025, and we may be a PFIC in the current or future taxable years, which could result in adverse U.S. federal income tax consequences to U.S. Holders of our Class A Ordinary Shares.</w:t>
      </w:r>
    </w:p>
    <w:p>
      <w:pPr>
        <w:spacing w:after="0" w:line="131"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If we are treated as a PFIC within the meaning of Section 1297 of the U.S. Internal Revenue Code of 1986, as amended (the “Code”) for any taxable year (or portion thereof) during which a U.S. Holder (as defined under “</w:t>
      </w:r>
      <w:r>
        <w:rPr>
          <w:rFonts w:ascii="Times New Roman" w:cs="Times New Roman" w:eastAsia="Times New Roman" w:hAnsi="Times New Roman"/>
          <w:sz w:val="14"/>
          <w:szCs w:val="14"/>
          <w:i w:val="1"/>
          <w:iCs w:val="1"/>
          <w:color w:val="auto"/>
        </w:rPr>
        <w:t>Material U.S. Federal Income Tax Consequences to U.S. Holders</w:t>
      </w:r>
      <w:r>
        <w:rPr>
          <w:rFonts w:ascii="Times New Roman" w:cs="Times New Roman" w:eastAsia="Times New Roman" w:hAnsi="Times New Roman"/>
          <w:sz w:val="14"/>
          <w:szCs w:val="14"/>
          <w:color w:val="auto"/>
        </w:rPr>
        <w:t>” below) holds our Class A Ordinary Shares or pre-funded warrants (regardless of whether the Company remains a PFIC for subsequent taxable years), certain adverse U.S. federal income tax consequences, such as taxation at the highest marginal ordinary income tax rates on capital gains and on certain actual or deemed distributions, and interest charges on certain taxes treated as deferred, may apply to such U.S. Holder and such U.S. Holder might be subject to additional reporting requirements. Under certain circumstances, as further described under “Material U.S. Federal Income Tax Consequences to U.S. Holders — Passive Foreign Investment Company Rules,” certain elections may be available to U.S. Holders of Class A Ordinary Shares or pre-funded warrants to mitigate some of the adverse tax consequences resulting from PFIC treatment.</w:t>
      </w:r>
    </w:p>
    <w:p>
      <w:pPr>
        <w:spacing w:after="0" w:line="148"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Based on the nature of our activities and the composition of our income and assets, we believe we were a PFIC for the taxable year ended December 31, 2025. Additionally, we may be a PFIC in the current taxable year or in any subsequent taxable year.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the total value of our assets for PFIC testing purposes may be determined in part by reference to the market price of our Class A Ordinary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Our U.S. counsel expresses no opinion with respect to our PFIC status.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2" w:name="page53"/>
    <w:bookmarkEnd w:id="52"/>
    <w:p>
      <w:pPr>
        <w:ind w:left="240"/>
        <w:spacing w:after="0"/>
        <w:rPr>
          <w:sz w:val="20"/>
          <w:szCs w:val="20"/>
          <w:color w:val="auto"/>
        </w:rPr>
      </w:pPr>
      <w:r>
        <w:rPr>
          <w:rFonts w:ascii="Times New Roman" w:cs="Times New Roman" w:eastAsia="Times New Roman" w:hAnsi="Times New Roman"/>
          <w:sz w:val="14"/>
          <w:szCs w:val="14"/>
          <w:color w:val="auto"/>
        </w:rPr>
        <w:t>For further discussion of the PFIC rules, the potential adverse U.S. federal income tax consequences of our classification as a PFIC, as well as certain elections that may be available to U.S.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shareholders, see the section of this prospectus titled “</w:t>
      </w:r>
      <w:r>
        <w:rPr>
          <w:rFonts w:ascii="Times New Roman" w:cs="Times New Roman" w:eastAsia="Times New Roman" w:hAnsi="Times New Roman"/>
          <w:sz w:val="14"/>
          <w:szCs w:val="14"/>
          <w:i w:val="1"/>
          <w:iCs w:val="1"/>
          <w:color w:val="auto"/>
        </w:rPr>
        <w:t>Material U.S. Federal Income Tax Consequences to U.S. Holders—Passive Foreign Investment Company Rules</w:t>
      </w:r>
      <w:r>
        <w:rPr>
          <w:rFonts w:ascii="Times New Roman" w:cs="Times New Roman" w:eastAsia="Times New Roman" w:hAnsi="Times New Roman"/>
          <w:sz w:val="14"/>
          <w:szCs w:val="14"/>
          <w:color w:val="auto"/>
        </w:rPr>
        <w:t>”.</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may issue and sell up to $114,044,900 of our Class A Ordinary Shares from time to time. Because we are not required to sell any Class A Ordinary Shares under the Sales Agreement, and any shares that may be sold pursuant to the Sales Agreement will be sold in “at the market offerings” at fluctuating prices, the actual total public offering amount, commissions and proceeds to us, if any, are not determinable at this time. There can be no assurance that we will sell any Class A Ordinary Shares under or fully utilize the Sales Agreement as a source of financing.</w:t>
      </w:r>
    </w:p>
    <w:p>
      <w:pPr>
        <w:spacing w:after="0" w:line="142"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We intend to use the net proceeds from this offering as working capital and for general corporate purposes. General corporate purposes may include, among other things, research and development, manufacturing and commercialization expenditures and strategic transactions.</w:t>
      </w:r>
    </w:p>
    <w:p>
      <w:pPr>
        <w:spacing w:after="0" w:line="135"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As of the date of this prospectus, we cannot specify with certainty all of the particular uses of the proceeds, if any, from this offering. Accordingly, we will retain broad discretion over the use of any such proceeds. Pending the use of the net proceeds from this offering as described above, we may invest the net proceeds.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2"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If you purchase Class A Ordinary Shares in this offering, your ownership interest will be diluted to the extent of the difference between the purchase price per share and the as adjusted net tangible book value per share after giving effect to this offering. We calculate net tangible book value per share by dividing the net tangible book value, which is total tangible assets less total liabilities, redeemable noncontrolling interest and noncontrolling interest, by the number of Class A Ordinary Shares. Dilution represents the difference between the portion of the amount per share paid by purchasers of Class A Ordinary Shares in this offering and the as adjusted net tangible book value per share of Class A Ordinary Share immediately after giving effect to this offering. Our net tangible book value as of September 30, 2026, was approximately $177.7 million, or $1.84 per share.</w:t>
      </w:r>
    </w:p>
    <w:p>
      <w:pPr>
        <w:spacing w:after="0" w:line="147"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After giving effect to the assumed sale of 32,035,084 Class A Ordinary Shares at a sale price of $3.56 per share, the last sale price of our Class A Ordinary Shares on Nasdaq on October 26, 2026, after deducting commissions and estimated aggregate offering expenses payable by us, our as adjusted net tangible book value as of September 30, 2026, would have been $287.8 million, or $2.24 per share. This represents an immediate increase in the as adjusted net tangible book value of $0.40 per share to our existing shareholders and an immediate dilution of $1.32 per share to new investors purchasing shares in this offering. The following table illustrates this per share dilution: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offering price per share</w:t>
            </w:r>
          </w:p>
        </w:tc>
        <w:tc>
          <w:tcPr>
            <w:tcW w:w="13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42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3.56</w:t>
            </w:r>
          </w:p>
        </w:tc>
      </w:tr>
      <w:tr>
        <w:trPr>
          <w:trHeight w:val="164"/>
        </w:trPr>
        <w:tc>
          <w:tcPr>
            <w:tcW w:w="7140" w:type="dxa"/>
            <w:vAlign w:val="bottom"/>
          </w:tcPr>
          <w:p>
            <w:pPr>
              <w:spacing w:after="0"/>
              <w:rPr>
                <w:sz w:val="20"/>
                <w:szCs w:val="20"/>
                <w:color w:val="auto"/>
              </w:rPr>
            </w:pPr>
            <w:r>
              <w:rPr>
                <w:rFonts w:ascii="Times New Roman" w:cs="Times New Roman" w:eastAsia="Times New Roman" w:hAnsi="Times New Roman"/>
                <w:sz w:val="14"/>
                <w:szCs w:val="14"/>
                <w:color w:val="auto"/>
              </w:rPr>
              <w:t>Net tangible book value per share as of September 30, 2026</w:t>
            </w: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color w:val="auto"/>
              </w:rPr>
              <w:t>1.84</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new investors in offering</w:t>
            </w:r>
          </w:p>
        </w:tc>
        <w:tc>
          <w:tcPr>
            <w:tcW w:w="1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0.40</w:t>
            </w: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55"/>
        </w:trPr>
        <w:tc>
          <w:tcPr>
            <w:tcW w:w="7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As adjusted net tangible book value per share as of September 30, 2026, after giving effect to this offering</w:t>
            </w:r>
          </w:p>
        </w:tc>
        <w:tc>
          <w:tcPr>
            <w:tcW w:w="13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760" w:type="dxa"/>
            <w:vAlign w:val="bottom"/>
            <w:gridSpan w:val="2"/>
          </w:tcPr>
          <w:p>
            <w:pPr>
              <w:jc w:val="right"/>
              <w:ind w:right="423"/>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2.24</w:t>
            </w:r>
          </w:p>
        </w:tc>
      </w:tr>
      <w:tr>
        <w:trPr>
          <w:trHeight w:val="165"/>
        </w:trPr>
        <w:tc>
          <w:tcPr>
            <w:tcW w:w="714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Dilution per share to new investors in this offering</w:t>
            </w: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7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Changes in the assumed public offering price of $3.56 per share would not affect our as adjusted net tangible book value after this offering because this offering is currently limited to $114,044,900. However, each $1.00 increase (decrease) in the assumed public offering price per share would increase (decrease) the dilution per share to new investors by approximately $0.87 per share ($0.80) per share, assuming that the aggregate dollar amount of shares offered by us, as set forth above, remains at $114,044,900 and after deducting the commissions and estimated offering expenses payable by us. The information discussed above is illustrative only and will adjust based on the actual public offering price, the actual number of shares that we offer in this offering, and other terms of this offering determined at the time of each offer and sale.</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number of Class A Ordinary Shares that will be outstanding after this offering is based on 96,306,411 Class A Ordinary Shares outstanding as of September 30, 2026 and excludes as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2026:</w:t>
      </w:r>
    </w:p>
    <w:p>
      <w:pPr>
        <w:spacing w:after="0" w:line="156" w:lineRule="exact"/>
        <w:rPr>
          <w:sz w:val="20"/>
          <w:szCs w:val="20"/>
          <w:color w:val="auto"/>
        </w:rPr>
      </w:pPr>
    </w:p>
    <w:p>
      <w:pPr>
        <w:ind w:left="500" w:hanging="251"/>
        <w:spacing w:after="0"/>
        <w:tabs>
          <w:tab w:leader="none" w:pos="500" w:val="left"/>
        </w:tabs>
        <w:numPr>
          <w:ilvl w:val="0"/>
          <w:numId w:val="29"/>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21,037,518 Class A Ordinary Shares issuable upon the exercise and settlement of share options outstanding as of September 30, 2026, at a weighted average exercise price of $3.85 per share;</w:t>
      </w:r>
    </w:p>
    <w:p>
      <w:pPr>
        <w:spacing w:after="0" w:line="331" w:lineRule="exact"/>
        <w:rPr>
          <w:rFonts w:ascii="Arial" w:cs="Arial" w:eastAsia="Arial" w:hAnsi="Arial"/>
          <w:sz w:val="14"/>
          <w:szCs w:val="14"/>
          <w:b w:val="1"/>
          <w:bCs w:val="1"/>
          <w:color w:val="auto"/>
        </w:rPr>
      </w:pPr>
    </w:p>
    <w:p>
      <w:pPr>
        <w:ind w:left="5520"/>
        <w:spacing w:after="0"/>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5" w:name="page56"/>
    <w:bookmarkEnd w:id="55"/>
    <w:p>
      <w:pPr>
        <w:ind w:left="500" w:hanging="251"/>
        <w:spacing w:after="0" w:line="266" w:lineRule="auto"/>
        <w:tabs>
          <w:tab w:leader="none" w:pos="500" w:val="left"/>
        </w:tabs>
        <w:numPr>
          <w:ilvl w:val="0"/>
          <w:numId w:val="3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250,200 Class A Ordinary Shares issuable upon the exercise of share options that we granted after September 30, 2026 and through the date of this prospectus supplement, at a weighted average exercise price of $3.56 per share;</w:t>
      </w:r>
    </w:p>
    <w:p>
      <w:pPr>
        <w:spacing w:after="0" w:line="135" w:lineRule="exact"/>
        <w:rPr>
          <w:rFonts w:ascii="Arial" w:cs="Arial" w:eastAsia="Arial" w:hAnsi="Arial"/>
          <w:sz w:val="14"/>
          <w:szCs w:val="14"/>
          <w:b w:val="1"/>
          <w:bCs w:val="1"/>
          <w:color w:val="auto"/>
        </w:rPr>
      </w:pPr>
    </w:p>
    <w:p>
      <w:pPr>
        <w:ind w:left="500" w:hanging="251"/>
        <w:spacing w:after="0"/>
        <w:tabs>
          <w:tab w:leader="none" w:pos="500" w:val="left"/>
        </w:tabs>
        <w:numPr>
          <w:ilvl w:val="0"/>
          <w:numId w:val="3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261,642 Class A Ordinary Shares issuable upon the vesting or other settlement of restricted share units outstanding as of September 30, 2026;</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29,295,396 Class A Ordinary Shares issuable upon the exercise of pre-funded warrants outstanding as of September 30, 2026 at an exercise price of $0.001 per share; and</w:t>
      </w:r>
    </w:p>
    <w:p>
      <w:pPr>
        <w:spacing w:after="0" w:line="166"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30"/>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571,473 Class A Ordinary Shares reserved for future issuance under our 2023 Equity Incentive Plan and 2023 Employee Share Purchase Plan as of September 30, 2026, as well as any automatic increases in the number of Class A ordinary shares reserved for future issuance under these plans.</w:t>
      </w:r>
    </w:p>
    <w:p>
      <w:pPr>
        <w:spacing w:after="0" w:line="135"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To the extent additional shares have been or will be issued, including under the above securities, prices lower than the price of our Class A Ordinary Shares in this offering, you will incur further dilution.</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TO U.S. HOLDERS</w:t>
      </w:r>
    </w:p>
    <w:p>
      <w:pPr>
        <w:spacing w:after="0" w:line="172" w:lineRule="exact"/>
        <w:rPr>
          <w:sz w:val="20"/>
          <w:szCs w:val="20"/>
          <w:color w:val="auto"/>
        </w:rPr>
      </w:pPr>
    </w:p>
    <w:p>
      <w:pPr>
        <w:jc w:val="both"/>
        <w:ind w:firstLine="246"/>
        <w:spacing w:after="0" w:line="248" w:lineRule="auto"/>
        <w:rPr>
          <w:sz w:val="20"/>
          <w:szCs w:val="20"/>
          <w:color w:val="auto"/>
        </w:rPr>
      </w:pPr>
      <w:r>
        <w:rPr>
          <w:rFonts w:ascii="Times New Roman" w:cs="Times New Roman" w:eastAsia="Times New Roman" w:hAnsi="Times New Roman"/>
          <w:sz w:val="14"/>
          <w:szCs w:val="14"/>
          <w:color w:val="auto"/>
        </w:rPr>
        <w:t>The following discussion is a summary of the material U.S. federal income tax consequences to U.S. Holders (as defined below) of the ownership and disposition of our Class A Ordinary Shares issued pursuant to this offering. It is not a comprehensive description of all tax considerations that may be relevant to a particular person’s decision to acquire our Class A Ordinary Shares. The effects of any applicable state, local, or non-U.S. laws, and U.S. federal non-income tax laws, such as estate and gift tax laws, are not discussed. This discussion is based on the Code, U.S. Treasury regulations promulgated thereunder, judicial decisions, and published rulings and administrative pronouncements of the IRS, all as in effect as of the date of this prospectus. All of the foregoing authorities are subject to change, which change could apply retroactively and could alter the tax consequences of the ownership and disposition of our Class A Ordinary Shares described below. We have not sought and will not seek any rulings from the IRS regarding the matters discussed below. There can be no assurance the IRS will not take a contrary position to that discussed below regarding the tax consequences of the ownership and disposition of our Class A Ordinary Shares, or that such a position would not be sustained by a court.</w:t>
      </w:r>
    </w:p>
    <w:p>
      <w:pPr>
        <w:spacing w:after="0" w:line="150"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This discussion is limited to U.S. Holders that hold our Class A Ordinary Shares as capital assets within the meaning of Section 1221 of the Code (generally, property held for investment). This discussion does not address all U.S. federal income tax consequences relevant to a U.S. Holder’s particular circumstances, including the impact of the Medicare contribution tax on net investment income, the special tax accounting rules under Section 451(b) of the Code, or the alternative minimum tax provisions of the Code. In addition, this following discussion does not address all U.S. federal income tax consequences relevant to U.S. Holders subject to particular rules, including, without limitation:</w:t>
      </w:r>
    </w:p>
    <w:p>
      <w:pPr>
        <w:spacing w:after="0" w:line="145" w:lineRule="exact"/>
        <w:rPr>
          <w:sz w:val="20"/>
          <w:szCs w:val="20"/>
          <w:color w:val="auto"/>
        </w:rPr>
      </w:pPr>
    </w:p>
    <w:p>
      <w:pPr>
        <w:ind w:left="500" w:hanging="251"/>
        <w:spacing w:after="0"/>
        <w:tabs>
          <w:tab w:leader="none" w:pos="5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U.S. expatriates and certain former citizens or long-term residents of the United States;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persons whose functional currency is not the U.S. dollar;</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persons holding our Class A Ordinary Shares as part of a hedge, straddle or other risk reduction strategy or as part of a conversion transaction or other integrated investment;</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banks, insurance companies, and other financial institutions;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real estate investment trusts or regulated investment companies;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brokers, dealers, or traders in securities, commodities, or currencies;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S corporations or partnerships or other entities or arrangements treated as partnerships for U.S. federal income tax purposes (and investors therein);</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pension plans;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tax-exempt organizations or governmental organizations;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1"/>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individual retirement accounts or other tax deferred accounts;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7" w:name="page58"/>
    <w:bookmarkEnd w:id="57"/>
    <w:p>
      <w:pPr>
        <w:ind w:left="500" w:hanging="251"/>
        <w:spacing w:after="0"/>
        <w:tabs>
          <w:tab w:leader="none" w:pos="500" w:val="left"/>
        </w:tabs>
        <w:numPr>
          <w:ilvl w:val="0"/>
          <w:numId w:val="3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persons who acquired our Class A Ordinary Shares in connection with employee incentive share plans, pursuant to the exercise of any employee share option or otherwise as compensation;</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persons that own or are deemed to own 10% or more of our ordinary shares by vote or value;</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persons that own Founder Shares or Pre-Funded Warrants (each, as described in our Annual Report on Form 10-K);</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persons holding our Class A Ordinary Shares in connection with a trade or business, permanent establishment or fixed base outside the United States;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persons deemed to sell our Class A Ordinary Shares under the constructive sale provisions of the Code; or</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persons that are not U.S. Holders.</w:t>
      </w:r>
    </w:p>
    <w:p>
      <w:pPr>
        <w:spacing w:after="0" w:line="167"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If a partnership (or other entity or arrangement treated as a partnership for U.S. federal income tax purposes) holds our Class A Ordinary Shares, the U.S. federal income tax treatment of a partner in such partnership will depend on the status of the partner, the activities of the partnership, and certain determinations made at the partner level. Partnerships holding our Class A Ordinary Shares and the partners in such partnerships should consult their tax advisors regarding the U.S. federal income tax consequences applicable to them.</w:t>
      </w:r>
    </w:p>
    <w:p>
      <w:pPr>
        <w:spacing w:after="0" w:line="138" w:lineRule="exact"/>
        <w:rPr>
          <w:sz w:val="20"/>
          <w:szCs w:val="20"/>
          <w:color w:val="auto"/>
        </w:rPr>
      </w:pPr>
    </w:p>
    <w:p>
      <w:pPr>
        <w:jc w:val="both"/>
        <w:ind w:firstLine="246"/>
        <w:spacing w:after="0" w:line="254" w:lineRule="auto"/>
        <w:rPr>
          <w:sz w:val="20"/>
          <w:szCs w:val="20"/>
          <w:color w:val="auto"/>
        </w:rPr>
      </w:pPr>
      <w:r>
        <w:rPr>
          <w:rFonts w:ascii="Times New Roman" w:cs="Times New Roman" w:eastAsia="Times New Roman" w:hAnsi="Times New Roman"/>
          <w:sz w:val="14"/>
          <w:szCs w:val="14"/>
          <w:b w:val="1"/>
          <w:bCs w:val="1"/>
          <w:color w:val="auto"/>
        </w:rPr>
        <w:t>U.S. HOLDERS ARE URGED TO CONSULT THEIR TAX ADVISORS REGARDING THE APPLICATION OF THE U.S. FEDERAL TAX RULES TO THEIR PARTICULAR CIRCUMSTANCES AS WELL AS THE PARTICULAR TAX CONSEQUENCES TO THEM OF THE PURCHASE, OWNERSHIP, AND DISPOSITION OF OUR CLASS A ORDINARY SHARES, INCLUDING THE APPLICABILITY AND EFFECT OF ANY STATE, LOCAL, AND NON-U.S. TAX LAWS, AS WELL AS OTHER U.S. FEDERAL TAX LAWS AND ANY APPLICABLE TAX TREATIES.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For purposes of this discussion, a “U.S. Holder” is a beneficial owner of our Class A Ordinary Shares that, for U.S. federal income tax purposes, is or is treated as any of the following:</w:t>
      </w:r>
    </w:p>
    <w:p>
      <w:pPr>
        <w:spacing w:after="0" w:line="168" w:lineRule="exact"/>
        <w:rPr>
          <w:sz w:val="20"/>
          <w:szCs w:val="20"/>
          <w:color w:val="auto"/>
        </w:rPr>
      </w:pPr>
    </w:p>
    <w:p>
      <w:pPr>
        <w:ind w:left="500" w:hanging="251"/>
        <w:spacing w:after="0"/>
        <w:tabs>
          <w:tab w:leader="none" w:pos="500" w:val="left"/>
        </w:tabs>
        <w:numPr>
          <w:ilvl w:val="0"/>
          <w:numId w:val="3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66"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3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 corporation (or other entity treated as a corporation for U.S. federal income tax purposes) created or organized in or under the laws of the United States, any state therein, or the District of Columbia;</w:t>
      </w:r>
    </w:p>
    <w:p>
      <w:pPr>
        <w:spacing w:after="0" w:line="135" w:lineRule="exact"/>
        <w:rPr>
          <w:rFonts w:ascii="Arial" w:cs="Arial" w:eastAsia="Arial" w:hAnsi="Arial"/>
          <w:sz w:val="14"/>
          <w:szCs w:val="14"/>
          <w:b w:val="1"/>
          <w:bCs w:val="1"/>
          <w:color w:val="auto"/>
        </w:rPr>
      </w:pPr>
    </w:p>
    <w:p>
      <w:pPr>
        <w:ind w:left="500" w:hanging="251"/>
        <w:spacing w:after="0"/>
        <w:tabs>
          <w:tab w:leader="none" w:pos="500" w:val="left"/>
        </w:tabs>
        <w:numPr>
          <w:ilvl w:val="0"/>
          <w:numId w:val="3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66"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33"/>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Taxation of Dividends and Other Distributions on Our Class A Ordinary Shares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discussion in this section is subject to the discussion below under “—Passive Foreign Investment Company Rules”.</w:t>
      </w:r>
    </w:p>
    <w:p>
      <w:pPr>
        <w:spacing w:after="0" w:line="168" w:lineRule="exact"/>
        <w:rPr>
          <w:sz w:val="20"/>
          <w:szCs w:val="20"/>
          <w:color w:val="auto"/>
        </w:rPr>
      </w:pPr>
    </w:p>
    <w:p>
      <w:pPr>
        <w:jc w:val="both"/>
        <w:ind w:firstLine="246"/>
        <w:spacing w:after="0" w:line="248" w:lineRule="auto"/>
        <w:rPr>
          <w:sz w:val="20"/>
          <w:szCs w:val="20"/>
          <w:color w:val="auto"/>
        </w:rPr>
      </w:pPr>
      <w:r>
        <w:rPr>
          <w:rFonts w:ascii="Times New Roman" w:cs="Times New Roman" w:eastAsia="Times New Roman" w:hAnsi="Times New Roman"/>
          <w:sz w:val="14"/>
          <w:szCs w:val="14"/>
          <w:color w:val="auto"/>
        </w:rPr>
        <w:t>As discussed in this prospectus under “Description of Shares—Dividends,” we have not paid any cash dividends on our shares to date and do not expect to pay cash dividends in the foreseeable future. In the event we do make distributions of cash or property, the gross amount of any such distribution to U.S. Holders with respect to our Class A Ordinary Shares will be included in such holders’ gross income as dividend income when actually or constructively received to the extent the distribution is paid out of our current or accumulated earnings and profits (as determined under U.S. federal income tax principles). To the extent the amount of the distribution exceeds our current and accumulated earnings and profits, it will be treated first as a return of capital that will be applied against and reduce (but not below zero) the U.S. Holder’s tax basis in the Class A Ordinary Shares, and any remaining excess will be treated as gain realized on the sale or other disposition of the Class A Ordinary Shares and will be taxed as described below under the heading “—Sale or Other Taxable Disposition of Our Class A Ordinary Shares.” We cannot provide any assurance that we will maintain or provide earnings and profits determinations in accordance with U.S. federal income tax principles. Therefore, a U.S. Holder should expect that distributions may be reported as dividend income for such purposes. Dividends we pay will not be eligible for the dividends-received deduction available to corporations in respect of dividends received from U.S. corporations.</w:t>
      </w:r>
    </w:p>
    <w:p>
      <w:pPr>
        <w:spacing w:after="0" w:line="148" w:lineRule="exact"/>
        <w:rPr>
          <w:sz w:val="20"/>
          <w:szCs w:val="20"/>
          <w:color w:val="auto"/>
        </w:rPr>
      </w:pPr>
    </w:p>
    <w:p>
      <w:pPr>
        <w:jc w:val="both"/>
        <w:ind w:firstLine="246"/>
        <w:spacing w:after="0" w:line="248" w:lineRule="auto"/>
        <w:rPr>
          <w:sz w:val="20"/>
          <w:szCs w:val="20"/>
          <w:color w:val="auto"/>
        </w:rPr>
      </w:pPr>
      <w:r>
        <w:rPr>
          <w:rFonts w:ascii="Times New Roman" w:cs="Times New Roman" w:eastAsia="Times New Roman" w:hAnsi="Times New Roman"/>
          <w:sz w:val="14"/>
          <w:szCs w:val="14"/>
          <w:color w:val="auto"/>
        </w:rPr>
        <w:t>Subject to certain limitations, dividends paid by qualified foreign corporations to certain non-corporate U.S. Holders may be taxable at preferential tax rates. A non-U.S. corporation is generally treated as a qualified foreign corporation with respect to dividends paid on stock that is readily tradable on a securities market in the United States, such as The Nasdaq Capital Market on which our Class A Ordinary Shares are listed, and we are not treated as a PFIC with respect to such U.S. Holder at the time the dividend was paid or in the preceding year, and provided certain holding periods are met. There can be no assurance that our Class A Ordinary Shares are, or will continue to be, readily tradable on an established securities exchange or that we will not be treated as a PFIC at the relevant times. Because we believe we were a PFIC for the taxable year ended December 31, 2025 and may be a PFIC in the current or subsequent taxable years, dividends paid on our Class A Ordinary Shares are generally not expected to qualify for the reduced tax rate applicable to qualified dividend income for so long as we are treated as a PFIC and for the year following such treatment. Consequently, there can be no assurance that dividends paid on our Class A Ordinary Shares will be afforded the reduced tax rates. Non-corporate U.S. Holders should consult their tax advisers regarding the availability of the reduced tax rate on dividends. Dividends will be included in a U.S. Holder’s income on the date of the U.S. Holder’s receipt of the dividend.</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59" w:name="page60"/>
    <w:bookmarkEnd w:id="59"/>
    <w:p>
      <w:pPr>
        <w:jc w:val="both"/>
        <w:ind w:firstLine="246"/>
        <w:spacing w:after="0" w:line="270" w:lineRule="auto"/>
        <w:rPr>
          <w:sz w:val="20"/>
          <w:szCs w:val="20"/>
          <w:color w:val="auto"/>
        </w:rPr>
      </w:pPr>
      <w:r>
        <w:rPr>
          <w:rFonts w:ascii="Times New Roman" w:cs="Times New Roman" w:eastAsia="Times New Roman" w:hAnsi="Times New Roman"/>
          <w:sz w:val="13"/>
          <w:szCs w:val="13"/>
          <w:color w:val="auto"/>
        </w:rPr>
        <w:t>Our dividends generally will constitute foreign source income for foreign tax credit limitation purposes. Any tax withheld with respect to distributions on the Class A Ordinary Shares may, subject to a number of complex limitations, be claimed as a foreign tax credit against such U.S. Holder’s U.S. federal income tax liability or, at such U.S. Holder’s election, may be claimed as a deduction for U.S. federal income tax purposes. An election to deduct foreign taxes instead of claiming a foreign tax credit applies to all foreign taxes paid or accrued in the taxable year. The limitation on foreign taxes eligible for a credit is calculated separately with respect to specific classes of income. For this purpose, dividends distributed by us with respect to the Class A Ordinary Shares generally will constitute “passive category income.” The rules with respect to the foreign tax credit are complex and may depend upon a U.S. Holder’s particular circumstances, there are significant and complex limits on a U.S. Holder’s ability to claim foreign tax credits, and recently released U.S. Treasury regulations may in some circumstances prohibit a U.S. Holder from claiming a foreign tax credit with respect to certain non-U.S. taxes that are not creditable under applicable income tax treaties. U.S. Holders should consult their tax advisors regarding the availability of the foreign tax credit in light of their particular circumstances.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or Other Taxable Disposition of Our Class A Ordinary Shares</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discussion in this section is subject to the discussion below under “—Passive Foreign Investment Company Rules”.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 U.S. Holder will recognize gain or loss on any sale, exchange or other taxable disposition of our Class A Ordinary Shares equal to the difference between (i) the sum of (x) the amount of cash and</w:t>
      </w:r>
    </w:p>
    <w:p>
      <w:pPr>
        <w:spacing w:after="0" w:line="26" w:lineRule="exact"/>
        <w:rPr>
          <w:sz w:val="20"/>
          <w:szCs w:val="20"/>
          <w:color w:val="auto"/>
        </w:rPr>
      </w:pPr>
    </w:p>
    <w:p>
      <w:pPr>
        <w:jc w:val="both"/>
        <w:ind w:firstLine="2"/>
        <w:spacing w:after="0" w:line="246" w:lineRule="auto"/>
        <w:tabs>
          <w:tab w:leader="none" w:pos="20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market value of any other property received in such sale, exchange or other taxable disposition and (ii) the U.S. Holder’s adjusted tax basis in such Class A Ordinary Shares, in each case as calculated in U.S. dollars. Any such gain or loss will be capital gain or loss, and will be long-term capital gain or loss if such U.S. Holder held the Class A Ordinary Shares for more than one year at the time of the disposition. Long-term capital gains recognized by certain non-corporate U.S. Holders, including individuals, generally are taxed at reduced rates under current law. The deductibility of capital losses is subject to limitations. Any such gain or loss a U.S. Holder recognizes generally will be treated as U.S. source income or loss for foreign tax credit limitation purposes. U.S. Holders should consult their tax advisors regarding the proper treatment of gain or loss in their particular circumstances.</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U.S. Holders should consult their tax advisors regarding the proper treatment of gain or loss in their particular circumstances.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Passive Foreign Investment Company Rules</w:t>
      </w:r>
    </w:p>
    <w:p>
      <w:pPr>
        <w:spacing w:after="0" w:line="172"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The treatment of U.S. Holders of our Class A Ordinary Shares purchased in this offering could be materially different from that described above if we are treated as a PFIC for U.S. federal income tax purposes. U.S. Holders are urged to consult with their tax advisors regarding the treatment of our Class A Ordinary Shares if we were characterized as a PFIC.</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 non-U.S. corporation will be classified as a PFIC for any taxable year in which, after applying certain look-through rules, either:</w:t>
      </w:r>
    </w:p>
    <w:p>
      <w:pPr>
        <w:spacing w:after="0" w:line="168" w:lineRule="exact"/>
        <w:rPr>
          <w:sz w:val="20"/>
          <w:szCs w:val="20"/>
          <w:color w:val="auto"/>
        </w:rPr>
      </w:pPr>
    </w:p>
    <w:p>
      <w:pPr>
        <w:ind w:left="500" w:hanging="251"/>
        <w:spacing w:after="0"/>
        <w:tabs>
          <w:tab w:leader="none" w:pos="500" w:val="left"/>
        </w:tabs>
        <w:numPr>
          <w:ilvl w:val="0"/>
          <w:numId w:val="3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at least 75% of its gross income for such taxable year is passive income, or</w:t>
      </w:r>
    </w:p>
    <w:p>
      <w:pPr>
        <w:spacing w:after="0" w:line="166"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35"/>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at least 50% of the value of its assets (based on an average of the quarterly values of the assets during a taxable year) is attributable to assets that produce or are held for the production of passive income.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0" w:name="page61"/>
    <w:bookmarkEnd w:id="60"/>
    <w:p>
      <w:pPr>
        <w:ind w:left="240"/>
        <w:spacing w:after="0"/>
        <w:rPr>
          <w:sz w:val="20"/>
          <w:szCs w:val="20"/>
          <w:color w:val="auto"/>
        </w:rPr>
      </w:pPr>
      <w:r>
        <w:rPr>
          <w:rFonts w:ascii="Times New Roman" w:cs="Times New Roman" w:eastAsia="Times New Roman" w:hAnsi="Times New Roman"/>
          <w:sz w:val="13"/>
          <w:szCs w:val="13"/>
          <w:color w:val="auto"/>
        </w:rPr>
        <w:t>For purposes of the above calculations, if a non-U.S. corporation owns, directly or indirectly, 25% or more of the total value of the outstanding shares of another corporation, it will be treated as if it</w:t>
      </w:r>
    </w:p>
    <w:p>
      <w:pPr>
        <w:spacing w:after="0" w:line="26" w:lineRule="exact"/>
        <w:rPr>
          <w:sz w:val="20"/>
          <w:szCs w:val="20"/>
          <w:color w:val="auto"/>
        </w:rPr>
      </w:pPr>
    </w:p>
    <w:p>
      <w:pPr>
        <w:jc w:val="both"/>
        <w:ind w:firstLine="2"/>
        <w:spacing w:after="0" w:line="247" w:lineRule="auto"/>
        <w:tabs>
          <w:tab w:leader="none" w:pos="19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a proportionate share of the assets of such other corporation and (b) received directly a proportionate share of the income of such other corporation.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148" w:lineRule="exact"/>
        <w:rPr>
          <w:sz w:val="20"/>
          <w:szCs w:val="20"/>
          <w:color w:val="auto"/>
        </w:rPr>
      </w:pPr>
    </w:p>
    <w:p>
      <w:pPr>
        <w:jc w:val="both"/>
        <w:ind w:firstLine="246"/>
        <w:spacing w:after="0" w:line="272" w:lineRule="auto"/>
        <w:rPr>
          <w:sz w:val="20"/>
          <w:szCs w:val="20"/>
          <w:color w:val="auto"/>
        </w:rPr>
      </w:pPr>
      <w:r>
        <w:rPr>
          <w:rFonts w:ascii="Times New Roman" w:cs="Times New Roman" w:eastAsia="Times New Roman" w:hAnsi="Times New Roman"/>
          <w:sz w:val="13"/>
          <w:szCs w:val="13"/>
          <w:color w:val="auto"/>
        </w:rPr>
        <w:t>Based on the nature of our activities and the composition of our income and assets, we believe we were a PFIC for the taxable year ended December 31, 2025. Additionally, we may be a PFIC in the current taxable year and in subsequent taxable years. The determination of whether we are a PFIC is a fact-intensive determination made on an annual basis and the applicable law is subject to varying interpretation. In particular, the characterization of our assets as active or passive may depend in part on our current and intended business plans, which are subject to change. In addition, the total value of our assets for PFIC testing purposes may be determined in part by reference to the market price of our Class A Ordinary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including this offering. Our U.S. counsel expresses no opinion with respect to our PFIC status.</w:t>
      </w:r>
    </w:p>
    <w:p>
      <w:pPr>
        <w:spacing w:after="0" w:line="133" w:lineRule="exact"/>
        <w:rPr>
          <w:sz w:val="20"/>
          <w:szCs w:val="20"/>
          <w:color w:val="auto"/>
        </w:rPr>
      </w:pPr>
    </w:p>
    <w:p>
      <w:pPr>
        <w:jc w:val="both"/>
        <w:ind w:firstLine="246"/>
        <w:spacing w:after="0" w:line="247" w:lineRule="auto"/>
        <w:rPr>
          <w:sz w:val="20"/>
          <w:szCs w:val="20"/>
          <w:color w:val="auto"/>
        </w:rPr>
      </w:pPr>
      <w:r>
        <w:rPr>
          <w:rFonts w:ascii="Times New Roman" w:cs="Times New Roman" w:eastAsia="Times New Roman" w:hAnsi="Times New Roman"/>
          <w:sz w:val="14"/>
          <w:szCs w:val="14"/>
          <w:color w:val="auto"/>
        </w:rPr>
        <w:t>If we are classified as a PFIC in any taxable year with respect to which a U.S. Holder owns our Class A Ordinary Shares, we will continue to be treated as a PFIC with respect to such U.S. Holder in all succeeding years during which the U.S. Holder owns our Class A Ordinary Shares, regardless of whether we continue to meet the tests described above unless (1) we cease to be a PFIC and the U.S. Holder has made a “deemed sale” election under the PFIC rules, or (2) the U.S. Holder makes a QEF Election (as defined below) with respect to all taxable years in which we are a PFIC during the U.S. Holder’s holding period or makes a purging election to cause a deemed sale of our Class A Ordinary Shares at their fair market value in conjunction with a QEF Election. If a deemed sale election is made, the U.S. Holder will be deemed to have sold our Class A Ordinary Shares it holds at their fair market value and any gain from such deemed sale would be subject to the rules described below. After the deemed sale election, so long as we do not become a PFIC in a subsequent taxable year, the Class A Ordinary Shares with respect to which such election was made will not be treated as shares in a PFIC and the U.S. Holder will not be subject to the rules described below with respect to any “excess distribution” it receives from us or any gain from an actual sale or other disposition of our Class A Ordinary Shares. If we are treated as a PFIC with respect to a U.S. Holder, and subsequently cease to be a PFIC, such U.S. Holder should consult its tax advisors as to the possibility and consequences of making a deemed sale election.</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1" w:name="page62"/>
    <w:bookmarkEnd w:id="61"/>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If we are treated as a PFIC for any taxable year during which a U.S. Holder holds our Class A Ordinary Shares, such holder will be subject to special tax rules with respect to any “excess distribution” received and any gain recognized from a sale or other disposition (including a pledge) of our Class A Ordinary Shares, unless such holder makes a QEF Election or a mark-to-market election as discussed below. Distributions a U.S. Holder receives in a taxable year that are greater than 125% of the average annual distributions such holder received during the shorter of the three preceding taxable years or such holder’s holding period for the Class A Ordinary Shares will be treated as an excess distribution. Under these special tax rules, if a U.S. Holder receives any excess distribution or realizes any gain from a sale or other disposition of the Class A Ordinary Shares:</w:t>
      </w:r>
    </w:p>
    <w:p>
      <w:pPr>
        <w:spacing w:after="0" w:line="147" w:lineRule="exact"/>
        <w:rPr>
          <w:sz w:val="20"/>
          <w:szCs w:val="20"/>
          <w:color w:val="auto"/>
        </w:rPr>
      </w:pPr>
    </w:p>
    <w:p>
      <w:pPr>
        <w:ind w:left="500" w:hanging="251"/>
        <w:spacing w:after="0"/>
        <w:tabs>
          <w:tab w:leader="none" w:pos="500" w:val="left"/>
        </w:tabs>
        <w:numPr>
          <w:ilvl w:val="0"/>
          <w:numId w:val="3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excess distribution or gain will be allocated ratably over such holder’s holding period for our Class A Ordinary Shares,</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amount allocated to the current taxable year, and any taxable year before the first taxable year in which we were a PFIC, will be taxed as ordinary income, and</w:t>
      </w:r>
    </w:p>
    <w:p>
      <w:pPr>
        <w:spacing w:after="0" w:line="166"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3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35"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The tax liability for amounts allocated to years before the year of disposition or “excess distribution” cannot be offset by any net operating losses for such years, and gains (but not losses) realized on the sale or other taxable disposition of our Class A Ordinary Shares cannot be treated as capital gains.</w:t>
      </w:r>
    </w:p>
    <w:p>
      <w:pPr>
        <w:spacing w:after="0" w:line="135"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If we are a PFIC, a U.S. Holder generally will be subject to similar rules with respect to distributions we receive from, and our dispositions of the stock of, any of our direct or indirect subsidiaries or any other entities in which we hold equity interests that also are PFICs, or lower-tier PFICs, as if such U.S. Holder held its proportionate share of the stock of such lower-tier PFICs directly. We will endeavor, upon written request by a U.S. Holder, to cause any lower-tier PFIC to provide or make available to such U.S. Holder such information as the IRS may require to make or maintain a QEF Election (described below) with respect to the lower-tier PFIC. However, there is no assurance that we will have timely knowledge of the status of any such lower-tier PFIC. In addition, we may not hold a controlling interest in any such lower-tier PFIC and thus there can be no assurance we will be able to cause the lower-tier PFIC to provide the required information. U.S. Holders should consult their tax advisors regarding the application of the PFIC rules to lower-tier PFICs.</w:t>
      </w:r>
    </w:p>
    <w:p>
      <w:pPr>
        <w:spacing w:after="0" w:line="148" w:lineRule="exact"/>
        <w:rPr>
          <w:sz w:val="20"/>
          <w:szCs w:val="20"/>
          <w:color w:val="auto"/>
        </w:rPr>
      </w:pPr>
    </w:p>
    <w:p>
      <w:pPr>
        <w:jc w:val="both"/>
        <w:ind w:firstLine="246"/>
        <w:spacing w:after="0" w:line="246" w:lineRule="auto"/>
        <w:rPr>
          <w:sz w:val="20"/>
          <w:szCs w:val="20"/>
          <w:color w:val="auto"/>
        </w:rPr>
      </w:pPr>
      <w:r>
        <w:rPr>
          <w:rFonts w:ascii="Times New Roman" w:cs="Times New Roman" w:eastAsia="Times New Roman" w:hAnsi="Times New Roman"/>
          <w:sz w:val="14"/>
          <w:szCs w:val="14"/>
          <w:color w:val="auto"/>
        </w:rPr>
        <w:t xml:space="preserve">Certain elections may be available that would result in alternative treatments (such as mark-to-market treatment of our Class A Ordinary Shares). U.S. Holders can avoid the interest charge on excess distributions or gain relating to our Class A Ordinary Shares by making a mark-to-market election with respect to the Class A Ordinary Shares, provided that the Class A Ordinary Shares are “marketable stock.” Our Class A Ordinary Shares will be marketable stock if they are “regularly traded” on certain U.S. stock exchanges or on a non-U.S. stock exchange that meets certain conditions. For these purposes, the Class A Ordinary Shares will be considered regularly traded during any calendar year during which they are traded, other than in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quantities, on at least 15 days during each calendar quarter. Any trades that have as one of their principal purposes meeting this requirement will be disregarded. Our Class A Ordinary Shares are currently listed on The Nasdaq Capital Market, which is a qualified exchange for these purposes. Consequently, if our Class A Ordinary Shares remain listed on The Nasdaq Capital Market and are “regularly traded”, the mark-to-market election may be available to U.S. Holders. However, a mark-to-market election generally cannot be made for equity interests in any lower-tier PFICs that we own, unless shares of such lower-tier PFIC are themselves marketable stock. As a result, even if a U.S. Holder validly makes a mark-to-market election with respect to our Class A Ordinary Shares, the U.S. Holder may continue to be subject to the rules described above with respect to any “excess distribution” in respect of its indirect interest in any direct or indirect subsidiaries or any other entities that are lower-tier PFICs for U.S. federal income tax purposes. A U.S. Holder that is eligible to make a mark-to-market with respect to such Holder’s Class A Ordinary Shares may do so by providing the appropriate information on IRS Form 8621 and timely filing that form with the U.S. Holder’s tax return for the year in which the election becomes effective. Each U.S. Holder should consult its tax advisor as to whether a mark-to-market election is available or advisable with respect to our Class A Ordinary Shares, as well as the impact of such election on interests in any lower-tier PFICs.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2" w:name="page63"/>
    <w:bookmarkEnd w:id="62"/>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The adverse consequences of owning stock in a PFIC could also be mitigated if a U.S. Holder makes a valid “qualified electing fund” election (“QEF Election”), which, among other things, would require a U.S. Holder to include currently in income its pro rata share of the PFIC’s net capital gains (as long-term capital gain) and other earnings and profits (as ordinary income), on a current basis, in each case whether or not distributed, in the taxable year of the U.S. Holder in which or with which the PFIC’s taxable year ends. A U.S. Holder generally may make a separate election to defer the payment of taxes on undistributed income inclusions under the QEF rules, but if deferred, any such taxes will be subject to an interest charge.</w:t>
      </w:r>
    </w:p>
    <w:p>
      <w:pPr>
        <w:spacing w:after="0" w:line="145"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In order to comply with the requirements of a QEF election, a U.S. Holder must receive a PFIC Annual Information Statement from the PFIC. If we determine that we are a PFIC for a taxable year, upon written request by a U.S. Holder, we will endeavor to provide or make available to the requesting U.S. Holder such information as the IRS may require to enable such U.S. Holder to make and maintain a QEF Election with respect to our Class A Ordinary Shares, including the PFIC Annual Information Statement for the tax year, which may include a statement that we permitted such U.S. Holder to examine our books of account, records, and other documents to calculate the amounts of our ordinary earnings and the net capital gain according to U.S. federal income tax accounting principles and to calculate such U.S. Holder’s pro rata shares of our ordinary earnings and net capital gain. However, there is no assurance that we will have timely knowledge of our status as a PFIC or that the required information will be provided.</w:t>
      </w:r>
    </w:p>
    <w:p>
      <w:pPr>
        <w:spacing w:after="0" w:line="148"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The QEF Election is made on a shareholder-by-shareholder basis and, once made, can be revoked only with the consent of the IRS. A U.S. Holder generally makes a QEF Election by attaching a completed IRS Form 8621, including the information provided in a PFIC Annual Information Statement, to a timely filed U.S. federal income tax return for the tax year to which the election relates. Retroactive QEF Elections generally may be made only in very limited circumstances or with the consent of the IRS. U.S. Holders should consult their own tax advisors regarding the availability and tax consequences of a retroactive QEF Election under their particular circumstances.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3" w:name="page64"/>
    <w:bookmarkEnd w:id="63"/>
    <w:p>
      <w:pPr>
        <w:jc w:val="both"/>
        <w:ind w:firstLine="246"/>
        <w:spacing w:after="0" w:line="248" w:lineRule="auto"/>
        <w:rPr>
          <w:sz w:val="20"/>
          <w:szCs w:val="20"/>
          <w:color w:val="auto"/>
        </w:rPr>
      </w:pPr>
      <w:r>
        <w:rPr>
          <w:rFonts w:ascii="Times New Roman" w:cs="Times New Roman" w:eastAsia="Times New Roman" w:hAnsi="Times New Roman"/>
          <w:sz w:val="14"/>
          <w:szCs w:val="14"/>
          <w:color w:val="auto"/>
        </w:rPr>
        <w:t>If a U.S. Holder has made a QEF Election with respect to our Class A Ordinary Shares, and the special tax and interest charge rules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interest charge will be imposed under the PFIC rules. As discussed above, if we are a PFIC for any taxable year, a U.S. Holder of our Class A Ordinary Shares that has made a QEF Election will be currently taxed on its pro rata share of our net capital gain (generally as long-term capital gain) and other earnings and profits (generally as ordinary income), whether or not distributed for such year. In such case, a subsequent distribution of such earnings and profits that were previously included in income generally should not be taxable when distributed to such U.S. Holders. The tax basis of a U.S. Holder’s shares in a PFIC with respect to which the U.S. Holder has made a valid QEF Election will be increased by amounts that are included in income and decreased by amounts distributed but not taxed as dividends, under the above rules.</w:t>
      </w:r>
    </w:p>
    <w:p>
      <w:pPr>
        <w:spacing w:after="0" w:line="150"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If we are considered a PFIC, U.S. Holders may also be subject to annual information reporting requirements. A U.S. Holder’s failure to file the annual report may result in substantial penalties and extend the statute of limitations with respect to the U.S. Holder’s federal income tax return. U.S. Holders should consult their tax advisors regarding any reporting requirements that may apply to them with respect to any taxable year in which we are a PFIC.</w:t>
      </w:r>
    </w:p>
    <w:p>
      <w:pPr>
        <w:spacing w:after="0" w:line="142"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U.S. Holders are urged to consult their tax advisors regarding the application of the PFIC rules to the ownership and disposition of our Class A Ordinary Shares and the potential availability of a mark-to-market or QEF election.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Dividend payments with respect to our Class A Ordinary Shares and proceeds from the sale, exchange, or other taxable disposition of our Class A Ordinary Shares may be subject to information reporting to the IRS and U.S. backup withholding. Certain U.S. Holders are exempt from backup withholding, including corporations and certain tax-exempt organizations. A U.S. Holder generally will be subject to backup withholding if such holder is not a corporation or otherwise exempt and such holder:</w:t>
      </w:r>
    </w:p>
    <w:p>
      <w:pPr>
        <w:spacing w:after="0" w:line="142" w:lineRule="exact"/>
        <w:rPr>
          <w:sz w:val="20"/>
          <w:szCs w:val="20"/>
          <w:color w:val="auto"/>
        </w:rPr>
      </w:pPr>
    </w:p>
    <w:p>
      <w:pPr>
        <w:ind w:left="500" w:hanging="251"/>
        <w:spacing w:after="0"/>
        <w:tabs>
          <w:tab w:leader="none" w:pos="500" w:val="left"/>
        </w:tabs>
        <w:numPr>
          <w:ilvl w:val="0"/>
          <w:numId w:val="3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fails to furnish the holder’s taxpayer identification number, which for an individual is ordinarily such individual’s social security number;</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furnishes an incorrect taxpayer identification number;</w:t>
      </w:r>
    </w:p>
    <w:p>
      <w:pPr>
        <w:spacing w:after="0" w:line="166" w:lineRule="exact"/>
        <w:rPr>
          <w:rFonts w:ascii="Arial" w:cs="Arial" w:eastAsia="Arial" w:hAnsi="Arial"/>
          <w:sz w:val="14"/>
          <w:szCs w:val="14"/>
          <w:b w:val="1"/>
          <w:bCs w:val="1"/>
          <w:color w:val="auto"/>
        </w:rPr>
      </w:pPr>
    </w:p>
    <w:p>
      <w:pPr>
        <w:ind w:left="500" w:hanging="251"/>
        <w:spacing w:after="0"/>
        <w:tabs>
          <w:tab w:leader="none" w:pos="500" w:val="left"/>
        </w:tabs>
        <w:numPr>
          <w:ilvl w:val="0"/>
          <w:numId w:val="3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is notified by the IRS that the holder previously failed to properly report payments of interest or dividends; or</w:t>
      </w:r>
    </w:p>
    <w:p>
      <w:pPr>
        <w:spacing w:after="0" w:line="166" w:lineRule="exact"/>
        <w:rPr>
          <w:rFonts w:ascii="Arial" w:cs="Arial" w:eastAsia="Arial" w:hAnsi="Arial"/>
          <w:sz w:val="14"/>
          <w:szCs w:val="14"/>
          <w:b w:val="1"/>
          <w:bCs w:val="1"/>
          <w:color w:val="auto"/>
        </w:rPr>
      </w:pPr>
    </w:p>
    <w:p>
      <w:pPr>
        <w:ind w:left="500" w:hanging="251"/>
        <w:spacing w:after="0" w:line="266" w:lineRule="auto"/>
        <w:tabs>
          <w:tab w:leader="none" w:pos="500" w:val="left"/>
        </w:tabs>
        <w:numPr>
          <w:ilvl w:val="0"/>
          <w:numId w:val="3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fails to certify under penalties of perjury that the holder has furnished a correct taxpayer identification number and that the IRS has not notified the holder that the holder is subject to backup withholding.</w:t>
      </w:r>
    </w:p>
    <w:p>
      <w:pPr>
        <w:spacing w:after="0" w:line="135"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Additional Reporting Requirements</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Certain U.S. Holders who are individuals (and certain entities) that hold an interest in “specified foreign financial assets” (which may include our Class A Ordinary Shares) are required to report information relating to such assets, subject to certain exceptions (including an exception for our Class A Ordinary Shares held in accounts maintained by certain U.S. financial institutions). Substantial penalties apply if U.S. Holders fail to satisfy such reporting requirements. U.S. Holders should consult their tax advisors regarding the applicability of these requirements to their acquisition, ownership, and disposition of our Class A Ordinary Shares.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2" w:lineRule="exact"/>
        <w:rPr>
          <w:sz w:val="20"/>
          <w:szCs w:val="20"/>
          <w:color w:val="auto"/>
        </w:rPr>
      </w:pPr>
    </w:p>
    <w:p>
      <w:pPr>
        <w:jc w:val="both"/>
        <w:ind w:firstLine="246"/>
        <w:spacing w:after="0" w:line="248" w:lineRule="auto"/>
        <w:rPr>
          <w:sz w:val="20"/>
          <w:szCs w:val="20"/>
          <w:color w:val="auto"/>
        </w:rPr>
      </w:pPr>
      <w:r>
        <w:rPr>
          <w:rFonts w:ascii="Times New Roman" w:cs="Times New Roman" w:eastAsia="Times New Roman" w:hAnsi="Times New Roman"/>
          <w:sz w:val="14"/>
          <w:szCs w:val="14"/>
          <w:color w:val="auto"/>
        </w:rPr>
        <w:t>We have entered into a Sales Agreement with Leerink Partners, under which we may issue and sell from time to time our Class A Ordinary Shares through Leerink Partners as our sales agent. Pursuant to this prospectus, we may issue and sell up to an aggregate of $125,000,000 of our Class A Ordinary Shares. As of the date of this prospectus supplement, we had issued and sold Class A Ordinary Shares having an aggregate offering price of $10,955,100 pursuant to the Sales Agreement and a prior sales agreement prospectus. Accordingly, we may offer and sell Class A Ordinary Shares having an aggregate offering price of up to $114,044,900 pursuant to this prospectus supplement. Sales of our Class A Ordinary Shares, if any, will be made at market prices by any method that is deemed to be an “at the market offering” as defined in Rule 415(a)(4) under the Securities Act, including sales made directly on Nasdaq or any other trading market for our Class A Ordinary Shares. The Sales Agreement will be filed as an exhibit to the registration statement of which this prospectus is a part. The below description of the material provisions of the Sales Agreement does not purport to be a complete statement of its terms and conditions.</w:t>
      </w:r>
    </w:p>
    <w:p>
      <w:pPr>
        <w:spacing w:after="0" w:line="150"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Leerink Partners will offer our Class A Ordinary Shares subject to the terms and conditions of the Sales Agreement on a daily basis or as otherwise agreed upon by us and Leerink Partners. We will designate the maximum amount of Class A Ordinary Shares to be sold through Leerink Partners on a daily basis or otherwise determine such maximum amount together with Leerink Partners. Subject to the terms and conditions of the Sales Agreement, Leerink Partners will use commercially reasonable efforts consistent with its normal trading and sales practices to sell such shares up to the amount specified on such terms. We may instruct Leerink Partners not to sell Class A Ordinary Shares if the sales cannot be effected at or above the price designated by us in any such instruction. Leerink Partners or we may suspend the offering of our Class A Ordinary Shares being made through Leerink Partners under the Sales Agreement upon proper notice to the other parties. Leerink Partners and we each have the right, by giving written notice as specified in the Sales Agreement, to terminate the Sales Agreement in each party’s sole discretion at any time.</w:t>
      </w:r>
    </w:p>
    <w:p>
      <w:pPr>
        <w:spacing w:after="0" w:line="148" w:lineRule="exact"/>
        <w:rPr>
          <w:sz w:val="20"/>
          <w:szCs w:val="20"/>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The aggregate compensation payable to Leerink Partners as sales agent is equal to 3.0% of the gross sales price of the shares sold through them pursuant to the Sales Agreement. We have also agreed to reimburse Leerink Partners for up to $75,000 of the actual outside legal expenses incurred by Leerink Partners in connection with the establishment of the at-the-market offering, and thereafter, $15,000 on a quarterly basis, and up to $10,000 of filing fees and associated legal expenses of Leerink Partners’ outside counsel for filings with the Financial Industry Regulatory Authority Corporate Financing Department in connection with the transactions contemplated by the Sales Agreement. We estimate that the total expenses in connection with the transactions contemplated by the Sales Agreement payable by us, excluding commissions payable to Leerink Partners under the Sales Agreement, will be approximately $450,000.</w:t>
      </w:r>
    </w:p>
    <w:p>
      <w:pPr>
        <w:spacing w:after="0" w:line="147"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The remaining sales proceeds, after deducting any expenses payable by us and any transaction fees imposed by any governmental, regulatory, or self-regulatory organization in connection with the sales, will equal our net proceeds for the sale of such Class A Ordinary Shares.</w:t>
      </w:r>
    </w:p>
    <w:p>
      <w:pPr>
        <w:spacing w:after="0" w:line="135"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Leerink Partners will provide written confirmation to us following the close of trading on Nasdaq on each day in which Class A Ordinary Shares are sold through them as sales agent under the Sales Agreement. Each confirmation will include the number of Class A Ordinary Shares sold through Leerink Partners as sales agent on that day, the volume weighted average price of the shares sold, the percentage of the daily trading volume and the net proceeds to us.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66" w:name="page67"/>
    <w:bookmarkEnd w:id="66"/>
    <w:p>
      <w:pPr>
        <w:jc w:val="both"/>
        <w:ind w:firstLine="246"/>
        <w:spacing w:after="0" w:line="284" w:lineRule="auto"/>
        <w:rPr>
          <w:sz w:val="20"/>
          <w:szCs w:val="20"/>
          <w:color w:val="auto"/>
        </w:rPr>
      </w:pPr>
      <w:r>
        <w:rPr>
          <w:rFonts w:ascii="Times New Roman" w:cs="Times New Roman" w:eastAsia="Times New Roman" w:hAnsi="Times New Roman"/>
          <w:sz w:val="13"/>
          <w:szCs w:val="13"/>
          <w:color w:val="auto"/>
        </w:rPr>
        <w:t>We will report at least quarterly the number of Class A Ordinary Shares sold through Leerink Partners under the Sales Agreement, the net proceeds to us and the compensation paid by us to Leerink Partners in connection with the sales of Class A Ordinary Shares. Settlement for sales of Class A Ordinary Shares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26"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In connection with the sales of our Class A Ordinary Shares on our behalf, Leerink Partners will be deemed to be an “underwriter” within the meaning of the Securities Act, and the compensation paid to Leerink Partners will be deemed to be underwriting commissions or discounts. We have agreed in the Sales Agreement to provide indemnification and contribution to Leerink Partners against certain liabilities, including liabilities under the Securities Act.</w:t>
      </w:r>
    </w:p>
    <w:p>
      <w:pPr>
        <w:spacing w:after="0" w:line="1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As sales agent, Leerink Partners will not engage in any transactions that stabilize our Class A Ordinary Shares.</w:t>
      </w:r>
    </w:p>
    <w:p>
      <w:pPr>
        <w:spacing w:after="0" w:line="168"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Our Class A Ordinary Shares are listed and traded on Nasdaq under the symbol “ZURA.” The transfer agent and registrar of our Class A Ordinary Shares is Continental Stock Transfer &amp; Trust Company.</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Certain matters with respect to U.S. federal and New York State law will be passed upon for us by Cooley LLP, New York, New York. Ogier (Cayman) LLP, Cayman Islands, will pass upon the validity of the securities offered in this prospectus with respect to the Class A Ordinary Shares and matters of Cayman Islands law. The sales agent is being represented in connection with this offering by White &amp; Case LLP, New York, New York.</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2" w:lineRule="exact"/>
        <w:rPr>
          <w:sz w:val="20"/>
          <w:szCs w:val="20"/>
          <w:color w:val="auto"/>
        </w:rPr>
      </w:pPr>
    </w:p>
    <w:p>
      <w:pPr>
        <w:jc w:val="both"/>
        <w:ind w:firstLine="246"/>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financial statements appearing in our Annual Report on </w:t>
      </w:r>
      <w:hyperlink r:id="rId46">
        <w:r>
          <w:rPr>
            <w:rFonts w:ascii="Times New Roman" w:cs="Times New Roman" w:eastAsia="Times New Roman" w:hAnsi="Times New Roman"/>
            <w:sz w:val="14"/>
            <w:szCs w:val="14"/>
            <w:u w:val="single" w:color="auto"/>
            <w:color w:val="0000EE"/>
          </w:rPr>
          <w:t>Form 10-K for the year ended December 31,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have been audited by WithumSmith+Brown, PC (“Withum”), independent registered public accountants, as set forth in their report thereon, included therein, and incorporated herein by reference. The financial statements are incorporated herein by reference in reliance upon such report given on the authority of said firm as experts in accounting and auditing.</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www.zurabio.com, at which you may access these materials free of charge as soon as reasonably practicable after they are electronically filed with, or furnished to, the SEC. The information contained in, or that can be accessed through, our website is not part of this prospectus.</w:t>
      </w:r>
    </w:p>
    <w:p>
      <w:pPr>
        <w:spacing w:after="0" w:line="14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Our website address is www.zurabio.com. Through our website, we make available, free of charge, the following documents as soon as reasonably practicable after they are electronically filed with, or furnished to, the SEC, including our Annual Reports on Form 10-K; our proxy statements for our annual and extraordinary shareholder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72"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 (in each case, other than those documents or the portions of those documents not deemed to be filed, including the portions of these documents that are furnished under Item 2.02 or Item 7.01 of a Current Report on Form 8-K, including any exhibits included with such Items):</w:t>
      </w:r>
    </w:p>
    <w:p>
      <w:pPr>
        <w:spacing w:after="0" w:line="148" w:lineRule="exact"/>
        <w:rPr>
          <w:sz w:val="20"/>
          <w:szCs w:val="20"/>
          <w:color w:val="auto"/>
        </w:rPr>
      </w:pPr>
    </w:p>
    <w:p>
      <w:pPr>
        <w:ind w:left="500" w:hanging="251"/>
        <w:spacing w:after="0"/>
        <w:tabs>
          <w:tab w:leader="none" w:pos="500" w:val="left"/>
        </w:tabs>
        <w:numPr>
          <w:ilvl w:val="0"/>
          <w:numId w:val="39"/>
        </w:numPr>
        <w:rPr>
          <w:rFonts w:ascii="Times New Roman" w:cs="Times New Roman" w:eastAsia="Times New Roman" w:hAnsi="Times New Roman"/>
          <w:sz w:val="14"/>
          <w:szCs w:val="14"/>
          <w:u w:val="single" w:color="auto"/>
          <w:color w:val="0000EE"/>
        </w:rPr>
      </w:pPr>
      <w:hyperlink r:id="rId46">
        <w:r>
          <w:rPr>
            <w:rFonts w:ascii="Times New Roman" w:cs="Times New Roman" w:eastAsia="Times New Roman" w:hAnsi="Times New Roman"/>
            <w:sz w:val="14"/>
            <w:szCs w:val="14"/>
            <w:u w:val="single" w:color="auto"/>
            <w:color w:val="0000EE"/>
          </w:rPr>
          <w:t>our Annual Report on Form 10-K for the year ended December 31, 2025, filed with the SEC on March 19, 2026;</w:t>
        </w:r>
      </w:hyperlink>
    </w:p>
    <w:p>
      <w:pPr>
        <w:spacing w:after="0" w:line="166" w:lineRule="exact"/>
        <w:rPr>
          <w:rFonts w:ascii="Times New Roman" w:cs="Times New Roman" w:eastAsia="Times New Roman" w:hAnsi="Times New Roman"/>
          <w:sz w:val="14"/>
          <w:szCs w:val="14"/>
          <w:u w:val="single" w:color="auto"/>
          <w:color w:val="0000EE"/>
        </w:rPr>
      </w:pPr>
    </w:p>
    <w:p>
      <w:pPr>
        <w:ind w:left="500" w:hanging="251"/>
        <w:spacing w:after="0" w:line="266" w:lineRule="auto"/>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March 31, 2026, filed with the SEC on </w:t>
      </w:r>
      <w:hyperlink r:id="rId49">
        <w:r>
          <w:rPr>
            <w:rFonts w:ascii="Times New Roman" w:cs="Times New Roman" w:eastAsia="Times New Roman" w:hAnsi="Times New Roman"/>
            <w:sz w:val="14"/>
            <w:szCs w:val="14"/>
            <w:u w:val="single" w:color="auto"/>
            <w:color w:val="0000EE"/>
          </w:rPr>
          <w:t>May 7, 2026</w:t>
        </w:r>
      </w:hyperlink>
      <w:r>
        <w:rPr>
          <w:rFonts w:ascii="Times New Roman" w:cs="Times New Roman" w:eastAsia="Times New Roman" w:hAnsi="Times New Roman"/>
          <w:sz w:val="14"/>
          <w:szCs w:val="14"/>
          <w:color w:val="auto"/>
        </w:rPr>
        <w:t xml:space="preserve">, June 30, 2026, filed with the SEC on </w:t>
      </w:r>
      <w:hyperlink r:id="rId50">
        <w:r>
          <w:rPr>
            <w:rFonts w:ascii="Times New Roman" w:cs="Times New Roman" w:eastAsia="Times New Roman" w:hAnsi="Times New Roman"/>
            <w:sz w:val="14"/>
            <w:szCs w:val="14"/>
            <w:u w:val="single" w:color="auto"/>
            <w:color w:val="0000EE"/>
          </w:rPr>
          <w:t>August 11,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and September 30, 2026, filed with the SEC on October 27, 2026;</w:t>
      </w:r>
    </w:p>
    <w:p>
      <w:pPr>
        <w:spacing w:after="0" w:line="135" w:lineRule="exact"/>
        <w:rPr>
          <w:rFonts w:ascii="Times New Roman" w:cs="Times New Roman" w:eastAsia="Times New Roman" w:hAnsi="Times New Roman"/>
          <w:sz w:val="14"/>
          <w:szCs w:val="14"/>
          <w:color w:val="auto"/>
        </w:rPr>
      </w:pPr>
    </w:p>
    <w:p>
      <w:pPr>
        <w:ind w:left="500" w:hanging="251"/>
        <w:spacing w:after="0" w:line="266" w:lineRule="auto"/>
        <w:tabs>
          <w:tab w:leader="none" w:pos="500" w:val="left"/>
        </w:tabs>
        <w:numPr>
          <w:ilvl w:val="0"/>
          <w:numId w:val="39"/>
        </w:numPr>
        <w:rPr>
          <w:rFonts w:ascii="Times New Roman" w:cs="Times New Roman" w:eastAsia="Times New Roman" w:hAnsi="Times New Roman"/>
          <w:sz w:val="14"/>
          <w:szCs w:val="14"/>
          <w:color w:val="0000EE"/>
        </w:rPr>
      </w:pPr>
      <w:hyperlink r:id="rId51">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January 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January 12,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January 26,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23,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26,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23,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May 22, 2026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June 18,</w:t>
        </w:r>
      </w:hyperlink>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hyperlink>
    </w:p>
    <w:p>
      <w:pPr>
        <w:spacing w:after="0" w:line="135" w:lineRule="exact"/>
        <w:rPr>
          <w:rFonts w:ascii="Times New Roman" w:cs="Times New Roman" w:eastAsia="Times New Roman" w:hAnsi="Times New Roman"/>
          <w:sz w:val="14"/>
          <w:szCs w:val="14"/>
          <w:color w:val="0000EE"/>
        </w:rPr>
      </w:pPr>
    </w:p>
    <w:p>
      <w:pPr>
        <w:ind w:left="500" w:hanging="251"/>
        <w:spacing w:after="0"/>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52">
        <w:r>
          <w:rPr>
            <w:rFonts w:ascii="Times New Roman" w:cs="Times New Roman" w:eastAsia="Times New Roman" w:hAnsi="Times New Roman"/>
            <w:sz w:val="14"/>
            <w:szCs w:val="14"/>
            <w:u w:val="single" w:color="auto"/>
            <w:color w:val="0000EE"/>
          </w:rPr>
          <w:t>Definitive Proxy Statement on Schedule 14A, filed with the SEC on April 30,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(other than the portions thereof that are furnished and not filed); and</w:t>
      </w:r>
    </w:p>
    <w:p>
      <w:pPr>
        <w:spacing w:after="0" w:line="166" w:lineRule="exact"/>
        <w:rPr>
          <w:rFonts w:ascii="Times New Roman" w:cs="Times New Roman" w:eastAsia="Times New Roman" w:hAnsi="Times New Roman"/>
          <w:sz w:val="14"/>
          <w:szCs w:val="14"/>
          <w:color w:val="auto"/>
        </w:rPr>
      </w:pPr>
    </w:p>
    <w:p>
      <w:pPr>
        <w:ind w:left="500" w:hanging="251"/>
        <w:spacing w:after="0" w:line="266" w:lineRule="auto"/>
        <w:tabs>
          <w:tab w:leader="none" w:pos="5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securities contained in our Registration Statement on </w:t>
      </w:r>
      <w:hyperlink r:id="rId53">
        <w:r>
          <w:rPr>
            <w:rFonts w:ascii="Times New Roman" w:cs="Times New Roman" w:eastAsia="Times New Roman" w:hAnsi="Times New Roman"/>
            <w:sz w:val="14"/>
            <w:szCs w:val="14"/>
            <w:u w:val="single" w:color="auto"/>
            <w:color w:val="0000EE"/>
          </w:rPr>
          <w:t>Form 8-A filed on July 13, 2021</w:t>
        </w:r>
      </w:hyperlink>
      <w:r>
        <w:rPr>
          <w:rFonts w:ascii="Times New Roman" w:cs="Times New Roman" w:eastAsia="Times New Roman" w:hAnsi="Times New Roman"/>
          <w:sz w:val="14"/>
          <w:szCs w:val="14"/>
          <w:color w:val="auto"/>
        </w:rPr>
        <w:t xml:space="preserve">, as updated by </w:t>
      </w:r>
      <w:hyperlink r:id="rId54">
        <w:r>
          <w:rPr>
            <w:rFonts w:ascii="Times New Roman" w:cs="Times New Roman" w:eastAsia="Times New Roman" w:hAnsi="Times New Roman"/>
            <w:sz w:val="14"/>
            <w:szCs w:val="14"/>
            <w:u w:val="single" w:color="auto"/>
            <w:color w:val="0000EE"/>
          </w:rPr>
          <w:t>Exhibit 4.2</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2023, filed with the SEC on March 28, 2024, together with any amendment or report filed with the SEC for the purpose of updating such description.</w:t>
      </w:r>
    </w:p>
    <w:p>
      <w:pPr>
        <w:spacing w:after="0" w:line="135" w:lineRule="exact"/>
        <w:rPr>
          <w:rFonts w:ascii="Arial" w:cs="Arial" w:eastAsia="Arial" w:hAnsi="Arial"/>
          <w:sz w:val="14"/>
          <w:szCs w:val="14"/>
          <w:b w:val="1"/>
          <w:bCs w:val="1"/>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Notwithstanding the foregoing, information furnished under Items 2.02 and 7.01 of any Current Report on Form 8-K, including the related exhibits under Item 9.01, is not incorporated by reference in this prospectus or any prospectus supplement.</w:t>
      </w:r>
    </w:p>
    <w:p>
      <w:pPr>
        <w:spacing w:after="0" w:line="135" w:lineRule="exact"/>
        <w:rPr>
          <w:rFonts w:ascii="Arial" w:cs="Arial" w:eastAsia="Arial" w:hAnsi="Arial"/>
          <w:sz w:val="14"/>
          <w:szCs w:val="14"/>
          <w:b w:val="1"/>
          <w:bCs w:val="1"/>
          <w:color w:val="auto"/>
        </w:rPr>
      </w:pPr>
    </w:p>
    <w:p>
      <w:pPr>
        <w:jc w:val="both"/>
        <w:ind w:firstLine="246"/>
        <w:spacing w:after="0" w:line="250" w:lineRule="auto"/>
        <w:rPr>
          <w:sz w:val="20"/>
          <w:szCs w:val="20"/>
          <w:color w:val="auto"/>
        </w:rPr>
      </w:pPr>
      <w:r>
        <w:rPr>
          <w:rFonts w:ascii="Times New Roman" w:cs="Times New Roman" w:eastAsia="Times New Roman" w:hAnsi="Times New Roman"/>
          <w:sz w:val="14"/>
          <w:szCs w:val="14"/>
          <w:color w:val="auto"/>
        </w:rPr>
        <w:t>All documents we subsequently file pursuant to Section 13(a), 13(c), 14 or 15(d) of the Exchange Act (in each case, other than those documents or the portions of those documents not deemed to be filed, including the portions of these documents that are furnished under Item 2.02 or Item 7.01 of a Current Report on Form 8-K, including any exhibits included with such Items), prior to the termination of this offering, including all such documents we may file after the date of the initial registration statement of which this prospectus forms a part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311" w:lineRule="exact"/>
        <w:rPr>
          <w:rFonts w:ascii="Arial" w:cs="Arial" w:eastAsia="Arial" w:hAnsi="Arial"/>
          <w:sz w:val="14"/>
          <w:szCs w:val="14"/>
          <w:b w:val="1"/>
          <w:bCs w:val="1"/>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S-29</w:t>
      </w:r>
    </w:p>
    <w:p>
      <w:pPr>
        <w:spacing w:after="0" w:line="20" w:lineRule="exact"/>
        <w:rPr>
          <w:rFonts w:ascii="Arial" w:cs="Arial" w:eastAsia="Arial" w:hAnsi="Arial"/>
          <w:sz w:val="14"/>
          <w:szCs w:val="14"/>
          <w:b w:val="1"/>
          <w:bCs w:val="1"/>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70" w:name="page71"/>
    <w:bookmarkEnd w:id="70"/>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1489 W. Warm Springs Rd. #110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Henderson, NV 89014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Attn: Chief Legal Officer</w:t>
      </w:r>
    </w:p>
    <w:p>
      <w:pPr>
        <w:spacing w:after="0" w:line="3" w:lineRule="exact"/>
        <w:rPr>
          <w:sz w:val="20"/>
          <w:szCs w:val="20"/>
          <w:color w:val="auto"/>
        </w:rPr>
      </w:pPr>
    </w:p>
    <w:p>
      <w:pPr>
        <w:ind w:left="5520" w:right="5200" w:hanging="304"/>
        <w:spacing w:after="0" w:line="814" w:lineRule="auto"/>
        <w:tabs>
          <w:tab w:leader="none" w:pos="5547"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825-9872 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-225425</wp:posOffset>
            </wp:positionV>
            <wp:extent cx="716534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191770</wp:posOffset>
            </wp:positionH>
            <wp:positionV relativeFrom="page">
              <wp:posOffset>571500</wp:posOffset>
            </wp:positionV>
            <wp:extent cx="716534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65340" cy="6350"/>
                    </a:xfrm>
                    <a:prstGeom prst="rect">
                      <a:avLst/>
                    </a:prstGeom>
                    <a:noFill/>
                  </pic:spPr>
                </pic:pic>
              </a:graphicData>
            </a:graphic>
          </wp:anchor>
        </w:drawing>
        <w:t>ZURA BIO LIMITED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$114,044,900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429895</wp:posOffset>
            </wp:positionV>
            <wp:extent cx="716534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12700</wp:posOffset>
            </wp:positionV>
            <wp:extent cx="716534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Leerink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443230</wp:posOffset>
            </wp:positionV>
            <wp:extent cx="716534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9019"/>
          </w:cols>
          <w:pgMar w:left="1440" w:top="1057" w:right="1440"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72"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The following table sets forth the estimated costs and expenses, other than underwriting discounts and commissions, payable by us in connection with the offering of the securities being registered. All the amounts shown are estimates, except for the SEC registration fee.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416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60,900</w:t>
            </w:r>
          </w:p>
        </w:tc>
      </w:tr>
      <w:tr>
        <w:trPr>
          <w:trHeight w:val="164"/>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416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4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Transfer agent and registrar fees and expenses</w:t>
            </w:r>
          </w:p>
        </w:tc>
        <w:tc>
          <w:tcPr>
            <w:tcW w:w="4160" w:type="dxa"/>
            <w:vAlign w:val="bottom"/>
          </w:tcPr>
          <w:p>
            <w:pPr>
              <w:spacing w:after="0"/>
              <w:rPr>
                <w:sz w:val="14"/>
                <w:szCs w:val="14"/>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64"/>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and miscellaneous expenses</w:t>
            </w:r>
          </w:p>
        </w:tc>
        <w:tc>
          <w:tcPr>
            <w:tcW w:w="4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4160" w:type="dxa"/>
            <w:vAlign w:val="bottom"/>
          </w:tcPr>
          <w:p>
            <w:pPr>
              <w:jc w:val="right"/>
              <w:ind w:right="332"/>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179260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161" w:lineRule="exact"/>
        <w:rPr>
          <w:sz w:val="20"/>
          <w:szCs w:val="20"/>
          <w:color w:val="auto"/>
        </w:rPr>
      </w:pPr>
    </w:p>
    <w:p>
      <w:pPr>
        <w:ind w:left="240" w:hanging="238"/>
        <w:spacing w:after="0"/>
        <w:tabs>
          <w:tab w:leader="none" w:pos="2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72" w:lineRule="exact"/>
        <w:rPr>
          <w:sz w:val="20"/>
          <w:szCs w:val="20"/>
          <w:color w:val="auto"/>
        </w:rPr>
      </w:pPr>
    </w:p>
    <w:p>
      <w:pPr>
        <w:jc w:val="both"/>
        <w:ind w:firstLine="246"/>
        <w:spacing w:after="0" w:line="252" w:lineRule="auto"/>
        <w:rPr>
          <w:sz w:val="20"/>
          <w:szCs w:val="20"/>
          <w:color w:val="auto"/>
        </w:rPr>
      </w:pPr>
      <w:r>
        <w:rPr>
          <w:rFonts w:ascii="Times New Roman" w:cs="Times New Roman" w:eastAsia="Times New Roman" w:hAnsi="Times New Roman"/>
          <w:sz w:val="14"/>
          <w:szCs w:val="14"/>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fraud or the consequences of committing a crime. The MAA provide for indemnification of our current and former officers and directors to the maximum extent permitted by law, including for any liability incurred in their capacities as such, except through their own actual fraud, willful default or willful neglect.</w:t>
      </w:r>
    </w:p>
    <w:p>
      <w:pPr>
        <w:spacing w:after="0" w:line="145" w:lineRule="exact"/>
        <w:rPr>
          <w:sz w:val="20"/>
          <w:szCs w:val="20"/>
          <w:color w:val="auto"/>
        </w:rPr>
      </w:pPr>
    </w:p>
    <w:p>
      <w:pPr>
        <w:jc w:val="both"/>
        <w:ind w:firstLine="246"/>
        <w:spacing w:after="0" w:line="249" w:lineRule="auto"/>
        <w:rPr>
          <w:sz w:val="20"/>
          <w:szCs w:val="20"/>
          <w:color w:val="auto"/>
        </w:rPr>
      </w:pPr>
      <w:r>
        <w:rPr>
          <w:rFonts w:ascii="Times New Roman" w:cs="Times New Roman" w:eastAsia="Times New Roman" w:hAnsi="Times New Roman"/>
          <w:sz w:val="14"/>
          <w:szCs w:val="14"/>
          <w:color w:val="auto"/>
        </w:rPr>
        <w:t>We have entered or will enter into indemnification agreements with each of our officers and directors a form of which is filed as Exhibit 10.1 to our Quarterly Report on Form 10-Q filed with the SEC on October 27, 2026. These agreements require us to indemnify these individuals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by reason of their service to us, and to advance expenses incurred as a result of any proceeding against them as to which they could be indemnified to the fullest extent permitted under the laws of the Cayman Islands and our Second Amended and Restated Memorandum and Articles of Association.</w:t>
      </w:r>
    </w:p>
    <w:p>
      <w:pPr>
        <w:spacing w:after="0" w:line="148"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6534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0"/>
        </w:trPr>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16. Exhibits</w:t>
            </w:r>
          </w:p>
        </w:tc>
        <w:tc>
          <w:tcPr>
            <w:tcW w:w="1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13"/>
        </w:trPr>
        <w:tc>
          <w:tcPr>
            <w:tcW w:w="180" w:type="dxa"/>
            <w:vAlign w:val="bottom"/>
          </w:tcPr>
          <w:p>
            <w:pPr>
              <w:spacing w:after="0"/>
              <w:rPr>
                <w:sz w:val="24"/>
                <w:szCs w:val="24"/>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8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0"/>
        </w:trPr>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8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70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318"/>
        </w:trPr>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1.1*</w:t>
            </w:r>
          </w:p>
        </w:tc>
        <w:tc>
          <w:tcPr>
            <w:tcW w:w="88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r>
      <w:tr>
        <w:trPr>
          <w:trHeight w:val="299"/>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104">
              <w:r>
                <w:rPr>
                  <w:rFonts w:ascii="Times New Roman" w:cs="Times New Roman" w:eastAsia="Times New Roman" w:hAnsi="Times New Roman"/>
                  <w:sz w:val="14"/>
                  <w:szCs w:val="14"/>
                  <w:color w:val="0000EE"/>
                  <w:w w:val="91"/>
                </w:rPr>
                <w:t>1.</w:t>
              </w:r>
              <w:r>
                <w:rPr>
                  <w:rFonts w:ascii="Times New Roman" w:cs="Times New Roman" w:eastAsia="Times New Roman" w:hAnsi="Times New Roman"/>
                  <w:sz w:val="14"/>
                  <w:szCs w:val="14"/>
                  <w:u w:val="single" w:color="auto"/>
                  <w:color w:val="0000EE"/>
                  <w:w w:val="91"/>
                </w:rPr>
                <w:t>2</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8"/>
              </w:rPr>
            </w:pPr>
            <w:hyperlink r:id="rId104">
              <w:r>
                <w:rPr>
                  <w:rFonts w:ascii="Times New Roman" w:cs="Times New Roman" w:eastAsia="Times New Roman" w:hAnsi="Times New Roman"/>
                  <w:sz w:val="14"/>
                  <w:szCs w:val="14"/>
                  <w:color w:val="0000EE"/>
                  <w:w w:val="98"/>
                </w:rPr>
                <w:t>Sales Agreement, by and between Zura Bio Limited and Leerink Partners LLC, dated September 3, 2024 (incorporated by reference to Exhibit 1.2 to Zura’s Registration Statement on</w:t>
              </w:r>
            </w:hyperlink>
          </w:p>
        </w:tc>
      </w:tr>
      <w:tr>
        <w:trPr>
          <w:trHeight w:val="144"/>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80" w:type="dxa"/>
            <w:vAlign w:val="bottom"/>
            <w:tcBorders>
              <w:bottom w:val="single" w:sz="8" w:color="0000EE"/>
            </w:tcBorders>
            <w:gridSpan w:val="2"/>
          </w:tcPr>
          <w:p>
            <w:pPr>
              <w:spacing w:after="0" w:line="145" w:lineRule="exact"/>
              <w:rPr>
                <w:rFonts w:ascii="Times New Roman" w:cs="Times New Roman" w:eastAsia="Times New Roman" w:hAnsi="Times New Roman"/>
                <w:sz w:val="14"/>
                <w:szCs w:val="14"/>
                <w:color w:val="0000EE"/>
                <w:w w:val="97"/>
              </w:rPr>
            </w:pPr>
            <w:hyperlink r:id="rId104">
              <w:r>
                <w:rPr>
                  <w:rFonts w:ascii="Times New Roman" w:cs="Times New Roman" w:eastAsia="Times New Roman" w:hAnsi="Times New Roman"/>
                  <w:sz w:val="14"/>
                  <w:szCs w:val="14"/>
                  <w:color w:val="0000EE"/>
                  <w:w w:val="97"/>
                </w:rPr>
                <w:t>Form S-3 (File No. 333-281905), filed with the SEC on September 3, 2024).</w:t>
              </w:r>
            </w:hyperlink>
          </w:p>
        </w:tc>
        <w:tc>
          <w:tcPr>
            <w:tcW w:w="5960" w:type="dxa"/>
            <w:vAlign w:val="bottom"/>
            <w:gridSpan w:val="8"/>
          </w:tcPr>
          <w:p>
            <w:pPr>
              <w:spacing w:after="0"/>
              <w:rPr>
                <w:sz w:val="12"/>
                <w:szCs w:val="12"/>
                <w:color w:val="auto"/>
              </w:rPr>
            </w:pPr>
          </w:p>
        </w:tc>
      </w:tr>
      <w:tr>
        <w:trPr>
          <w:trHeight w:val="309"/>
        </w:trPr>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94"/>
              </w:rPr>
              <w:t>1.</w:t>
            </w:r>
            <w:r>
              <w:rPr>
                <w:rFonts w:ascii="Times New Roman" w:cs="Times New Roman" w:eastAsia="Times New Roman" w:hAnsi="Times New Roman"/>
                <w:sz w:val="14"/>
                <w:szCs w:val="14"/>
                <w:u w:val="single" w:color="auto"/>
                <w:color w:val="0000EE"/>
                <w:w w:val="94"/>
              </w:rPr>
              <w:t>3+</w:t>
            </w:r>
          </w:p>
        </w:tc>
        <w:tc>
          <w:tcPr>
            <w:tcW w:w="88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4"/>
                <w:szCs w:val="14"/>
                <w:color w:val="0000EE"/>
              </w:rPr>
              <w:t>Amendment to Sales Agreement, by and between Zura Bio Limited and Leerink Partners LLC, dated October 27, 2026.</w:t>
            </w:r>
          </w:p>
        </w:tc>
      </w:tr>
      <w:tr>
        <w:trPr>
          <w:trHeight w:val="20"/>
        </w:trPr>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9"/>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105">
              <w:r>
                <w:rPr>
                  <w:rFonts w:ascii="Times New Roman" w:cs="Times New Roman" w:eastAsia="Times New Roman" w:hAnsi="Times New Roman"/>
                  <w:sz w:val="14"/>
                  <w:szCs w:val="14"/>
                  <w:color w:val="0000EE"/>
                  <w:w w:val="91"/>
                </w:rPr>
                <w:t>2.</w:t>
              </w:r>
              <w:r>
                <w:rPr>
                  <w:rFonts w:ascii="Times New Roman" w:cs="Times New Roman" w:eastAsia="Times New Roman" w:hAnsi="Times New Roman"/>
                  <w:sz w:val="14"/>
                  <w:szCs w:val="14"/>
                  <w:u w:val="single" w:color="auto"/>
                  <w:color w:val="0000EE"/>
                  <w:w w:val="91"/>
                </w:rPr>
                <w:t>1</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8"/>
              </w:rPr>
            </w:pPr>
            <w:hyperlink r:id="rId105">
              <w:r>
                <w:rPr>
                  <w:rFonts w:ascii="Times New Roman" w:cs="Times New Roman" w:eastAsia="Times New Roman" w:hAnsi="Times New Roman"/>
                  <w:sz w:val="14"/>
                  <w:szCs w:val="14"/>
                  <w:color w:val="0000EE"/>
                  <w:w w:val="98"/>
                </w:rPr>
                <w:t>Business Combination Agreement, dated as of June 16, 2022, by and among JATT, Merger Sub, Merger Sub 2, Holdco and Zura Bio Limited (incorporated by reference to Exhibit 2.1</w:t>
              </w:r>
            </w:hyperlink>
          </w:p>
        </w:tc>
      </w:tr>
      <w:tr>
        <w:trPr>
          <w:trHeight w:val="144"/>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80" w:type="dxa"/>
            <w:vAlign w:val="bottom"/>
            <w:tcBorders>
              <w:bottom w:val="single" w:sz="8" w:color="0000EE"/>
            </w:tcBorders>
            <w:gridSpan w:val="4"/>
          </w:tcPr>
          <w:p>
            <w:pPr>
              <w:spacing w:after="0" w:line="145" w:lineRule="exact"/>
              <w:rPr>
                <w:rFonts w:ascii="Times New Roman" w:cs="Times New Roman" w:eastAsia="Times New Roman" w:hAnsi="Times New Roman"/>
                <w:sz w:val="14"/>
                <w:szCs w:val="14"/>
                <w:color w:val="0000EE"/>
                <w:w w:val="96"/>
              </w:rPr>
            </w:pPr>
            <w:hyperlink r:id="rId105">
              <w:r>
                <w:rPr>
                  <w:rFonts w:ascii="Times New Roman" w:cs="Times New Roman" w:eastAsia="Times New Roman" w:hAnsi="Times New Roman"/>
                  <w:sz w:val="14"/>
                  <w:szCs w:val="14"/>
                  <w:color w:val="0000EE"/>
                  <w:w w:val="96"/>
                </w:rPr>
                <w:t>of JATT’s Current Report on Form 8-K (File No. 001-40598), filed with the SEC on June 17, 2022).</w:t>
              </w:r>
            </w:hyperlink>
          </w:p>
        </w:tc>
        <w:tc>
          <w:tcPr>
            <w:tcW w:w="4660" w:type="dxa"/>
            <w:vAlign w:val="bottom"/>
            <w:gridSpan w:val="6"/>
          </w:tcPr>
          <w:p>
            <w:pPr>
              <w:spacing w:after="0"/>
              <w:rPr>
                <w:sz w:val="12"/>
                <w:szCs w:val="12"/>
                <w:color w:val="auto"/>
              </w:rPr>
            </w:pPr>
          </w:p>
        </w:tc>
      </w:tr>
      <w:tr>
        <w:trPr>
          <w:trHeight w:val="309"/>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106">
              <w:r>
                <w:rPr>
                  <w:rFonts w:ascii="Times New Roman" w:cs="Times New Roman" w:eastAsia="Times New Roman" w:hAnsi="Times New Roman"/>
                  <w:sz w:val="14"/>
                  <w:szCs w:val="14"/>
                  <w:color w:val="0000EE"/>
                  <w:w w:val="91"/>
                </w:rPr>
                <w:t>2.</w:t>
              </w:r>
              <w:r>
                <w:rPr>
                  <w:rFonts w:ascii="Times New Roman" w:cs="Times New Roman" w:eastAsia="Times New Roman" w:hAnsi="Times New Roman"/>
                  <w:sz w:val="14"/>
                  <w:szCs w:val="14"/>
                  <w:u w:val="single" w:color="auto"/>
                  <w:color w:val="0000EE"/>
                  <w:w w:val="91"/>
                </w:rPr>
                <w:t>2</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First Amendment dated as of September 20, 2022 to the Business Combination Agreement by and among JATT, Merger Sub, Merger Sub 2 and Holdco and Zura Bio Limited</w:t>
              </w:r>
            </w:hyperlink>
          </w:p>
        </w:tc>
      </w:tr>
      <w:tr>
        <w:trPr>
          <w:trHeight w:val="144"/>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140" w:type="dxa"/>
            <w:vAlign w:val="bottom"/>
            <w:gridSpan w:val="10"/>
          </w:tcPr>
          <w:p>
            <w:pPr>
              <w:spacing w:after="0" w:line="145"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(incorporated by reference to Exhibit 2.2 of JATT’s Form S-4/A (File No. 333-267005), filed with the SEC on October 25, 2022).</w:t>
              </w:r>
            </w:hyperlink>
          </w:p>
        </w:tc>
      </w:tr>
      <w:tr>
        <w:trPr>
          <w:trHeight w:val="20"/>
        </w:trPr>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9"/>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107">
              <w:r>
                <w:rPr>
                  <w:rFonts w:ascii="Times New Roman" w:cs="Times New Roman" w:eastAsia="Times New Roman" w:hAnsi="Times New Roman"/>
                  <w:sz w:val="14"/>
                  <w:szCs w:val="14"/>
                  <w:color w:val="0000EE"/>
                  <w:w w:val="91"/>
                </w:rPr>
                <w:t>2.</w:t>
              </w:r>
              <w:r>
                <w:rPr>
                  <w:rFonts w:ascii="Times New Roman" w:cs="Times New Roman" w:eastAsia="Times New Roman" w:hAnsi="Times New Roman"/>
                  <w:sz w:val="14"/>
                  <w:szCs w:val="14"/>
                  <w:u w:val="single" w:color="auto"/>
                  <w:color w:val="0000EE"/>
                  <w:w w:val="91"/>
                </w:rPr>
                <w:t>3</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Second Amendment dated as of November 14, 2022 to the Business Combination Agreement by and among JATT, Merger Sub, Merger Sub 2, Holdco and Zura Bio Limited</w:t>
              </w:r>
            </w:hyperlink>
          </w:p>
        </w:tc>
      </w:tr>
      <w:tr>
        <w:trPr>
          <w:trHeight w:val="144"/>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80" w:type="dxa"/>
            <w:vAlign w:val="bottom"/>
            <w:tcBorders>
              <w:bottom w:val="single" w:sz="8" w:color="0000EE"/>
            </w:tcBorders>
            <w:gridSpan w:val="7"/>
          </w:tcPr>
          <w:p>
            <w:pPr>
              <w:spacing w:after="0" w:line="145" w:lineRule="exact"/>
              <w:rPr>
                <w:rFonts w:ascii="Times New Roman" w:cs="Times New Roman" w:eastAsia="Times New Roman" w:hAnsi="Times New Roman"/>
                <w:sz w:val="14"/>
                <w:szCs w:val="14"/>
                <w:color w:val="0000EE"/>
                <w:w w:val="97"/>
              </w:rPr>
            </w:pPr>
            <w:hyperlink r:id="rId107">
              <w:r>
                <w:rPr>
                  <w:rFonts w:ascii="Times New Roman" w:cs="Times New Roman" w:eastAsia="Times New Roman" w:hAnsi="Times New Roman"/>
                  <w:sz w:val="14"/>
                  <w:szCs w:val="14"/>
                  <w:color w:val="0000EE"/>
                  <w:w w:val="97"/>
                </w:rPr>
                <w:t>(incorporated by reference to Exhibit 2.2 of JATT’s Current Report on Form 8-K (File No. 001-40598), filed with the SEC on November 15, 2022).</w:t>
              </w:r>
            </w:hyperlink>
          </w:p>
        </w:tc>
        <w:tc>
          <w:tcPr>
            <w:tcW w:w="2060" w:type="dxa"/>
            <w:vAlign w:val="bottom"/>
            <w:gridSpan w:val="3"/>
          </w:tcPr>
          <w:p>
            <w:pPr>
              <w:spacing w:after="0"/>
              <w:rPr>
                <w:sz w:val="12"/>
                <w:szCs w:val="12"/>
                <w:color w:val="auto"/>
              </w:rPr>
            </w:pPr>
          </w:p>
        </w:tc>
      </w:tr>
      <w:tr>
        <w:trPr>
          <w:trHeight w:val="309"/>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108">
              <w:r>
                <w:rPr>
                  <w:rFonts w:ascii="Times New Roman" w:cs="Times New Roman" w:eastAsia="Times New Roman" w:hAnsi="Times New Roman"/>
                  <w:sz w:val="14"/>
                  <w:szCs w:val="14"/>
                  <w:color w:val="0000EE"/>
                  <w:w w:val="91"/>
                </w:rPr>
                <w:t>2.</w:t>
              </w:r>
              <w:r>
                <w:rPr>
                  <w:rFonts w:ascii="Times New Roman" w:cs="Times New Roman" w:eastAsia="Times New Roman" w:hAnsi="Times New Roman"/>
                  <w:sz w:val="14"/>
                  <w:szCs w:val="14"/>
                  <w:u w:val="single" w:color="auto"/>
                  <w:color w:val="0000EE"/>
                  <w:w w:val="91"/>
                </w:rPr>
                <w:t>4</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Third Amendment dated as of January 13, 2023 to the Business Combination Agreement by and among JATT Acquisition Corp, JATT Merger Sub, JATT Merger Sub 2, Zura</w:t>
              </w:r>
            </w:hyperlink>
          </w:p>
        </w:tc>
      </w:tr>
      <w:tr>
        <w:trPr>
          <w:trHeight w:val="144"/>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980" w:type="dxa"/>
            <w:vAlign w:val="bottom"/>
            <w:tcBorders>
              <w:bottom w:val="single" w:sz="8" w:color="0000EE"/>
            </w:tcBorders>
            <w:gridSpan w:val="9"/>
          </w:tcPr>
          <w:p>
            <w:pPr>
              <w:spacing w:after="0" w:line="145" w:lineRule="exact"/>
              <w:rPr>
                <w:rFonts w:ascii="Times New Roman" w:cs="Times New Roman" w:eastAsia="Times New Roman" w:hAnsi="Times New Roman"/>
                <w:sz w:val="14"/>
                <w:szCs w:val="14"/>
                <w:color w:val="0000EE"/>
                <w:w w:val="97"/>
              </w:rPr>
            </w:pPr>
            <w:hyperlink r:id="rId108">
              <w:r>
                <w:rPr>
                  <w:rFonts w:ascii="Times New Roman" w:cs="Times New Roman" w:eastAsia="Times New Roman" w:hAnsi="Times New Roman"/>
                  <w:sz w:val="14"/>
                  <w:szCs w:val="14"/>
                  <w:color w:val="0000EE"/>
                  <w:w w:val="97"/>
                </w:rPr>
                <w:t>Holdings, Ltd. and Zura Bio Limited (incorporated by reference to Exhibit 2.1 of JATT’s Current Report on Form 8-K (File No. 001-40598), filed with the SEC on January 19, 2023).</w:t>
              </w:r>
            </w:hyperlink>
          </w:p>
        </w:tc>
        <w:tc>
          <w:tcPr>
            <w:tcW w:w="160" w:type="dxa"/>
            <w:vAlign w:val="bottom"/>
          </w:tcPr>
          <w:p>
            <w:pPr>
              <w:spacing w:after="0"/>
              <w:rPr>
                <w:sz w:val="12"/>
                <w:szCs w:val="12"/>
                <w:color w:val="auto"/>
              </w:rPr>
            </w:pPr>
          </w:p>
        </w:tc>
      </w:tr>
      <w:tr>
        <w:trPr>
          <w:trHeight w:val="309"/>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109">
              <w:r>
                <w:rPr>
                  <w:rFonts w:ascii="Times New Roman" w:cs="Times New Roman" w:eastAsia="Times New Roman" w:hAnsi="Times New Roman"/>
                  <w:sz w:val="14"/>
                  <w:szCs w:val="14"/>
                  <w:color w:val="0000EE"/>
                  <w:w w:val="91"/>
                </w:rPr>
                <w:t>3.</w:t>
              </w:r>
              <w:r>
                <w:rPr>
                  <w:rFonts w:ascii="Times New Roman" w:cs="Times New Roman" w:eastAsia="Times New Roman" w:hAnsi="Times New Roman"/>
                  <w:sz w:val="14"/>
                  <w:szCs w:val="14"/>
                  <w:u w:val="single" w:color="auto"/>
                  <w:color w:val="0000EE"/>
                  <w:w w:val="91"/>
                </w:rPr>
                <w:t>1</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140" w:type="dxa"/>
            <w:vAlign w:val="bottom"/>
            <w:tcBorders>
              <w:bottom w:val="single" w:sz="8" w:color="0000EE"/>
            </w:tcBorders>
            <w:gridSpan w:val="10"/>
          </w:tcPr>
          <w:p>
            <w:pPr>
              <w:spacing w:after="0"/>
              <w:rPr>
                <w:rFonts w:ascii="Times New Roman" w:cs="Times New Roman" w:eastAsia="Times New Roman" w:hAnsi="Times New Roman"/>
                <w:sz w:val="14"/>
                <w:szCs w:val="14"/>
                <w:color w:val="0000EE"/>
                <w:w w:val="98"/>
              </w:rPr>
            </w:pPr>
            <w:hyperlink r:id="rId109">
              <w:r>
                <w:rPr>
                  <w:rFonts w:ascii="Times New Roman" w:cs="Times New Roman" w:eastAsia="Times New Roman" w:hAnsi="Times New Roman"/>
                  <w:sz w:val="14"/>
                  <w:szCs w:val="14"/>
                  <w:color w:val="0000EE"/>
                  <w:w w:val="98"/>
                </w:rPr>
                <w:t>Second Amended and Restated Memorandum and Articles of Association of Zura Bio Limited (incorporated by reference to Exhibit 3.1 to Zura’s Form 8-K (File No. 001-40598), filed</w:t>
              </w:r>
            </w:hyperlink>
          </w:p>
        </w:tc>
      </w:tr>
      <w:tr>
        <w:trPr>
          <w:trHeight w:val="144"/>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tcBorders>
              <w:bottom w:val="single" w:sz="8" w:color="0000EE"/>
            </w:tcBorders>
          </w:tcPr>
          <w:p>
            <w:pPr>
              <w:spacing w:after="0" w:line="145" w:lineRule="exact"/>
              <w:rPr>
                <w:rFonts w:ascii="Times New Roman" w:cs="Times New Roman" w:eastAsia="Times New Roman" w:hAnsi="Times New Roman"/>
                <w:sz w:val="14"/>
                <w:szCs w:val="14"/>
                <w:color w:val="0000EE"/>
                <w:w w:val="96"/>
              </w:rPr>
            </w:pPr>
            <w:hyperlink r:id="rId109">
              <w:r>
                <w:rPr>
                  <w:rFonts w:ascii="Times New Roman" w:cs="Times New Roman" w:eastAsia="Times New Roman" w:hAnsi="Times New Roman"/>
                  <w:sz w:val="14"/>
                  <w:szCs w:val="14"/>
                  <w:color w:val="0000EE"/>
                  <w:w w:val="96"/>
                </w:rPr>
                <w:t>with the SEC on March 24, 2023).</w:t>
              </w:r>
            </w:hyperlink>
          </w:p>
        </w:tc>
        <w:tc>
          <w:tcPr>
            <w:tcW w:w="8260" w:type="dxa"/>
            <w:vAlign w:val="bottom"/>
            <w:gridSpan w:val="9"/>
          </w:tcPr>
          <w:p>
            <w:pPr>
              <w:spacing w:after="0"/>
              <w:rPr>
                <w:sz w:val="12"/>
                <w:szCs w:val="12"/>
                <w:color w:val="auto"/>
              </w:rPr>
            </w:pPr>
          </w:p>
        </w:tc>
      </w:tr>
      <w:tr>
        <w:trPr>
          <w:trHeight w:val="309"/>
        </w:trPr>
        <w:tc>
          <w:tcPr>
            <w:tcW w:w="180" w:type="dxa"/>
            <w:vAlign w:val="bottom"/>
          </w:tcPr>
          <w:p>
            <w:pPr>
              <w:spacing w:after="0"/>
              <w:rPr>
                <w:rFonts w:ascii="Times New Roman" w:cs="Times New Roman" w:eastAsia="Times New Roman" w:hAnsi="Times New Roman"/>
                <w:sz w:val="14"/>
                <w:szCs w:val="14"/>
                <w:color w:val="0000EE"/>
                <w:w w:val="91"/>
              </w:rPr>
            </w:pPr>
            <w:hyperlink r:id="rId110">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1</w:t>
              </w:r>
            </w:hyperlink>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140" w:type="dxa"/>
            <w:vAlign w:val="bottom"/>
            <w:gridSpan w:val="10"/>
          </w:tcPr>
          <w:p>
            <w:pPr>
              <w:spacing w:after="0"/>
              <w:rPr>
                <w:rFonts w:ascii="Times New Roman" w:cs="Times New Roman" w:eastAsia="Times New Roman" w:hAnsi="Times New Roman"/>
                <w:sz w:val="14"/>
                <w:szCs w:val="14"/>
                <w:color w:val="0000EE"/>
              </w:rPr>
            </w:pPr>
            <w:hyperlink r:id="rId110">
              <w:r>
                <w:rPr>
                  <w:rFonts w:ascii="Times New Roman" w:cs="Times New Roman" w:eastAsia="Times New Roman" w:hAnsi="Times New Roman"/>
                  <w:sz w:val="14"/>
                  <w:szCs w:val="14"/>
                  <w:color w:val="0000EE"/>
                </w:rPr>
                <w:t>Specimen Share Certificate of Zura (incorporated by reference to Exhibit 4.5 of JATT’s Form S-4 (File No. 333-267005) filed with the SEC on August 19, 2022).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4400" w:type="dxa"/>
            <w:vAlign w:val="bottom"/>
            <w:gridSpan w:val="5"/>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38"/>
        </w:trPr>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4.2*</w:t>
            </w:r>
          </w:p>
        </w:tc>
        <w:tc>
          <w:tcPr>
            <w:tcW w:w="88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Form of Specimen Certificate Representing Preference Shares.</w:t>
            </w:r>
          </w:p>
        </w:tc>
      </w:tr>
      <w:tr>
        <w:trPr>
          <w:trHeight w:val="299"/>
        </w:trPr>
        <w:tc>
          <w:tcPr>
            <w:tcW w:w="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4"/>
              </w:rPr>
              <w:t>4.</w:t>
            </w:r>
            <w:r>
              <w:rPr>
                <w:rFonts w:ascii="Times New Roman" w:cs="Times New Roman" w:eastAsia="Times New Roman" w:hAnsi="Times New Roman"/>
                <w:sz w:val="14"/>
                <w:szCs w:val="14"/>
                <w:u w:val="single" w:color="auto"/>
                <w:color w:val="0000EE"/>
                <w:w w:val="94"/>
              </w:rPr>
              <w:t>3+</w:t>
            </w:r>
          </w:p>
        </w:tc>
        <w:tc>
          <w:tcPr>
            <w:tcW w:w="880" w:type="dxa"/>
            <w:vAlign w:val="bottom"/>
          </w:tcPr>
          <w:p>
            <w:pPr>
              <w:spacing w:after="0"/>
              <w:rPr>
                <w:sz w:val="24"/>
                <w:szCs w:val="24"/>
                <w:color w:val="auto"/>
              </w:rPr>
            </w:pPr>
          </w:p>
        </w:tc>
        <w:tc>
          <w:tcPr>
            <w:tcW w:w="4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7"/>
              </w:rPr>
              <w:t>Form of Indenture, between the Registrant and one or more trustees to be named.</w:t>
            </w:r>
          </w:p>
        </w:tc>
        <w:tc>
          <w:tcPr>
            <w:tcW w:w="5700" w:type="dxa"/>
            <w:vAlign w:val="bottom"/>
            <w:gridSpan w:val="7"/>
          </w:tcPr>
          <w:p>
            <w:pPr>
              <w:spacing w:after="0"/>
              <w:rPr>
                <w:sz w:val="24"/>
                <w:szCs w:val="24"/>
                <w:color w:val="auto"/>
              </w:rPr>
            </w:pPr>
          </w:p>
        </w:tc>
      </w:tr>
      <w:tr>
        <w:trPr>
          <w:trHeight w:val="338"/>
        </w:trPr>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7"/>
              </w:rPr>
              <w:t>4.4*</w:t>
            </w:r>
          </w:p>
        </w:tc>
        <w:tc>
          <w:tcPr>
            <w:tcW w:w="880" w:type="dxa"/>
            <w:vAlign w:val="bottom"/>
          </w:tcPr>
          <w:p>
            <w:pPr>
              <w:spacing w:after="0"/>
              <w:rPr>
                <w:sz w:val="24"/>
                <w:szCs w:val="24"/>
                <w:color w:val="auto"/>
              </w:rPr>
            </w:pPr>
          </w:p>
        </w:tc>
        <w:tc>
          <w:tcPr>
            <w:tcW w:w="101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Form of Warrant.</w:t>
            </w:r>
          </w:p>
        </w:tc>
      </w:tr>
    </w:tbl>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6"/>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89"/>
              </w:rPr>
              <w:t>4.5*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1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Form of Unit Agreement.</w:t>
            </w:r>
          </w:p>
        </w:tc>
      </w:tr>
      <w:tr>
        <w:trPr>
          <w:trHeight w:val="299"/>
        </w:trPr>
        <w:tc>
          <w:tcPr>
            <w:tcW w:w="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4"/>
              </w:rPr>
              <w:t>5.</w:t>
            </w:r>
            <w:r>
              <w:rPr>
                <w:rFonts w:ascii="Times New Roman" w:cs="Times New Roman" w:eastAsia="Times New Roman" w:hAnsi="Times New Roman"/>
                <w:sz w:val="14"/>
                <w:szCs w:val="14"/>
                <w:u w:val="single" w:color="auto"/>
                <w:color w:val="0000EE"/>
                <w:w w:val="94"/>
              </w:rPr>
              <w:t>1+</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5"/>
              </w:rPr>
              <w:t>Opinion of Ogier (Cayman) LLP.</w:t>
            </w:r>
          </w:p>
        </w:tc>
        <w:tc>
          <w:tcPr>
            <w:tcW w:w="3320" w:type="dxa"/>
            <w:vAlign w:val="bottom"/>
            <w:gridSpan w:val="4"/>
          </w:tcPr>
          <w:p>
            <w:pPr>
              <w:spacing w:after="0"/>
              <w:rPr>
                <w:sz w:val="24"/>
                <w:szCs w:val="24"/>
                <w:color w:val="auto"/>
              </w:rPr>
            </w:pPr>
          </w:p>
        </w:tc>
      </w:tr>
      <w:tr>
        <w:trPr>
          <w:trHeight w:val="309"/>
        </w:trPr>
        <w:tc>
          <w:tcPr>
            <w:tcW w:w="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4"/>
              </w:rPr>
              <w:t>5.</w:t>
            </w:r>
            <w:r>
              <w:rPr>
                <w:rFonts w:ascii="Times New Roman" w:cs="Times New Roman" w:eastAsia="Times New Roman" w:hAnsi="Times New Roman"/>
                <w:sz w:val="14"/>
                <w:szCs w:val="14"/>
                <w:u w:val="single" w:color="auto"/>
                <w:color w:val="0000EE"/>
                <w:w w:val="94"/>
              </w:rPr>
              <w:t>2+</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3"/>
              </w:rPr>
              <w:t>Opinion of Cooley, LLP.</w:t>
            </w:r>
          </w:p>
        </w:tc>
        <w:tc>
          <w:tcPr>
            <w:tcW w:w="3800" w:type="dxa"/>
            <w:vAlign w:val="bottom"/>
            <w:gridSpan w:val="5"/>
          </w:tcPr>
          <w:p>
            <w:pPr>
              <w:spacing w:after="0"/>
              <w:rPr>
                <w:sz w:val="24"/>
                <w:szCs w:val="24"/>
                <w:color w:val="auto"/>
              </w:rPr>
            </w:pPr>
          </w:p>
        </w:tc>
      </w:tr>
      <w:tr>
        <w:trPr>
          <w:trHeight w:val="309"/>
        </w:trPr>
        <w:tc>
          <w:tcPr>
            <w:tcW w:w="3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2"/>
              </w:rPr>
              <w:t>23.</w:t>
            </w:r>
            <w:r>
              <w:rPr>
                <w:rFonts w:ascii="Times New Roman" w:cs="Times New Roman" w:eastAsia="Times New Roman" w:hAnsi="Times New Roman"/>
                <w:sz w:val="14"/>
                <w:szCs w:val="14"/>
                <w:u w:val="single" w:color="auto"/>
                <w:color w:val="0000EE"/>
                <w:w w:val="92"/>
              </w:rPr>
              <w:t>1+</w:t>
            </w:r>
          </w:p>
        </w:tc>
        <w:tc>
          <w:tcPr>
            <w:tcW w:w="820" w:type="dxa"/>
            <w:vAlign w:val="bottom"/>
          </w:tcPr>
          <w:p>
            <w:pPr>
              <w:spacing w:after="0"/>
              <w:rPr>
                <w:sz w:val="24"/>
                <w:szCs w:val="24"/>
                <w:color w:val="auto"/>
              </w:rPr>
            </w:pPr>
          </w:p>
        </w:tc>
        <w:tc>
          <w:tcPr>
            <w:tcW w:w="51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6"/>
              </w:rPr>
              <w:t>Consent of WithumSmith+Brown, PC, independent registered public accounting firm of Zura.</w:t>
            </w:r>
          </w:p>
        </w:tc>
      </w:tr>
      <w:tr>
        <w:trPr>
          <w:trHeight w:val="309"/>
        </w:trPr>
        <w:tc>
          <w:tcPr>
            <w:tcW w:w="32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2"/>
              </w:rPr>
              <w:t>23.</w:t>
            </w:r>
            <w:r>
              <w:rPr>
                <w:rFonts w:ascii="Times New Roman" w:cs="Times New Roman" w:eastAsia="Times New Roman" w:hAnsi="Times New Roman"/>
                <w:sz w:val="14"/>
                <w:szCs w:val="14"/>
                <w:u w:val="single" w:color="auto"/>
                <w:color w:val="0000EE"/>
                <w:w w:val="92"/>
              </w:rPr>
              <w:t>2+</w:t>
            </w:r>
          </w:p>
        </w:tc>
        <w:tc>
          <w:tcPr>
            <w:tcW w:w="820" w:type="dxa"/>
            <w:vAlign w:val="bottom"/>
          </w:tcPr>
          <w:p>
            <w:pPr>
              <w:spacing w:after="0"/>
              <w:rPr>
                <w:sz w:val="24"/>
                <w:szCs w:val="24"/>
                <w:color w:val="auto"/>
              </w:rPr>
            </w:pPr>
          </w:p>
        </w:tc>
        <w:tc>
          <w:tcPr>
            <w:tcW w:w="514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Consent of Ogier (Cayman) LLP (included in Exhibit 5.1).</w:t>
            </w:r>
          </w:p>
        </w:tc>
      </w:tr>
      <w:tr>
        <w:trPr>
          <w:trHeight w:val="309"/>
        </w:trPr>
        <w:tc>
          <w:tcPr>
            <w:tcW w:w="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2"/>
              </w:rPr>
              <w:t>23.</w:t>
            </w:r>
            <w:r>
              <w:rPr>
                <w:rFonts w:ascii="Times New Roman" w:cs="Times New Roman" w:eastAsia="Times New Roman" w:hAnsi="Times New Roman"/>
                <w:sz w:val="14"/>
                <w:szCs w:val="14"/>
                <w:u w:val="single" w:color="auto"/>
                <w:color w:val="0000EE"/>
                <w:w w:val="92"/>
              </w:rPr>
              <w:t>3+</w:t>
            </w:r>
          </w:p>
        </w:tc>
        <w:tc>
          <w:tcPr>
            <w:tcW w:w="820" w:type="dxa"/>
            <w:vAlign w:val="bottom"/>
          </w:tcPr>
          <w:p>
            <w:pPr>
              <w:spacing w:after="0"/>
              <w:rPr>
                <w:sz w:val="24"/>
                <w:szCs w:val="24"/>
                <w:color w:val="auto"/>
              </w:rPr>
            </w:pPr>
          </w:p>
        </w:tc>
        <w:tc>
          <w:tcPr>
            <w:tcW w:w="27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6"/>
              </w:rPr>
              <w:t>Consent of Cooley, LLP (included in Exhibit 5.2).</w:t>
            </w:r>
          </w:p>
        </w:tc>
        <w:tc>
          <w:tcPr>
            <w:tcW w:w="460" w:type="dxa"/>
            <w:vAlign w:val="bottom"/>
            <w:tcBorders>
              <w:top w:val="single" w:sz="8" w:color="0000EE"/>
            </w:tcBorders>
          </w:tcPr>
          <w:p>
            <w:pPr>
              <w:spacing w:after="0"/>
              <w:rPr>
                <w:sz w:val="24"/>
                <w:szCs w:val="24"/>
                <w:color w:val="auto"/>
              </w:rPr>
            </w:pPr>
          </w:p>
        </w:tc>
        <w:tc>
          <w:tcPr>
            <w:tcW w:w="1940" w:type="dxa"/>
            <w:vAlign w:val="bottom"/>
            <w:gridSpan w:val="2"/>
          </w:tcPr>
          <w:p>
            <w:pPr>
              <w:spacing w:after="0"/>
              <w:rPr>
                <w:sz w:val="24"/>
                <w:szCs w:val="24"/>
                <w:color w:val="auto"/>
              </w:rPr>
            </w:pPr>
          </w:p>
        </w:tc>
      </w:tr>
      <w:tr>
        <w:trPr>
          <w:trHeight w:val="309"/>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89"/>
              </w:rPr>
              <w:t>24.</w:t>
            </w:r>
            <w:r>
              <w:rPr>
                <w:rFonts w:ascii="Times New Roman" w:cs="Times New Roman" w:eastAsia="Times New Roman" w:hAnsi="Times New Roman"/>
                <w:sz w:val="14"/>
                <w:szCs w:val="14"/>
                <w:u w:val="single" w:color="auto"/>
                <w:color w:val="0000EE"/>
                <w:w w:val="89"/>
              </w:rPr>
              <w:t>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7"/>
              </w:rPr>
              <w:t>Power of Attorney (included on signature page to this prospectus).</w:t>
            </w:r>
          </w:p>
        </w:tc>
        <w:tc>
          <w:tcPr>
            <w:tcW w:w="1500" w:type="dxa"/>
            <w:vAlign w:val="bottom"/>
          </w:tcPr>
          <w:p>
            <w:pPr>
              <w:spacing w:after="0"/>
              <w:rPr>
                <w:sz w:val="24"/>
                <w:szCs w:val="24"/>
                <w:color w:val="auto"/>
              </w:rPr>
            </w:pPr>
          </w:p>
        </w:tc>
      </w:tr>
      <w:tr>
        <w:trPr>
          <w:trHeight w:val="309"/>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0000EE"/>
                <w:w w:val="82"/>
              </w:rPr>
              <w:t>107+</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14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Filing Fee Table</w:t>
            </w:r>
          </w:p>
        </w:tc>
      </w:tr>
      <w:tr>
        <w:trPr>
          <w:trHeight w:val="20"/>
        </w:trPr>
        <w:tc>
          <w:tcPr>
            <w:tcW w:w="2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117475</wp:posOffset>
            </wp:positionV>
            <wp:extent cx="179260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173" w:lineRule="exact"/>
        <w:rPr>
          <w:sz w:val="20"/>
          <w:szCs w:val="20"/>
          <w:color w:val="auto"/>
        </w:rPr>
      </w:pPr>
    </w:p>
    <w:p>
      <w:pPr>
        <w:ind w:right="4360" w:firstLine="2"/>
        <w:spacing w:after="0" w:line="267" w:lineRule="auto"/>
        <w:tabs>
          <w:tab w:leader="none" w:pos="24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by a report filed under the Exchange Act and incorporated herein by reference, if applicable. + Filed herewith.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72" w:lineRule="exact"/>
        <w:rPr>
          <w:sz w:val="20"/>
          <w:szCs w:val="20"/>
          <w:color w:val="auto"/>
        </w:rPr>
      </w:pPr>
    </w:p>
    <w:p>
      <w:pPr>
        <w:ind w:left="980" w:hanging="485"/>
        <w:spacing w:after="0"/>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67" w:lineRule="exact"/>
        <w:rPr>
          <w:rFonts w:ascii="Times New Roman" w:cs="Times New Roman" w:eastAsia="Times New Roman" w:hAnsi="Times New Roman"/>
          <w:sz w:val="14"/>
          <w:szCs w:val="14"/>
          <w:color w:val="auto"/>
        </w:rPr>
      </w:pPr>
    </w:p>
    <w:p>
      <w:pPr>
        <w:ind w:left="1480" w:hanging="492"/>
        <w:spacing w:after="0"/>
        <w:tabs>
          <w:tab w:leader="none" w:pos="148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67" w:lineRule="exact"/>
        <w:rPr>
          <w:rFonts w:ascii="Times New Roman" w:cs="Times New Roman" w:eastAsia="Times New Roman" w:hAnsi="Times New Roman"/>
          <w:sz w:val="14"/>
          <w:szCs w:val="14"/>
          <w:color w:val="auto"/>
        </w:rPr>
      </w:pPr>
    </w:p>
    <w:p>
      <w:pPr>
        <w:ind w:left="1980" w:hanging="499"/>
        <w:spacing w:after="0"/>
        <w:tabs>
          <w:tab w:leader="none" w:pos="1980" w:val="left"/>
        </w:tabs>
        <w:numPr>
          <w:ilvl w:val="2"/>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67" w:lineRule="exact"/>
        <w:rPr>
          <w:rFonts w:ascii="Times New Roman" w:cs="Times New Roman" w:eastAsia="Times New Roman" w:hAnsi="Times New Roman"/>
          <w:sz w:val="14"/>
          <w:szCs w:val="14"/>
          <w:color w:val="auto"/>
        </w:rPr>
      </w:pPr>
    </w:p>
    <w:p>
      <w:pPr>
        <w:jc w:val="both"/>
        <w:ind w:left="1980" w:hanging="499"/>
        <w:spacing w:after="0" w:line="249" w:lineRule="auto"/>
        <w:tabs>
          <w:tab w:leader="none" w:pos="1980" w:val="left"/>
        </w:tabs>
        <w:numPr>
          <w:ilvl w:val="2"/>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47" w:lineRule="exact"/>
        <w:rPr>
          <w:rFonts w:ascii="Times New Roman" w:cs="Times New Roman" w:eastAsia="Times New Roman" w:hAnsi="Times New Roman"/>
          <w:sz w:val="14"/>
          <w:szCs w:val="14"/>
          <w:color w:val="auto"/>
        </w:rPr>
      </w:pPr>
    </w:p>
    <w:p>
      <w:pPr>
        <w:ind w:left="1980" w:hanging="499"/>
        <w:spacing w:after="0" w:line="267" w:lineRule="auto"/>
        <w:tabs>
          <w:tab w:leader="none" w:pos="1980" w:val="left"/>
        </w:tabs>
        <w:numPr>
          <w:ilvl w:val="2"/>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wp:posOffset>
            </wp:positionV>
            <wp:extent cx="716534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907" w:right="319" w:bottom="1440" w:gutter="0" w:footer="0" w:header="0"/>
        </w:sectPr>
      </w:pPr>
    </w:p>
    <w:bookmarkStart w:id="75" w:name="page76"/>
    <w:bookmarkEnd w:id="75"/>
    <w:p>
      <w:pPr>
        <w:ind w:left="240"/>
        <w:spacing w:after="0"/>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w:t>
      </w:r>
    </w:p>
    <w:p>
      <w:pPr>
        <w:spacing w:after="0" w:line="172" w:lineRule="exact"/>
        <w:rPr>
          <w:sz w:val="20"/>
          <w:szCs w:val="20"/>
          <w:color w:val="auto"/>
        </w:rPr>
      </w:pPr>
    </w:p>
    <w:p>
      <w:pPr>
        <w:jc w:val="both"/>
        <w:ind w:firstLine="246"/>
        <w:spacing w:after="0" w:line="256" w:lineRule="auto"/>
        <w:rPr>
          <w:sz w:val="20"/>
          <w:szCs w:val="20"/>
          <w:color w:val="auto"/>
        </w:rPr>
      </w:pPr>
      <w:r>
        <w:rPr>
          <w:rFonts w:ascii="Times New Roman" w:cs="Times New Roman" w:eastAsia="Times New Roman" w:hAnsi="Times New Roman"/>
          <w:sz w:val="14"/>
          <w:szCs w:val="14"/>
          <w:color w:val="auto"/>
        </w:rPr>
        <w:t>the undertakings set forth in paragraphs (1)(i), (1)(ii) and (1)(iii) do not apply if the registration statement is on Form S-3 and 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142" w:lineRule="exact"/>
        <w:rPr>
          <w:sz w:val="20"/>
          <w:szCs w:val="20"/>
          <w:color w:val="auto"/>
        </w:rPr>
      </w:pPr>
    </w:p>
    <w:p>
      <w:pPr>
        <w:ind w:left="1480" w:hanging="492"/>
        <w:spacing w:after="0" w:line="267" w:lineRule="auto"/>
        <w:tabs>
          <w:tab w:leader="none" w:pos="14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34" w:lineRule="exact"/>
        <w:rPr>
          <w:rFonts w:ascii="Times New Roman" w:cs="Times New Roman" w:eastAsia="Times New Roman" w:hAnsi="Times New Roman"/>
          <w:sz w:val="14"/>
          <w:szCs w:val="14"/>
          <w:color w:val="auto"/>
        </w:rPr>
      </w:pPr>
    </w:p>
    <w:p>
      <w:pPr>
        <w:ind w:left="1480" w:hanging="492"/>
        <w:spacing w:after="0"/>
        <w:tabs>
          <w:tab w:leader="none" w:pos="14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67" w:lineRule="exact"/>
        <w:rPr>
          <w:rFonts w:ascii="Times New Roman" w:cs="Times New Roman" w:eastAsia="Times New Roman" w:hAnsi="Times New Roman"/>
          <w:sz w:val="14"/>
          <w:szCs w:val="14"/>
          <w:color w:val="auto"/>
        </w:rPr>
      </w:pPr>
    </w:p>
    <w:p>
      <w:pPr>
        <w:ind w:left="1480" w:hanging="492"/>
        <w:spacing w:after="0"/>
        <w:tabs>
          <w:tab w:leader="none" w:pos="14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67" w:lineRule="exact"/>
        <w:rPr>
          <w:rFonts w:ascii="Times New Roman" w:cs="Times New Roman" w:eastAsia="Times New Roman" w:hAnsi="Times New Roman"/>
          <w:sz w:val="14"/>
          <w:szCs w:val="14"/>
          <w:color w:val="auto"/>
        </w:rPr>
      </w:pPr>
    </w:p>
    <w:p>
      <w:pPr>
        <w:ind w:left="1980" w:hanging="7"/>
        <w:spacing w:after="0" w:line="267" w:lineRule="auto"/>
        <w:tabs>
          <w:tab w:leader="none" w:pos="2203"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4" w:lineRule="exact"/>
        <w:rPr>
          <w:rFonts w:ascii="Times New Roman" w:cs="Times New Roman" w:eastAsia="Times New Roman" w:hAnsi="Times New Roman"/>
          <w:sz w:val="14"/>
          <w:szCs w:val="14"/>
          <w:color w:val="auto"/>
        </w:rPr>
      </w:pPr>
    </w:p>
    <w:p>
      <w:pPr>
        <w:jc w:val="both"/>
        <w:ind w:left="1980" w:hanging="7"/>
        <w:spacing w:after="0" w:line="247" w:lineRule="auto"/>
        <w:tabs>
          <w:tab w:leader="none" w:pos="219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76" w:name="page77"/>
    <w:bookmarkEnd w:id="76"/>
    <w:p>
      <w:pPr>
        <w:jc w:val="both"/>
        <w:ind w:left="985" w:hanging="492"/>
        <w:spacing w:after="0" w:line="252" w:lineRule="auto"/>
        <w:tabs>
          <w:tab w:leader="none" w:pos="985"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5" w:lineRule="exact"/>
        <w:rPr>
          <w:rFonts w:ascii="Times New Roman" w:cs="Times New Roman" w:eastAsia="Times New Roman" w:hAnsi="Times New Roman"/>
          <w:sz w:val="14"/>
          <w:szCs w:val="14"/>
          <w:color w:val="auto"/>
        </w:rPr>
      </w:pPr>
    </w:p>
    <w:p>
      <w:pPr>
        <w:ind w:left="1485" w:hanging="499"/>
        <w:spacing w:after="0"/>
        <w:tabs>
          <w:tab w:leader="none" w:pos="1485"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67" w:lineRule="exact"/>
        <w:rPr>
          <w:rFonts w:ascii="Times New Roman" w:cs="Times New Roman" w:eastAsia="Times New Roman" w:hAnsi="Times New Roman"/>
          <w:sz w:val="14"/>
          <w:szCs w:val="14"/>
          <w:color w:val="auto"/>
        </w:rPr>
      </w:pPr>
    </w:p>
    <w:p>
      <w:pPr>
        <w:ind w:left="1485" w:hanging="499"/>
        <w:spacing w:after="0"/>
        <w:tabs>
          <w:tab w:leader="none" w:pos="1485"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67" w:lineRule="exact"/>
        <w:rPr>
          <w:rFonts w:ascii="Times New Roman" w:cs="Times New Roman" w:eastAsia="Times New Roman" w:hAnsi="Times New Roman"/>
          <w:sz w:val="14"/>
          <w:szCs w:val="14"/>
          <w:color w:val="auto"/>
        </w:rPr>
      </w:pPr>
    </w:p>
    <w:p>
      <w:pPr>
        <w:ind w:left="1485" w:hanging="499"/>
        <w:spacing w:after="0" w:line="267" w:lineRule="auto"/>
        <w:tabs>
          <w:tab w:leader="none" w:pos="1485"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our securities provided by or on behalf of the undersigned registrant; and</w:t>
      </w:r>
    </w:p>
    <w:p>
      <w:pPr>
        <w:spacing w:after="0" w:line="134" w:lineRule="exact"/>
        <w:rPr>
          <w:rFonts w:ascii="Times New Roman" w:cs="Times New Roman" w:eastAsia="Times New Roman" w:hAnsi="Times New Roman"/>
          <w:sz w:val="14"/>
          <w:szCs w:val="14"/>
          <w:color w:val="auto"/>
        </w:rPr>
      </w:pPr>
    </w:p>
    <w:p>
      <w:pPr>
        <w:ind w:left="1485" w:hanging="499"/>
        <w:spacing w:after="0"/>
        <w:tabs>
          <w:tab w:leader="none" w:pos="1485" w:val="left"/>
        </w:tabs>
        <w:numPr>
          <w:ilvl w:val="2"/>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67" w:lineRule="exact"/>
        <w:rPr>
          <w:rFonts w:ascii="Times New Roman" w:cs="Times New Roman" w:eastAsia="Times New Roman" w:hAnsi="Times New Roman"/>
          <w:sz w:val="14"/>
          <w:szCs w:val="14"/>
          <w:color w:val="auto"/>
        </w:rPr>
      </w:pPr>
    </w:p>
    <w:p>
      <w:pPr>
        <w:jc w:val="both"/>
        <w:ind w:left="485" w:hanging="485"/>
        <w:spacing w:after="0" w:line="252" w:lineRule="auto"/>
        <w:tabs>
          <w:tab w:leader="none" w:pos="485"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310" w:lineRule="exact"/>
        <w:rPr>
          <w:sz w:val="20"/>
          <w:szCs w:val="20"/>
          <w:color w:val="auto"/>
        </w:rPr>
      </w:pPr>
    </w:p>
    <w:p>
      <w:pPr>
        <w:jc w:val="center"/>
        <w:ind w:right="475"/>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10160</wp:posOffset>
            </wp:positionV>
            <wp:extent cx="716534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785"/>
          </w:cols>
          <w:pgMar w:left="795" w:top="722" w:right="319" w:bottom="1440" w:gutter="0" w:footer="0" w:header="0"/>
        </w:sectPr>
      </w:pPr>
    </w:p>
    <w:bookmarkStart w:id="77" w:name="page78"/>
    <w:bookmarkEnd w:id="77"/>
    <w:p>
      <w:pPr>
        <w:jc w:val="both"/>
        <w:ind w:left="485" w:hanging="485"/>
        <w:spacing w:after="0" w:line="249" w:lineRule="auto"/>
        <w:tabs>
          <w:tab w:leader="none" w:pos="485"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our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8" w:lineRule="exact"/>
        <w:rPr>
          <w:sz w:val="20"/>
          <w:szCs w:val="20"/>
          <w:color w:val="auto"/>
        </w:rPr>
      </w:pPr>
    </w:p>
    <w:p>
      <w:pPr>
        <w:ind w:left="485" w:hanging="485"/>
        <w:spacing w:after="0" w:line="267" w:lineRule="auto"/>
        <w:tabs>
          <w:tab w:leader="none" w:pos="485"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299" w:lineRule="exact"/>
        <w:rPr>
          <w:sz w:val="20"/>
          <w:szCs w:val="20"/>
          <w:color w:val="auto"/>
        </w:rPr>
      </w:pPr>
    </w:p>
    <w:p>
      <w:pPr>
        <w:jc w:val="center"/>
        <w:ind w:right="475"/>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10160</wp:posOffset>
            </wp:positionV>
            <wp:extent cx="716534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785"/>
          </w:cols>
          <w:pgMar w:left="795" w:top="722" w:right="31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2" w:lineRule="exact"/>
        <w:rPr>
          <w:sz w:val="20"/>
          <w:szCs w:val="20"/>
          <w:color w:val="auto"/>
        </w:rPr>
      </w:pPr>
    </w:p>
    <w:p>
      <w:pPr>
        <w:jc w:val="both"/>
        <w:ind w:firstLine="246"/>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the registrant has duly caused this registration statement to be signed on its behalf by the undersigned, thereunto duly authorized, on the 27th day of October, 2026.</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Zura Bio Limited</w:t>
      </w:r>
    </w:p>
    <w:p>
      <w:pPr>
        <w:spacing w:after="0" w:line="172"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Sandeep Kulkarni</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Name: Sandeep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-100965</wp:posOffset>
            </wp:positionV>
            <wp:extent cx="336423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3364230" cy="635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2" w:lineRule="exact"/>
        <w:rPr>
          <w:sz w:val="20"/>
          <w:szCs w:val="20"/>
          <w:color w:val="auto"/>
        </w:rPr>
      </w:pPr>
    </w:p>
    <w:p>
      <w:pPr>
        <w:jc w:val="both"/>
        <w:ind w:firstLine="246"/>
        <w:spacing w:after="0" w:line="272" w:lineRule="auto"/>
        <w:rPr>
          <w:sz w:val="20"/>
          <w:szCs w:val="20"/>
          <w:color w:val="auto"/>
        </w:rPr>
      </w:pPr>
      <w:r>
        <w:rPr>
          <w:rFonts w:ascii="Times New Roman" w:cs="Times New Roman" w:eastAsia="Times New Roman" w:hAnsi="Times New Roman"/>
          <w:sz w:val="13"/>
          <w:szCs w:val="13"/>
          <w:color w:val="auto"/>
        </w:rPr>
        <w:t>KNOW ALL PERSONS BY THESE PRESENTS, that each person whose signature appears below hereby constitutes and appoints Sandeep Kulkarni and Kim Davis, and each of them,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79" w:name="page80"/>
    <w:bookmarkEnd w:id="79"/>
    <w:p>
      <w:pPr>
        <w:ind w:left="240"/>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5"/>
                <w:szCs w:val="15"/>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20" w:type="dxa"/>
            <w:vAlign w:val="bottom"/>
          </w:tcPr>
          <w:p>
            <w:pPr>
              <w:spacing w:after="0"/>
              <w:rPr>
                <w:sz w:val="15"/>
                <w:szCs w:val="15"/>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31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Sandeep Kulkarni</w:t>
            </w:r>
          </w:p>
        </w:tc>
        <w:tc>
          <w:tcPr>
            <w:tcW w:w="220" w:type="dxa"/>
            <w:vAlign w:val="bottom"/>
          </w:tcPr>
          <w:p>
            <w:pPr>
              <w:spacing w:after="0"/>
              <w:rPr>
                <w:sz w:val="24"/>
                <w:szCs w:val="24"/>
                <w:color w:val="auto"/>
              </w:rPr>
            </w:pPr>
          </w:p>
        </w:tc>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Chief Executive Officer and 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October 27, 2026</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Sandeep Kulkarni</w:t>
            </w:r>
          </w:p>
        </w:tc>
        <w:tc>
          <w:tcPr>
            <w:tcW w:w="220" w:type="dxa"/>
            <w:vAlign w:val="bottom"/>
          </w:tcPr>
          <w:p>
            <w:pPr>
              <w:spacing w:after="0"/>
              <w:rPr>
                <w:sz w:val="14"/>
                <w:szCs w:val="14"/>
                <w:color w:val="auto"/>
              </w:rPr>
            </w:pPr>
          </w:p>
        </w:tc>
        <w:tc>
          <w:tcPr>
            <w:tcW w:w="430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color w:val="auto"/>
                <w:w w:val="96"/>
              </w:rPr>
              <w:t>(Principal Executive Officer)</w:t>
            </w:r>
          </w:p>
        </w:tc>
        <w:tc>
          <w:tcPr>
            <w:tcW w:w="3140" w:type="dxa"/>
            <w:vAlign w:val="bottom"/>
          </w:tcPr>
          <w:p>
            <w:pPr>
              <w:spacing w:after="0"/>
              <w:rPr>
                <w:sz w:val="14"/>
                <w:szCs w:val="14"/>
                <w:color w:val="auto"/>
              </w:rPr>
            </w:pPr>
          </w:p>
        </w:tc>
      </w:tr>
      <w:tr>
        <w:trPr>
          <w:trHeight w:val="31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Marlyn Mathew</w:t>
            </w:r>
          </w:p>
        </w:tc>
        <w:tc>
          <w:tcPr>
            <w:tcW w:w="220" w:type="dxa"/>
            <w:vAlign w:val="bottom"/>
          </w:tcPr>
          <w:p>
            <w:pPr>
              <w:spacing w:after="0"/>
              <w:rPr>
                <w:sz w:val="24"/>
                <w:szCs w:val="24"/>
                <w:color w:val="auto"/>
              </w:rPr>
            </w:pPr>
          </w:p>
        </w:tc>
        <w:tc>
          <w:tcPr>
            <w:tcW w:w="4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Vice President, Finance and Accounting</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October 27, 2026</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Marlyn Mathew</w:t>
            </w:r>
          </w:p>
        </w:tc>
        <w:tc>
          <w:tcPr>
            <w:tcW w:w="220" w:type="dxa"/>
            <w:vAlign w:val="bottom"/>
          </w:tcPr>
          <w:p>
            <w:pPr>
              <w:spacing w:after="0"/>
              <w:rPr>
                <w:sz w:val="14"/>
                <w:szCs w:val="14"/>
                <w:color w:val="auto"/>
              </w:rPr>
            </w:pPr>
          </w:p>
        </w:tc>
        <w:tc>
          <w:tcPr>
            <w:tcW w:w="430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color w:val="auto"/>
                <w:w w:val="97"/>
              </w:rPr>
              <w:t>(Principal Financial and Accounting Officer)</w:t>
            </w:r>
          </w:p>
        </w:tc>
        <w:tc>
          <w:tcPr>
            <w:tcW w:w="3140" w:type="dxa"/>
            <w:vAlign w:val="bottom"/>
          </w:tcPr>
          <w:p>
            <w:pPr>
              <w:spacing w:after="0"/>
              <w:rPr>
                <w:sz w:val="14"/>
                <w:szCs w:val="14"/>
                <w:color w:val="auto"/>
              </w:rPr>
            </w:pPr>
          </w:p>
        </w:tc>
      </w:tr>
      <w:tr>
        <w:trPr>
          <w:trHeight w:val="31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Amit Munshi</w:t>
            </w:r>
          </w:p>
        </w:tc>
        <w:tc>
          <w:tcPr>
            <w:tcW w:w="220" w:type="dxa"/>
            <w:vAlign w:val="bottom"/>
          </w:tcPr>
          <w:p>
            <w:pPr>
              <w:spacing w:after="0"/>
              <w:rPr>
                <w:sz w:val="24"/>
                <w:szCs w:val="24"/>
                <w:color w:val="auto"/>
              </w:rPr>
            </w:pPr>
          </w:p>
        </w:tc>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Chairman of the Board</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October 27, 2026</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Amit Munshi</w:t>
            </w: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Ajay Nirula</w:t>
            </w:r>
          </w:p>
        </w:tc>
        <w:tc>
          <w:tcPr>
            <w:tcW w:w="220" w:type="dxa"/>
            <w:vAlign w:val="bottom"/>
          </w:tcPr>
          <w:p>
            <w:pPr>
              <w:spacing w:after="0"/>
              <w:rPr>
                <w:sz w:val="24"/>
                <w:szCs w:val="24"/>
                <w:color w:val="auto"/>
              </w:rPr>
            </w:pPr>
          </w:p>
        </w:tc>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October 27, 2026</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Ajay Nirula</w:t>
            </w: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Daniel Becker</w:t>
            </w:r>
          </w:p>
        </w:tc>
        <w:tc>
          <w:tcPr>
            <w:tcW w:w="220" w:type="dxa"/>
            <w:vAlign w:val="bottom"/>
          </w:tcPr>
          <w:p>
            <w:pPr>
              <w:spacing w:after="0"/>
              <w:rPr>
                <w:sz w:val="24"/>
                <w:szCs w:val="24"/>
                <w:color w:val="auto"/>
              </w:rPr>
            </w:pPr>
          </w:p>
        </w:tc>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October 27, 2026</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Daniel Becker</w:t>
            </w: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Steve Schoch</w:t>
            </w:r>
          </w:p>
        </w:tc>
        <w:tc>
          <w:tcPr>
            <w:tcW w:w="220" w:type="dxa"/>
            <w:vAlign w:val="bottom"/>
          </w:tcPr>
          <w:p>
            <w:pPr>
              <w:spacing w:after="0"/>
              <w:rPr>
                <w:sz w:val="24"/>
                <w:szCs w:val="24"/>
                <w:color w:val="auto"/>
              </w:rPr>
            </w:pPr>
          </w:p>
        </w:tc>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October 27, 2026</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Steve Schoch</w:t>
            </w: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Jennifer Jarrett</w:t>
            </w:r>
          </w:p>
        </w:tc>
        <w:tc>
          <w:tcPr>
            <w:tcW w:w="220" w:type="dxa"/>
            <w:vAlign w:val="bottom"/>
          </w:tcPr>
          <w:p>
            <w:pPr>
              <w:spacing w:after="0"/>
              <w:rPr>
                <w:sz w:val="24"/>
                <w:szCs w:val="24"/>
                <w:color w:val="auto"/>
              </w:rPr>
            </w:pPr>
          </w:p>
        </w:tc>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October 27, 2026</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Jennifer Jarrett</w:t>
            </w: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Eisner</w:t>
            </w:r>
          </w:p>
        </w:tc>
        <w:tc>
          <w:tcPr>
            <w:tcW w:w="220" w:type="dxa"/>
            <w:vAlign w:val="bottom"/>
          </w:tcPr>
          <w:p>
            <w:pPr>
              <w:spacing w:after="0"/>
              <w:rPr>
                <w:sz w:val="24"/>
                <w:szCs w:val="24"/>
                <w:color w:val="auto"/>
              </w:rPr>
            </w:pPr>
          </w:p>
        </w:tc>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October 27, 2026</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Mark Eisner</w:t>
            </w: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12"/>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Parvinder Thiara</w:t>
            </w:r>
          </w:p>
        </w:tc>
        <w:tc>
          <w:tcPr>
            <w:tcW w:w="220" w:type="dxa"/>
            <w:vAlign w:val="bottom"/>
          </w:tcPr>
          <w:p>
            <w:pPr>
              <w:spacing w:after="0"/>
              <w:rPr>
                <w:sz w:val="24"/>
                <w:szCs w:val="24"/>
                <w:color w:val="auto"/>
              </w:rPr>
            </w:pPr>
          </w:p>
        </w:tc>
        <w:tc>
          <w:tcPr>
            <w:tcW w:w="4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October 27, 2026</w:t>
            </w:r>
          </w:p>
        </w:tc>
      </w:tr>
      <w:tr>
        <w:trPr>
          <w:trHeight w:val="171"/>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Parvinder Thiara</w:t>
            </w: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477"/>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2"/>
          </w:tcPr>
          <w:p>
            <w:pPr>
              <w:ind w:left="1700"/>
              <w:spacing w:after="0"/>
              <w:rPr>
                <w:sz w:val="20"/>
                <w:szCs w:val="20"/>
                <w:color w:val="auto"/>
              </w:rPr>
            </w:pPr>
            <w:r>
              <w:rPr>
                <w:rFonts w:ascii="Times New Roman" w:cs="Times New Roman" w:eastAsia="Times New Roman" w:hAnsi="Times New Roman"/>
                <w:sz w:val="14"/>
                <w:szCs w:val="14"/>
                <w:color w:val="auto"/>
              </w:rPr>
              <w:t>II-8</w:t>
            </w: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2" w:right="31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SIGNATURE OF AUTHORIZED U.S. REPRESENTATIVE OF THE REGISTRANT</w:t>
      </w:r>
    </w:p>
    <w:p>
      <w:pPr>
        <w:spacing w:after="0" w:line="172" w:lineRule="exact"/>
        <w:rPr>
          <w:sz w:val="20"/>
          <w:szCs w:val="20"/>
          <w:color w:val="auto"/>
        </w:rPr>
      </w:pPr>
    </w:p>
    <w:p>
      <w:pPr>
        <w:ind w:firstLine="246"/>
        <w:spacing w:after="0" w:line="267" w:lineRule="auto"/>
        <w:rPr>
          <w:sz w:val="20"/>
          <w:szCs w:val="20"/>
          <w:color w:val="auto"/>
        </w:rPr>
      </w:pPr>
      <w:r>
        <w:rPr>
          <w:rFonts w:ascii="Times New Roman" w:cs="Times New Roman" w:eastAsia="Times New Roman" w:hAnsi="Times New Roman"/>
          <w:sz w:val="14"/>
          <w:szCs w:val="14"/>
          <w:color w:val="auto"/>
        </w:rPr>
        <w:t>Pursuant to the Securities Act of 1933, as amended, the undersigned, the duly authorized representative in the United States of Zura Bio Limited has signed this registration statement on the 27th day of October, 2026.</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Zura Bio Limited</w:t>
      </w:r>
    </w:p>
    <w:p>
      <w:pPr>
        <w:spacing w:after="0" w:line="172"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Sandeep Kulkarni</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color w:val="auto"/>
        </w:rPr>
        <w:t>Name: Sandeep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-100965</wp:posOffset>
            </wp:positionV>
            <wp:extent cx="336423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3364230" cy="635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6"/>
          <w:szCs w:val="16"/>
          <w:b w:val="1"/>
          <w:bCs w:val="1"/>
          <w:color w:val="auto"/>
        </w:rPr>
        <w:t>Exhibit 1.3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AMENDMENT NO. 1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SALES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October 27, 2026</w:t>
      </w:r>
    </w:p>
    <w:p>
      <w:pPr>
        <w:spacing w:after="0" w:line="168"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3"/>
          <w:szCs w:val="13"/>
          <w:color w:val="auto"/>
        </w:rPr>
        <w:t>This Amendment No. 1 (“</w:t>
      </w:r>
      <w:r>
        <w:rPr>
          <w:rFonts w:ascii="Times New Roman" w:cs="Times New Roman" w:eastAsia="Times New Roman" w:hAnsi="Times New Roman"/>
          <w:sz w:val="13"/>
          <w:szCs w:val="13"/>
          <w:b w:val="1"/>
          <w:bCs w:val="1"/>
          <w:color w:val="auto"/>
        </w:rPr>
        <w:t>Amendment No. 1</w:t>
      </w:r>
      <w:r>
        <w:rPr>
          <w:rFonts w:ascii="Times New Roman" w:cs="Times New Roman" w:eastAsia="Times New Roman" w:hAnsi="Times New Roman"/>
          <w:sz w:val="13"/>
          <w:szCs w:val="13"/>
          <w:color w:val="auto"/>
        </w:rPr>
        <w:t>”) amends that certain Sales Agreement, dated as of September 3, 2024 (the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by and between Zura Bio Limited, a Cayman Islands exempted company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Leerink Partners LLC, as sales agent (the “</w:t>
      </w:r>
      <w:r>
        <w:rPr>
          <w:rFonts w:ascii="Times New Roman" w:cs="Times New Roman" w:eastAsia="Times New Roman" w:hAnsi="Times New Roman"/>
          <w:sz w:val="13"/>
          <w:szCs w:val="13"/>
          <w:b w:val="1"/>
          <w:bCs w:val="1"/>
          <w:color w:val="auto"/>
        </w:rPr>
        <w:t>Agent</w:t>
      </w:r>
      <w:r>
        <w:rPr>
          <w:rFonts w:ascii="Times New Roman" w:cs="Times New Roman" w:eastAsia="Times New Roman" w:hAnsi="Times New Roman"/>
          <w:sz w:val="13"/>
          <w:szCs w:val="13"/>
          <w:color w:val="auto"/>
        </w:rPr>
        <w:t>”). Defined terms used herein and not otherwise defined shall have the meaning assigned to such terms in the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WITNESSETH THAT: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WHEREAS, </w:t>
      </w:r>
      <w:r>
        <w:rPr>
          <w:rFonts w:ascii="Times New Roman" w:cs="Times New Roman" w:eastAsia="Times New Roman" w:hAnsi="Times New Roman"/>
          <w:sz w:val="14"/>
          <w:szCs w:val="14"/>
          <w:u w:val="single" w:color="auto"/>
          <w:color w:val="auto"/>
        </w:rPr>
        <w:t>Section 15</w:t>
      </w:r>
      <w:r>
        <w:rPr>
          <w:rFonts w:ascii="Times New Roman" w:cs="Times New Roman" w:eastAsia="Times New Roman" w:hAnsi="Times New Roman"/>
          <w:sz w:val="14"/>
          <w:szCs w:val="14"/>
          <w:color w:val="auto"/>
        </w:rPr>
        <w:t xml:space="preserve"> of the Agreement permits the Company and the Agent to amend the Agreement by a written instrument executed by both parties;</w:t>
      </w:r>
    </w:p>
    <w:p>
      <w:pPr>
        <w:spacing w:after="0" w:line="16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WHEREAS, the Company intends to file with the Commission a new registration statement on Form S-3 (the “</w:t>
      </w:r>
      <w:r>
        <w:rPr>
          <w:rFonts w:ascii="Times New Roman" w:cs="Times New Roman" w:eastAsia="Times New Roman" w:hAnsi="Times New Roman"/>
          <w:sz w:val="14"/>
          <w:szCs w:val="14"/>
          <w:b w:val="1"/>
          <w:bCs w:val="1"/>
          <w:color w:val="auto"/>
        </w:rPr>
        <w:t>New Registration Statement</w:t>
      </w:r>
      <w:r>
        <w:rPr>
          <w:rFonts w:ascii="Times New Roman" w:cs="Times New Roman" w:eastAsia="Times New Roman" w:hAnsi="Times New Roman"/>
          <w:sz w:val="14"/>
          <w:szCs w:val="14"/>
          <w:color w:val="auto"/>
        </w:rPr>
        <w:t>”), which New Registration Statement shall replace the Registration Statement referenced in the Agreement; 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WHEREAS, the Company and the Agent now desire to amend the Agreement as provided herein.</w:t>
      </w:r>
    </w:p>
    <w:p>
      <w:pPr>
        <w:spacing w:after="0" w:line="16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NOW, THEREFORE, in consideration of the foregoing premises and other good and valuable consideration, the receipt and sufficiency of which are hereby acknowledged, the Company and the Agent agree as follows:</w:t>
      </w:r>
    </w:p>
    <w:p>
      <w:pPr>
        <w:spacing w:after="0" w:line="135" w:lineRule="exact"/>
        <w:rPr>
          <w:sz w:val="20"/>
          <w:szCs w:val="20"/>
          <w:color w:val="auto"/>
        </w:rPr>
      </w:pPr>
    </w:p>
    <w:p>
      <w:pPr>
        <w:ind w:left="240" w:hanging="238"/>
        <w:spacing w:after="0"/>
        <w:tabs>
          <w:tab w:leader="none" w:pos="2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third sentence of the first paragraph of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of the Agreement is amended and restated in its entirety as set forth below:</w:t>
      </w:r>
    </w:p>
    <w:p>
      <w:pPr>
        <w:spacing w:after="0" w:line="16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“The issuance and sale of Placement Shares through the Agent will be effected pursuant to the Registration Statement (as defined below), although nothing in this Agreement shall be construed as requiring the Company to issue any Placement Shares.”</w:t>
      </w:r>
    </w:p>
    <w:p>
      <w:pPr>
        <w:spacing w:after="0" w:line="135" w:lineRule="exact"/>
        <w:rPr>
          <w:sz w:val="20"/>
          <w:szCs w:val="20"/>
          <w:color w:val="auto"/>
        </w:rPr>
      </w:pPr>
    </w:p>
    <w:p>
      <w:pPr>
        <w:ind w:left="240" w:hanging="238"/>
        <w:spacing w:after="0"/>
        <w:tabs>
          <w:tab w:leader="none" w:pos="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first sentence of the second paragraph of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xml:space="preserve"> of the Agreement is amended and restated in its entirety as set forth below:</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Company has filed or will file, in accordance with the provisions of the Securities Act of 1933, as amended, and the rules and regulations thereunder (collectively, the “</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a registration statement on Form S-3, including (a) a base prospectus, relating to certain securities, including the Ordinary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and (b) a prospectus supplement specifically relating to the Placement Shares to be issued from time to time pursuant to this Agreement (the “</w:t>
      </w:r>
      <w:r>
        <w:rPr>
          <w:rFonts w:ascii="Times New Roman" w:cs="Times New Roman" w:eastAsia="Times New Roman" w:hAnsi="Times New Roman"/>
          <w:sz w:val="14"/>
          <w:szCs w:val="14"/>
          <w:b w:val="1"/>
          <w:bCs w:val="1"/>
          <w:color w:val="auto"/>
        </w:rPr>
        <w:t>Prospectus Supplement</w:t>
      </w:r>
      <w:r>
        <w:rPr>
          <w:rFonts w:ascii="Times New Roman" w:cs="Times New Roman" w:eastAsia="Times New Roman" w:hAnsi="Times New Roman"/>
          <w:sz w:val="14"/>
          <w:szCs w:val="14"/>
          <w:color w:val="auto"/>
        </w:rPr>
        <w:t>”) to the base prospectus included as part of such registration statement.</w:t>
      </w:r>
    </w:p>
    <w:p>
      <w:pPr>
        <w:spacing w:after="0" w:line="148" w:lineRule="exact"/>
        <w:rPr>
          <w:sz w:val="20"/>
          <w:szCs w:val="20"/>
          <w:color w:val="auto"/>
        </w:rPr>
      </w:pPr>
    </w:p>
    <w:p>
      <w:pPr>
        <w:ind w:left="500" w:right="5040" w:hanging="498"/>
        <w:spacing w:after="0" w:line="489" w:lineRule="auto"/>
        <w:tabs>
          <w:tab w:leader="none" w:pos="254"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of the Agreement as it relates to notices to the Company shall be amended and restated as follows: and if to the Company, shall be delivered to:</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Attention: Chief Executive Officer</w:t>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E-mail: sandeep.kulkarni@zurabio.com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716534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82" w:name="page83"/>
    <w:bookmarkEnd w:id="82"/>
    <w:p>
      <w:pPr>
        <w:ind w:left="50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notices@zurabio.com; and</w:t>
      </w:r>
    </w:p>
    <w:p>
      <w:pPr>
        <w:spacing w:after="0" w:line="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Cooley LLP</w:t>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Attention: Brandon Fenn, Sarah Sellers, Mark Ballantyne</w:t>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E-mail: bfenn@cooley.com, ssellers@cooley.com, mballantyne@cooley.com</w:t>
      </w:r>
    </w:p>
    <w:p>
      <w:pPr>
        <w:spacing w:after="0" w:line="156" w:lineRule="exact"/>
        <w:rPr>
          <w:sz w:val="20"/>
          <w:szCs w:val="20"/>
          <w:color w:val="auto"/>
        </w:rPr>
      </w:pPr>
    </w:p>
    <w:p>
      <w:pPr>
        <w:ind w:left="240" w:hanging="238"/>
        <w:spacing w:after="0" w:line="267" w:lineRule="auto"/>
        <w:tabs>
          <w:tab w:leader="none" w:pos="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 15</w:t>
      </w:r>
      <w:r>
        <w:rPr>
          <w:rFonts w:ascii="Times New Roman" w:cs="Times New Roman" w:eastAsia="Times New Roman" w:hAnsi="Times New Roman"/>
          <w:sz w:val="14"/>
          <w:szCs w:val="14"/>
          <w:color w:val="auto"/>
        </w:rPr>
        <w:t xml:space="preserve"> of the Agreement is supplemented and amended such that this Amendment No. 1 and the Agreement, as amended hereby, constitute the entire agreement of the parties to the Agreement and supersede all prior written or oral and all contemporaneous oral agreements, understandings and negotiations with respect to the subject matter hereof and thereof.</w:t>
      </w:r>
    </w:p>
    <w:p>
      <w:pPr>
        <w:spacing w:after="0" w:line="134"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No. 1 shall be deemed effective on the date first set forth above.</w:t>
      </w:r>
    </w:p>
    <w:p>
      <w:pPr>
        <w:spacing w:after="0" w:line="167" w:lineRule="exact"/>
        <w:rPr>
          <w:rFonts w:ascii="Times New Roman" w:cs="Times New Roman" w:eastAsia="Times New Roman" w:hAnsi="Times New Roman"/>
          <w:sz w:val="14"/>
          <w:szCs w:val="14"/>
          <w:color w:val="auto"/>
        </w:rPr>
      </w:pPr>
    </w:p>
    <w:p>
      <w:pPr>
        <w:ind w:left="240" w:hanging="238"/>
        <w:spacing w:after="0" w:line="267" w:lineRule="auto"/>
        <w:tabs>
          <w:tab w:leader="none" w:pos="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amended hereby, the Agreement as now in effect is ratified and confirmed hereby in all respects. For the avoidance of doubt, this Amendment No. 1 and all of its provisions shall be deemed to be a part of the Agreement, as amended hereby.</w:t>
      </w:r>
    </w:p>
    <w:p>
      <w:pPr>
        <w:spacing w:after="0" w:line="134" w:lineRule="exact"/>
        <w:rPr>
          <w:rFonts w:ascii="Times New Roman" w:cs="Times New Roman" w:eastAsia="Times New Roman" w:hAnsi="Times New Roman"/>
          <w:sz w:val="14"/>
          <w:szCs w:val="14"/>
          <w:color w:val="auto"/>
        </w:rPr>
      </w:pPr>
    </w:p>
    <w:p>
      <w:pPr>
        <w:jc w:val="both"/>
        <w:ind w:left="240" w:hanging="238"/>
        <w:spacing w:after="0" w:line="248" w:lineRule="auto"/>
        <w:tabs>
          <w:tab w:leader="none" w:pos="2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No. 1 shall be governed by and construed in accordance with the laws of the State of New York without regard to the principles of conflicts of laws. Any legal suit, action or proceeding arising out of or based upon this Amendment No. 1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4"/>
          <w:szCs w:val="14"/>
          <w:b w:val="1"/>
          <w:bCs w:val="1"/>
          <w:color w:val="auto"/>
        </w:rPr>
        <w:t>Specified Courts</w:t>
      </w:r>
      <w:r>
        <w:rPr>
          <w:rFonts w:ascii="Times New Roman" w:cs="Times New Roman" w:eastAsia="Times New Roman" w:hAnsi="Times New Roman"/>
          <w:sz w:val="14"/>
          <w:szCs w:val="14"/>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in the Agreement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338455</wp:posOffset>
            </wp:positionV>
            <wp:extent cx="716534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3" w:name="page84"/>
    <w:bookmarkEnd w:id="83"/>
    <w:p>
      <w:pPr>
        <w:ind w:right="20"/>
        <w:spacing w:after="0" w:line="267" w:lineRule="auto"/>
        <w:rPr>
          <w:sz w:val="20"/>
          <w:szCs w:val="20"/>
          <w:color w:val="auto"/>
        </w:rPr>
      </w:pPr>
      <w:r>
        <w:rPr>
          <w:rFonts w:ascii="Times New Roman" w:cs="Times New Roman" w:eastAsia="Times New Roman" w:hAnsi="Times New Roman"/>
          <w:sz w:val="14"/>
          <w:szCs w:val="14"/>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3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ZURA BIO LIMITED</w:t>
      </w:r>
    </w:p>
    <w:p>
      <w:pPr>
        <w:spacing w:after="0" w:line="156"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Sandeep Kulkarni</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3"/>
        </w:trPr>
        <w:tc>
          <w:tcPr>
            <w:tcW w:w="480" w:type="dxa"/>
            <w:vAlign w:val="bottom"/>
            <w:tcBorders>
              <w:top w:val="single" w:sz="8" w:color="auto"/>
            </w:tcBorders>
          </w:tcPr>
          <w:p>
            <w:pPr>
              <w:ind w:left="2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4820" w:type="dxa"/>
            <w:vAlign w:val="bottom"/>
            <w:tcBorders>
              <w:top w:val="single" w:sz="8" w:color="auto"/>
            </w:tcBorders>
          </w:tcPr>
          <w:p>
            <w:pPr>
              <w:ind w:left="100"/>
              <w:spacing w:after="0" w:line="143" w:lineRule="exact"/>
              <w:rPr>
                <w:sz w:val="20"/>
                <w:szCs w:val="20"/>
                <w:color w:val="auto"/>
              </w:rPr>
            </w:pPr>
            <w:r>
              <w:rPr>
                <w:rFonts w:ascii="Times New Roman" w:cs="Times New Roman" w:eastAsia="Times New Roman" w:hAnsi="Times New Roman"/>
                <w:sz w:val="14"/>
                <w:szCs w:val="14"/>
                <w:color w:val="auto"/>
              </w:rPr>
              <w:t>Sandeep Kulkarni</w:t>
            </w:r>
          </w:p>
        </w:tc>
      </w:tr>
      <w:tr>
        <w:trPr>
          <w:trHeight w:val="176"/>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Amendment is hereby confirmed and accepted by the Agent in New York, New York as of the date first above written.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LEERINK PARTNERS LLC</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Peter Fry</w:t>
      </w:r>
    </w:p>
    <w:p>
      <w:pPr>
        <w:spacing w:after="0" w:line="15" w:lineRule="exact"/>
        <w:rPr>
          <w:sz w:val="20"/>
          <w:szCs w:val="20"/>
          <w:color w:val="auto"/>
        </w:rPr>
      </w:pPr>
    </w:p>
    <w:tbl>
      <w:tblPr>
        <w:tblLayout w:type="fixed"/>
        <w:tblInd w:w="340" w:type="dxa"/>
        <w:tblCellMar>
          <w:top w:w="0" w:type="dxa"/>
          <w:left w:w="0" w:type="dxa"/>
          <w:bottom w:w="0" w:type="dxa"/>
          <w:right w:w="0" w:type="dxa"/>
        </w:tblCellMar>
      </w:tblPr>
      <w:tr>
        <w:trPr>
          <w:trHeight w:val="143"/>
        </w:trPr>
        <w:tc>
          <w:tcPr>
            <w:tcW w:w="46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4840" w:type="dxa"/>
            <w:vAlign w:val="bottom"/>
            <w:tcBorders>
              <w:top w:val="single" w:sz="8" w:color="auto"/>
            </w:tcBorders>
          </w:tcPr>
          <w:p>
            <w:pPr>
              <w:ind w:left="100"/>
              <w:spacing w:after="0" w:line="143" w:lineRule="exact"/>
              <w:rPr>
                <w:sz w:val="20"/>
                <w:szCs w:val="20"/>
                <w:color w:val="auto"/>
              </w:rPr>
            </w:pPr>
            <w:r>
              <w:rPr>
                <w:rFonts w:ascii="Times New Roman" w:cs="Times New Roman" w:eastAsia="Times New Roman" w:hAnsi="Times New Roman"/>
                <w:sz w:val="14"/>
                <w:szCs w:val="14"/>
                <w:color w:val="auto"/>
              </w:rPr>
              <w:t>Peter Fry</w:t>
            </w:r>
          </w:p>
        </w:tc>
      </w:tr>
      <w:tr>
        <w:trPr>
          <w:trHeight w:val="17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Managing Director</w:t>
            </w:r>
          </w:p>
        </w:tc>
      </w:tr>
    </w:tbl>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338455</wp:posOffset>
            </wp:positionV>
            <wp:extent cx="716534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1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ZURA BIO LIMITED,</w:t>
      </w:r>
    </w:p>
    <w:p>
      <w:pPr>
        <w:spacing w:after="0" w:line="3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Iss</w:t>
      </w:r>
      <w:r>
        <w:rPr>
          <w:rFonts w:ascii="Times New Roman" w:cs="Times New Roman" w:eastAsia="Times New Roman" w:hAnsi="Times New Roman"/>
          <w:sz w:val="14"/>
          <w:szCs w:val="14"/>
          <w:color w:val="auto"/>
        </w:rPr>
        <w:t>u</w:t>
      </w:r>
      <w:r>
        <w:rPr>
          <w:rFonts w:ascii="Times New Roman" w:cs="Times New Roman" w:eastAsia="Times New Roman" w:hAnsi="Times New Roman"/>
          <w:sz w:val="14"/>
          <w:szCs w:val="14"/>
          <w:b w:val="1"/>
          <w:bCs w:val="1"/>
          <w:color w:val="auto"/>
        </w:rPr>
        <w:t>er</w:t>
      </w:r>
    </w:p>
    <w:p>
      <w:pPr>
        <w:spacing w:after="0" w:line="1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6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107315</wp:posOffset>
            </wp:positionV>
            <wp:extent cx="179260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1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6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Dated as of [•],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116840</wp:posOffset>
            </wp:positionV>
            <wp:extent cx="179260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34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338455</wp:posOffset>
            </wp:positionV>
            <wp:extent cx="716534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140"/>
          </w:cols>
          <w:pgMar w:left="1440" w:top="300"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0"/>
        </w:trPr>
        <w:tc>
          <w:tcPr>
            <w:tcW w:w="1440" w:type="dxa"/>
            <w:vAlign w:val="bottom"/>
          </w:tcPr>
          <w:p>
            <w:pPr>
              <w:spacing w:after="0"/>
              <w:rPr>
                <w:sz w:val="15"/>
                <w:szCs w:val="15"/>
                <w:color w:val="auto"/>
              </w:rPr>
            </w:pPr>
          </w:p>
        </w:tc>
        <w:tc>
          <w:tcPr>
            <w:tcW w:w="792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ontents</w:t>
            </w:r>
          </w:p>
        </w:tc>
        <w:tc>
          <w:tcPr>
            <w:tcW w:w="1920" w:type="dxa"/>
            <w:vAlign w:val="bottom"/>
          </w:tcPr>
          <w:p>
            <w:pPr>
              <w:spacing w:after="0"/>
              <w:rPr>
                <w:sz w:val="15"/>
                <w:szCs w:val="15"/>
                <w:color w:val="auto"/>
              </w:rPr>
            </w:pPr>
          </w:p>
        </w:tc>
      </w:tr>
      <w:tr>
        <w:trPr>
          <w:trHeight w:val="329"/>
        </w:trPr>
        <w:tc>
          <w:tcPr>
            <w:tcW w:w="14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age</w:t>
            </w:r>
          </w:p>
        </w:tc>
      </w:tr>
      <w:tr>
        <w:trPr>
          <w:trHeight w:val="329"/>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ARTICLE 1</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DEFINITIONS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1.01</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Definitions of Terms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5"/>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ARTICLE 2</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ISSUE, DESCRIPTION, TERMS, EXECUTION, REGISTRATION AND EXCHANGE OF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2.01</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Designation and Terms of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2.02</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Form of Securities and Trustee’s Certificate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2.03</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Denominations: Provisions for Payment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2.04</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Execution and Authentications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2.05</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Registration of Transfer and Exchange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2.06</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Temporary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2.07</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Mutilated, Destroyed, Lost or Stolen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2.08</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Cancellation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2.09</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Benefits of Indenture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2.10</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Authenticating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2.11</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Global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2.12</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CUSIP Numbers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5"/>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ARTICLE 3</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REDEMPTION OF SECURITIES AND SINKING FUND PROVISIONS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3.01</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Redemption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3.02</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Notice of Redemption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3.03</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 Upon Redemption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3.04</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Sinking Fund</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3.05</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Satisfaction of Sinking Fund Payments with Securities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3.06</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5"/>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ARTICLE 4</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COVENANTS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4.01</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 of Principal, Premium and Interest</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4.02</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4.03</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Paying Agents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4.04</w:t>
            </w:r>
          </w:p>
        </w:tc>
        <w:tc>
          <w:tcPr>
            <w:tcW w:w="79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Appointment to Fill Vacancy in Office of Trustee</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bl>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ontents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continued</w:t>
      </w:r>
      <w:r>
        <w:rPr>
          <w:rFonts w:ascii="Times New Roman" w:cs="Times New Roman" w:eastAsia="Times New Roman" w:hAnsi="Times New Roman"/>
          <w:sz w:val="14"/>
          <w:szCs w:val="14"/>
          <w:b w:val="1"/>
          <w:bCs w:val="1"/>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4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age</w:t>
            </w:r>
          </w:p>
        </w:tc>
      </w:tr>
      <w:tr>
        <w:trPr>
          <w:trHeight w:val="349"/>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ARTICLE 5</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SECURITYHOLDERS’ LISTS AND REPORTS BY THE COMPANY AND THE TRUSTEE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5.01</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Company to Furnish Trustee Names and Addresses of Securityholders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5.02</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Preservation Of Information; Communications With Securityholders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5.03</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Reports by the Company</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5.04</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Reports by the Trustee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5"/>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ARTICLE 6</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REMEDIES OF THE TRUSTEE AND SECURITYHOLDERS ON EVENT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6.01</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Events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6.02</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Collection of Indebtedness and Suits for Enforcement by Trustee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6.03</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Application of Moneys Collected</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6.04</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Limitation on Suits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6.05</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Rights and Remedies Cumulative; Delay or Omission Not Waiver</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6.06</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Control by Securityholders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6.07</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Undertaking to Pay Costs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5"/>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ARTICLE 7</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CONCERNING THE TRUSTEE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7.01</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Certain Duties and Responsibilities of Trustee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7.02</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7.03</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Trustee Not Responsible for Recitals or Issuance or Securities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7.04</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May Hold Securities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7.05</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Moneys Held in Trust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7.06</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7.07</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Reliance on Officer’s Certificate</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7.08</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Disqualification; Conflicting Interests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7.09</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7.10</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7.11</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205"/>
        </w:trPr>
        <w:tc>
          <w:tcPr>
            <w:tcW w:w="14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7.12</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bl>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4"/>
        </w:trPr>
        <w:tc>
          <w:tcPr>
            <w:tcW w:w="1460" w:type="dxa"/>
            <w:vAlign w:val="bottom"/>
          </w:tcPr>
          <w:p>
            <w:pPr>
              <w:spacing w:after="0"/>
              <w:rPr>
                <w:sz w:val="14"/>
                <w:szCs w:val="14"/>
                <w:color w:val="auto"/>
              </w:rPr>
            </w:pPr>
          </w:p>
        </w:tc>
        <w:tc>
          <w:tcPr>
            <w:tcW w:w="7480" w:type="dxa"/>
            <w:vAlign w:val="bottom"/>
          </w:tcPr>
          <w:p>
            <w:pPr>
              <w:ind w:left="362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ontents</w:t>
            </w:r>
          </w:p>
        </w:tc>
        <w:tc>
          <w:tcPr>
            <w:tcW w:w="2340" w:type="dxa"/>
            <w:vAlign w:val="bottom"/>
          </w:tcPr>
          <w:p>
            <w:pPr>
              <w:spacing w:after="0"/>
              <w:rPr>
                <w:sz w:val="14"/>
                <w:szCs w:val="14"/>
                <w:color w:val="auto"/>
              </w:rPr>
            </w:pPr>
          </w:p>
        </w:tc>
      </w:tr>
      <w:tr>
        <w:trPr>
          <w:trHeight w:val="180"/>
        </w:trPr>
        <w:tc>
          <w:tcPr>
            <w:tcW w:w="1460" w:type="dxa"/>
            <w:vAlign w:val="bottom"/>
          </w:tcPr>
          <w:p>
            <w:pPr>
              <w:spacing w:after="0"/>
              <w:rPr>
                <w:sz w:val="15"/>
                <w:szCs w:val="15"/>
                <w:color w:val="auto"/>
              </w:rPr>
            </w:pPr>
          </w:p>
        </w:tc>
        <w:tc>
          <w:tcPr>
            <w:tcW w:w="7480" w:type="dxa"/>
            <w:vAlign w:val="bottom"/>
          </w:tcPr>
          <w:p>
            <w:pPr>
              <w:ind w:left="38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continued</w:t>
            </w:r>
            <w:r>
              <w:rPr>
                <w:rFonts w:ascii="Times New Roman" w:cs="Times New Roman" w:eastAsia="Times New Roman" w:hAnsi="Times New Roman"/>
                <w:sz w:val="14"/>
                <w:szCs w:val="14"/>
                <w:b w:val="1"/>
                <w:bCs w:val="1"/>
                <w:color w:val="auto"/>
              </w:rPr>
              <w:t>)</w:t>
            </w:r>
          </w:p>
        </w:tc>
        <w:tc>
          <w:tcPr>
            <w:tcW w:w="2340" w:type="dxa"/>
            <w:vAlign w:val="bottom"/>
          </w:tcPr>
          <w:p>
            <w:pPr>
              <w:spacing w:after="0"/>
              <w:rPr>
                <w:sz w:val="15"/>
                <w:szCs w:val="15"/>
                <w:color w:val="auto"/>
              </w:rPr>
            </w:pPr>
          </w:p>
        </w:tc>
      </w:tr>
      <w:tr>
        <w:trPr>
          <w:trHeight w:val="329"/>
        </w:trPr>
        <w:tc>
          <w:tcPr>
            <w:tcW w:w="14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age</w:t>
            </w:r>
          </w:p>
        </w:tc>
      </w:tr>
      <w:tr>
        <w:trPr>
          <w:trHeight w:val="349"/>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7.13</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Preferential Collection of Claims Against the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7.14</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Notice of Default</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5"/>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ARTICLE 8</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CONCERNING THE SECURITYHOLDERS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8.01</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Evidence of Action by Securityholders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8.02</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Proof of Execution by Securityholders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8.03</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Who May be Deemed Owners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8.04</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Certain Securities Owned by Company Disregarded</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8.05</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Actions Binding on Future Securityholders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5"/>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ARTICLE 9</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SUPPLEMENTAL INDENTURES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9.01</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Supplemental Indentures Without the Consent of Securityholders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9.02</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Supplemental Indentures With Consent of Securityholders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9.03</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9.04</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Securities Affected by Supplemental Indentures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9.05</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5"/>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ARTICLE 10</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SUCCESSOR ENTITY</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10.01</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Company May Consolidate, Etc.</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10.02</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5"/>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ARTICLE 11</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SATISFACTION AND DISCHARGE</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11.01</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11.02</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Discharge of Obligations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11.03</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Deposited Moneys to be Held in Trust</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11.04</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Moneys Held by Paying Agents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11.05</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 to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5"/>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ARTICLE 12</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IMMUNITY OF INCORPORATORS, STOCKHOLDERS, OFFICERS AND DIRECTORS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12.01</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 Recourse</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5"/>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ARTICLE 13</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MISCELLANEOUS PROVISIONS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13.01</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on Successors and Assigns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13.02</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Actions by Successor</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5"/>
        </w:trPr>
        <w:tc>
          <w:tcPr>
            <w:tcW w:w="1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Section 13.03</w:t>
            </w:r>
          </w:p>
        </w:tc>
        <w:tc>
          <w:tcPr>
            <w:tcW w:w="7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Surrender of Company Powers</w:t>
            </w:r>
          </w:p>
        </w:tc>
        <w:tc>
          <w:tcPr>
            <w:tcW w:w="2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bl>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4"/>
        </w:trPr>
        <w:tc>
          <w:tcPr>
            <w:tcW w:w="10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380" w:type="dxa"/>
            <w:vAlign w:val="bottom"/>
          </w:tcPr>
          <w:p>
            <w:pPr>
              <w:jc w:val="right"/>
              <w:ind w:right="5012"/>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able</w:t>
            </w:r>
            <w:r>
              <w:rPr>
                <w:rFonts w:ascii="Times New Roman" w:cs="Times New Roman" w:eastAsia="Times New Roman" w:hAnsi="Times New Roman"/>
                <w:sz w:val="14"/>
                <w:szCs w:val="14"/>
                <w:b w:val="1"/>
                <w:bCs w:val="1"/>
                <w:color w:val="auto"/>
              </w:rPr>
              <w:t xml:space="preserve"> O</w:t>
            </w:r>
            <w:r>
              <w:rPr>
                <w:rFonts w:ascii="Times New Roman" w:cs="Times New Roman" w:eastAsia="Times New Roman" w:hAnsi="Times New Roman"/>
                <w:sz w:val="9"/>
                <w:szCs w:val="9"/>
                <w:b w:val="1"/>
                <w:bCs w:val="1"/>
                <w:color w:val="auto"/>
              </w:rPr>
              <w:t>f</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9"/>
                <w:szCs w:val="9"/>
                <w:b w:val="1"/>
                <w:bCs w:val="1"/>
                <w:color w:val="auto"/>
              </w:rPr>
              <w:t>ontents</w:t>
            </w:r>
          </w:p>
        </w:tc>
      </w:tr>
      <w:tr>
        <w:trPr>
          <w:trHeight w:val="180"/>
        </w:trPr>
        <w:tc>
          <w:tcPr>
            <w:tcW w:w="10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380" w:type="dxa"/>
            <w:vAlign w:val="bottom"/>
          </w:tcPr>
          <w:p>
            <w:pPr>
              <w:jc w:val="right"/>
              <w:ind w:right="523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continued</w:t>
            </w:r>
            <w:r>
              <w:rPr>
                <w:rFonts w:ascii="Times New Roman" w:cs="Times New Roman" w:eastAsia="Times New Roman" w:hAnsi="Times New Roman"/>
                <w:sz w:val="14"/>
                <w:szCs w:val="14"/>
                <w:b w:val="1"/>
                <w:bCs w:val="1"/>
                <w:color w:val="auto"/>
              </w:rPr>
              <w:t>)</w:t>
            </w:r>
          </w:p>
        </w:tc>
      </w:tr>
      <w:tr>
        <w:trPr>
          <w:trHeight w:val="329"/>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w:t>
            </w:r>
            <w:r>
              <w:rPr>
                <w:rFonts w:ascii="Times New Roman" w:cs="Times New Roman" w:eastAsia="Times New Roman" w:hAnsi="Times New Roman"/>
                <w:sz w:val="9"/>
                <w:szCs w:val="9"/>
                <w:b w:val="1"/>
                <w:bCs w:val="1"/>
                <w:color w:val="auto"/>
              </w:rPr>
              <w:t>age</w:t>
            </w:r>
          </w:p>
        </w:tc>
      </w:tr>
      <w:tr>
        <w:trPr>
          <w:trHeight w:val="349"/>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13.04</w:t>
            </w:r>
          </w:p>
        </w:tc>
        <w:tc>
          <w:tcPr>
            <w:tcW w:w="3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Notices</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13.05</w:t>
            </w:r>
          </w:p>
        </w:tc>
        <w:tc>
          <w:tcPr>
            <w:tcW w:w="3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Governing Law; Jury Trial Waiver</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13.06</w:t>
            </w:r>
          </w:p>
        </w:tc>
        <w:tc>
          <w:tcPr>
            <w:tcW w:w="3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Treatment of Securities as Debt</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13.07</w:t>
            </w:r>
          </w:p>
        </w:tc>
        <w:tc>
          <w:tcPr>
            <w:tcW w:w="3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Certificates and Opinions as to Conditions Precedent</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0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13.08</w:t>
            </w:r>
          </w:p>
        </w:tc>
        <w:tc>
          <w:tcPr>
            <w:tcW w:w="3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on Business Days</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13.09</w:t>
            </w:r>
          </w:p>
        </w:tc>
        <w:tc>
          <w:tcPr>
            <w:tcW w:w="3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Conflict with Trust Indenture Act</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13.10</w:t>
            </w:r>
          </w:p>
        </w:tc>
        <w:tc>
          <w:tcPr>
            <w:tcW w:w="3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Counterparts</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13.11</w:t>
            </w:r>
          </w:p>
        </w:tc>
        <w:tc>
          <w:tcPr>
            <w:tcW w:w="3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Separability</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13.12</w:t>
            </w:r>
          </w:p>
        </w:tc>
        <w:tc>
          <w:tcPr>
            <w:tcW w:w="3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Compliance Certificates</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13.13</w:t>
            </w:r>
          </w:p>
        </w:tc>
        <w:tc>
          <w:tcPr>
            <w:tcW w:w="3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Patriot Act</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13.14</w:t>
            </w:r>
          </w:p>
        </w:tc>
        <w:tc>
          <w:tcPr>
            <w:tcW w:w="3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Force Majeure</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0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Section 13.15</w:t>
            </w:r>
          </w:p>
        </w:tc>
        <w:tc>
          <w:tcPr>
            <w:tcW w:w="3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Table of Contents; Headings</w:t>
            </w:r>
          </w:p>
        </w:tc>
        <w:tc>
          <w:tcPr>
            <w:tcW w:w="6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bl>
    <w:p>
      <w:pPr>
        <w:spacing w:after="0" w:line="37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10160</wp:posOffset>
            </wp:positionV>
            <wp:extent cx="716534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0900"/>
          </w:cols>
          <w:pgMar w:left="680" w:top="739"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ndenture</w:t>
      </w:r>
      <w:r>
        <w:rPr>
          <w:rFonts w:ascii="Times New Roman" w:cs="Times New Roman" w:eastAsia="Times New Roman" w:hAnsi="Times New Roman"/>
          <w:sz w:val="14"/>
          <w:szCs w:val="14"/>
          <w:color w:val="auto"/>
        </w:rPr>
        <w:t>, dated as of [•], 20__, among</w:t>
      </w:r>
      <w:r>
        <w:rPr>
          <w:rFonts w:ascii="Times New Roman" w:cs="Times New Roman" w:eastAsia="Times New Roman" w:hAnsi="Times New Roman"/>
          <w:sz w:val="14"/>
          <w:szCs w:val="14"/>
          <w:b w:val="1"/>
          <w:bCs w:val="1"/>
          <w:color w:val="auto"/>
        </w:rPr>
        <w:t xml:space="preserve"> Z</w:t>
      </w:r>
      <w:r>
        <w:rPr>
          <w:rFonts w:ascii="Times New Roman" w:cs="Times New Roman" w:eastAsia="Times New Roman" w:hAnsi="Times New Roman"/>
          <w:sz w:val="9"/>
          <w:szCs w:val="9"/>
          <w:b w:val="1"/>
          <w:bCs w:val="1"/>
          <w:color w:val="auto"/>
        </w:rPr>
        <w:t>ura</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9"/>
          <w:szCs w:val="9"/>
          <w:b w:val="1"/>
          <w:bCs w:val="1"/>
          <w:color w:val="auto"/>
        </w:rPr>
        <w:t>io</w:t>
      </w:r>
      <w:r>
        <w:rPr>
          <w:rFonts w:ascii="Times New Roman" w:cs="Times New Roman" w:eastAsia="Times New Roman" w:hAnsi="Times New Roman"/>
          <w:sz w:val="14"/>
          <w:szCs w:val="14"/>
          <w:b w:val="1"/>
          <w:bCs w:val="1"/>
          <w:color w:val="auto"/>
        </w:rPr>
        <w:t xml:space="preserve"> L</w:t>
      </w:r>
      <w:r>
        <w:rPr>
          <w:rFonts w:ascii="Times New Roman" w:cs="Times New Roman" w:eastAsia="Times New Roman" w:hAnsi="Times New Roman"/>
          <w:sz w:val="9"/>
          <w:szCs w:val="9"/>
          <w:b w:val="1"/>
          <w:bCs w:val="1"/>
          <w:color w:val="auto"/>
        </w:rPr>
        <w:t>imited</w:t>
      </w:r>
      <w:r>
        <w:rPr>
          <w:rFonts w:ascii="Times New Roman" w:cs="Times New Roman" w:eastAsia="Times New Roman" w:hAnsi="Times New Roman"/>
          <w:sz w:val="14"/>
          <w:szCs w:val="14"/>
          <w:color w:val="auto"/>
        </w:rPr>
        <w:t>, an exempted company incorporated under the laws of the Cayman Islands (the “Company”), and [</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rustee</w:t>
      </w:r>
      <w:r>
        <w:rPr>
          <w:rFonts w:ascii="Times New Roman" w:cs="Times New Roman" w:eastAsia="Times New Roman" w:hAnsi="Times New Roman"/>
          <w:sz w:val="14"/>
          <w:szCs w:val="14"/>
          <w:color w:val="auto"/>
        </w:rPr>
        <w:t>], as trustee (the “Trustee”):</w:t>
      </w:r>
    </w:p>
    <w:p>
      <w:pPr>
        <w:spacing w:after="0" w:line="168" w:lineRule="exact"/>
        <w:rPr>
          <w:sz w:val="20"/>
          <w:szCs w:val="20"/>
          <w:color w:val="auto"/>
        </w:rPr>
      </w:pPr>
    </w:p>
    <w:p>
      <w:pPr>
        <w:jc w:val="both"/>
        <w:ind w:firstLine="493"/>
        <w:spacing w:after="0" w:line="259" w:lineRule="auto"/>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color w:val="auto"/>
        </w:rPr>
        <w:t>, for its lawful corporate purposes, the Company has duly authorized the execution and delivery of this Indenture to provide for the issuance of debt securities (hereinafter referred to as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in an unlimited aggregate principal amount to be issued from time to time in one or more series as in this Indenture provided, as registered Securities without coupons, to be authenticated by the certificate of the Trustee;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color w:val="auto"/>
        </w:rPr>
        <w:t>, to provide the terms and conditions upon which the Securities are to be authenticated, issued and delivered, the Company has duly authorized the execution of this Indenture; and</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w:t>
      </w:r>
      <w:r>
        <w:rPr>
          <w:rFonts w:ascii="Times New Roman" w:cs="Times New Roman" w:eastAsia="Times New Roman" w:hAnsi="Times New Roman"/>
          <w:sz w:val="9"/>
          <w:szCs w:val="9"/>
          <w:b w:val="1"/>
          <w:bCs w:val="1"/>
          <w:color w:val="auto"/>
        </w:rPr>
        <w:t>hereas</w:t>
      </w:r>
      <w:r>
        <w:rPr>
          <w:rFonts w:ascii="Times New Roman" w:cs="Times New Roman" w:eastAsia="Times New Roman" w:hAnsi="Times New Roman"/>
          <w:sz w:val="14"/>
          <w:szCs w:val="14"/>
          <w:color w:val="auto"/>
        </w:rPr>
        <w:t>, all things necessary to make this Indenture a valid agreement of the Company, in accordance with its terms, have been done.</w:t>
      </w:r>
    </w:p>
    <w:p>
      <w:pPr>
        <w:spacing w:after="0" w:line="168" w:lineRule="exact"/>
        <w:rPr>
          <w:sz w:val="20"/>
          <w:szCs w:val="20"/>
          <w:color w:val="auto"/>
        </w:rPr>
      </w:pPr>
    </w:p>
    <w:p>
      <w:pPr>
        <w:jc w:val="both"/>
        <w:ind w:firstLine="493"/>
        <w:spacing w:after="0" w:line="273" w:lineRule="auto"/>
        <w:rPr>
          <w:sz w:val="20"/>
          <w:szCs w:val="20"/>
          <w:color w:val="auto"/>
        </w:rPr>
      </w:pP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9"/>
          <w:szCs w:val="9"/>
          <w:b w:val="1"/>
          <w:bCs w:val="1"/>
          <w:color w:val="auto"/>
        </w:rPr>
        <w:t>ow</w:t>
      </w:r>
      <w:r>
        <w:rPr>
          <w:rFonts w:ascii="Times New Roman" w:cs="Times New Roman" w:eastAsia="Times New Roman" w:hAnsi="Times New Roman"/>
          <w:sz w:val="14"/>
          <w:szCs w:val="14"/>
          <w:b w:val="1"/>
          <w:bCs w:val="1"/>
          <w:color w:val="auto"/>
        </w:rPr>
        <w:t>, T</w:t>
      </w:r>
      <w:r>
        <w:rPr>
          <w:rFonts w:ascii="Times New Roman" w:cs="Times New Roman" w:eastAsia="Times New Roman" w:hAnsi="Times New Roman"/>
          <w:sz w:val="9"/>
          <w:szCs w:val="9"/>
          <w:b w:val="1"/>
          <w:bCs w:val="1"/>
          <w:color w:val="auto"/>
        </w:rPr>
        <w:t>herefore</w:t>
      </w:r>
      <w:r>
        <w:rPr>
          <w:rFonts w:ascii="Times New Roman" w:cs="Times New Roman" w:eastAsia="Times New Roman" w:hAnsi="Times New Roman"/>
          <w:sz w:val="14"/>
          <w:szCs w:val="14"/>
          <w:color w:val="auto"/>
        </w:rPr>
        <w:t>, in consideration of the premises and the purchase of the Securities by the holders thereof, it is mutually covenanted and agreed as follows for the equal and ratable benefit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holders of Securities: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1.01         Definitions of Terms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Authenticating Agent</w:t>
      </w:r>
      <w:r>
        <w:rPr>
          <w:rFonts w:ascii="Times New Roman" w:cs="Times New Roman" w:eastAsia="Times New Roman" w:hAnsi="Times New Roman"/>
          <w:sz w:val="14"/>
          <w:szCs w:val="14"/>
          <w:color w:val="auto"/>
        </w:rPr>
        <w:t>” means the Trustee or an authenticating agent with respect to all or any of the series of Securities appointed by the Trustee pursuant to Section 2.10.</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of Directors</w:t>
      </w:r>
      <w:r>
        <w:rPr>
          <w:rFonts w:ascii="Times New Roman" w:cs="Times New Roman" w:eastAsia="Times New Roman" w:hAnsi="Times New Roman"/>
          <w:sz w:val="14"/>
          <w:szCs w:val="14"/>
          <w:color w:val="auto"/>
        </w:rPr>
        <w:t>” means the Board of Directors (or the functional equivalent thereof) of the Company or any duly authorized committee of such Board.</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39" w:right="319" w:bottom="1440" w:gutter="0" w:footer="0" w:header="0"/>
        </w:sectPr>
      </w:pPr>
    </w:p>
    <w:bookmarkStart w:id="90" w:name="page91"/>
    <w:bookmarkEnd w:id="90"/>
    <w:p>
      <w:pPr>
        <w:jc w:val="both"/>
        <w:ind w:firstLine="493"/>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spacing w:after="0" w:line="127" w:lineRule="exact"/>
        <w:rPr>
          <w:sz w:val="20"/>
          <w:szCs w:val="20"/>
          <w:color w:val="auto"/>
        </w:rPr>
      </w:pPr>
    </w:p>
    <w:p>
      <w:pPr>
        <w:jc w:val="both"/>
        <w:ind w:firstLine="493"/>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Business Day</w:t>
      </w:r>
      <w:r>
        <w:rPr>
          <w:rFonts w:ascii="Times New Roman" w:cs="Times New Roman" w:eastAsia="Times New Roman" w:hAnsi="Times New Roman"/>
          <w:sz w:val="14"/>
          <w:szCs w:val="14"/>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27" w:lineRule="exact"/>
        <w:rPr>
          <w:sz w:val="20"/>
          <w:szCs w:val="20"/>
          <w:color w:val="auto"/>
        </w:rPr>
      </w:pPr>
    </w:p>
    <w:p>
      <w:pPr>
        <w:jc w:val="both"/>
        <w:ind w:firstLine="493"/>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xml:space="preserve">” means </w:t>
      </w:r>
      <w:r>
        <w:rPr>
          <w:rFonts w:ascii="Times New Roman" w:cs="Times New Roman" w:eastAsia="Times New Roman" w:hAnsi="Times New Roman"/>
          <w:sz w:val="14"/>
          <w:szCs w:val="14"/>
          <w:b w:val="1"/>
          <w:bCs w:val="1"/>
          <w:color w:val="auto"/>
        </w:rPr>
        <w:t>Z</w:t>
      </w:r>
      <w:r>
        <w:rPr>
          <w:rFonts w:ascii="Times New Roman" w:cs="Times New Roman" w:eastAsia="Times New Roman" w:hAnsi="Times New Roman"/>
          <w:sz w:val="9"/>
          <w:szCs w:val="9"/>
          <w:b w:val="1"/>
          <w:bCs w:val="1"/>
          <w:color w:val="auto"/>
        </w:rPr>
        <w:t>ura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9"/>
          <w:szCs w:val="9"/>
          <w:b w:val="1"/>
          <w:bCs w:val="1"/>
          <w:color w:val="auto"/>
        </w:rPr>
        <w:t>io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9"/>
          <w:szCs w:val="9"/>
          <w:b w:val="1"/>
          <w:bCs w:val="1"/>
          <w:color w:val="auto"/>
        </w:rPr>
        <w:t>imited</w:t>
      </w:r>
      <w:r>
        <w:rPr>
          <w:rFonts w:ascii="Times New Roman" w:cs="Times New Roman" w:eastAsia="Times New Roman" w:hAnsi="Times New Roman"/>
          <w:sz w:val="14"/>
          <w:szCs w:val="14"/>
          <w:color w:val="auto"/>
        </w:rPr>
        <w:t>, an exempted company incorporated under the laws of the Cayman Islands, and, subject to the provisions of Article Ten, shall also include its successors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assigns.</w:t>
      </w:r>
    </w:p>
    <w:p>
      <w:pPr>
        <w:spacing w:after="0" w:line="152" w:lineRule="exact"/>
        <w:rPr>
          <w:sz w:val="20"/>
          <w:szCs w:val="20"/>
          <w:color w:val="auto"/>
        </w:rPr>
      </w:pPr>
    </w:p>
    <w:p>
      <w:pPr>
        <w:ind w:firstLine="493"/>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Corporate Trust Office</w:t>
      </w:r>
      <w:r>
        <w:rPr>
          <w:rFonts w:ascii="Times New Roman" w:cs="Times New Roman" w:eastAsia="Times New Roman" w:hAnsi="Times New Roman"/>
          <w:sz w:val="14"/>
          <w:szCs w:val="14"/>
          <w:color w:val="auto"/>
        </w:rPr>
        <w:t xml:space="preserve">” means the office of the Trustee at which, at any particular time, its corporate trust business shall be principally administered, which office at the date hereof is located at </w:t>
      </w:r>
      <w:r>
        <w:rPr>
          <w:rFonts w:ascii="Times New Roman" w:cs="Times New Roman" w:eastAsia="Times New Roman" w:hAnsi="Times New Roman"/>
          <w:sz w:val="14"/>
          <w:szCs w:val="14"/>
          <w:u w:val="single" w:color="auto"/>
          <w:color w:val="auto"/>
        </w:rPr>
        <w:t>                                                                                                                                 </w:t>
      </w:r>
      <w:r>
        <w:rPr>
          <w:rFonts w:ascii="Times New Roman" w:cs="Times New Roman" w:eastAsia="Times New Roman" w:hAnsi="Times New Roman"/>
          <w:sz w:val="14"/>
          <w:szCs w:val="14"/>
          <w:color w:val="auto"/>
        </w:rPr>
        <w:t> .</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Defaulted Interest</w:t>
      </w:r>
      <w:r>
        <w:rPr>
          <w:rFonts w:ascii="Times New Roman" w:cs="Times New Roman" w:eastAsia="Times New Roman" w:hAnsi="Times New Roman"/>
          <w:sz w:val="14"/>
          <w:szCs w:val="14"/>
          <w:color w:val="auto"/>
        </w:rPr>
        <w:t>” has the meaning set forth in Section 2.03.</w:t>
      </w:r>
    </w:p>
    <w:p>
      <w:pPr>
        <w:spacing w:after="0" w:line="168" w:lineRule="exact"/>
        <w:rPr>
          <w:sz w:val="20"/>
          <w:szCs w:val="20"/>
          <w:color w:val="auto"/>
        </w:rPr>
      </w:pPr>
    </w:p>
    <w:p>
      <w:pPr>
        <w:jc w:val="both"/>
        <w:ind w:firstLine="49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Depositary</w:t>
      </w:r>
      <w:r>
        <w:rPr>
          <w:rFonts w:ascii="Times New Roman" w:cs="Times New Roman" w:eastAsia="Times New Roman" w:hAnsi="Times New Roman"/>
          <w:sz w:val="14"/>
          <w:szCs w:val="14"/>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Event of Default</w:t>
      </w:r>
      <w:r>
        <w:rPr>
          <w:rFonts w:ascii="Times New Roman" w:cs="Times New Roman" w:eastAsia="Times New Roman" w:hAnsi="Times New Roman"/>
          <w:sz w:val="14"/>
          <w:szCs w:val="14"/>
          <w:color w:val="auto"/>
        </w:rPr>
        <w:t>” means, with respect to Securities of a particular series, any event specified in Section 6.01, continued for the period of time, if any, therein designated.</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Exchange Act</w:t>
      </w:r>
      <w:r>
        <w:rPr>
          <w:rFonts w:ascii="Times New Roman" w:cs="Times New Roman" w:eastAsia="Times New Roman" w:hAnsi="Times New Roman"/>
          <w:sz w:val="14"/>
          <w:szCs w:val="14"/>
          <w:color w:val="auto"/>
        </w:rPr>
        <w:t>” means the United States Securities and Exchange Act of 1934, as amended, and the rules and regulations promulgated by the Commission thereunder.</w:t>
      </w:r>
    </w:p>
    <w:p>
      <w:pPr>
        <w:spacing w:after="0" w:line="168"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b w:val="1"/>
          <w:bCs w:val="1"/>
          <w:i w:val="1"/>
          <w:iCs w:val="1"/>
          <w:color w:val="auto"/>
        </w:rPr>
        <w:t>given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mailed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notify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i w:val="1"/>
          <w:iCs w:val="1"/>
          <w:color w:val="auto"/>
        </w:rPr>
        <w:t>sent</w:t>
      </w:r>
      <w:r>
        <w:rPr>
          <w:rFonts w:ascii="Times New Roman" w:cs="Times New Roman" w:eastAsia="Times New Roman" w:hAnsi="Times New Roman"/>
          <w:sz w:val="14"/>
          <w:szCs w:val="14"/>
          <w:color w:val="auto"/>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91" w:name="page92"/>
    <w:bookmarkEnd w:id="91"/>
    <w:p>
      <w:pPr>
        <w:jc w:val="both"/>
        <w:ind w:firstLine="493"/>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Global Security</w:t>
      </w:r>
      <w:r>
        <w:rPr>
          <w:rFonts w:ascii="Times New Roman" w:cs="Times New Roman" w:eastAsia="Times New Roman" w:hAnsi="Times New Roman"/>
          <w:sz w:val="14"/>
          <w:szCs w:val="14"/>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27"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Governmental Obligations</w:t>
      </w:r>
      <w:r>
        <w:rPr>
          <w:rFonts w:ascii="Times New Roman" w:cs="Times New Roman" w:eastAsia="Times New Roman" w:hAnsi="Times New Roman"/>
          <w:sz w:val="14"/>
          <w:szCs w:val="14"/>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herein</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hereof</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i w:val="1"/>
          <w:iCs w:val="1"/>
          <w:color w:val="auto"/>
        </w:rPr>
        <w:t>hereunder</w:t>
      </w:r>
      <w:r>
        <w:rPr>
          <w:rFonts w:ascii="Times New Roman" w:cs="Times New Roman" w:eastAsia="Times New Roman" w:hAnsi="Times New Roman"/>
          <w:sz w:val="14"/>
          <w:szCs w:val="14"/>
          <w:color w:val="auto"/>
        </w:rPr>
        <w:t>”, and other words of similar import, refer to this Indenture as a whole and not to any particular Article, Section or other subdivision.</w:t>
      </w:r>
    </w:p>
    <w:p>
      <w:pPr>
        <w:spacing w:after="0" w:line="168" w:lineRule="exact"/>
        <w:rPr>
          <w:sz w:val="20"/>
          <w:szCs w:val="20"/>
          <w:color w:val="auto"/>
        </w:rPr>
      </w:pPr>
    </w:p>
    <w:p>
      <w:pPr>
        <w:jc w:val="both"/>
        <w:ind w:firstLine="493"/>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27" w:lineRule="exact"/>
        <w:rPr>
          <w:sz w:val="20"/>
          <w:szCs w:val="20"/>
          <w:color w:val="auto"/>
        </w:rPr>
      </w:pPr>
    </w:p>
    <w:p>
      <w:pPr>
        <w:jc w:val="both"/>
        <w:ind w:firstLine="493"/>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Interest Payment Date</w:t>
      </w:r>
      <w:r>
        <w:rPr>
          <w:rFonts w:ascii="Times New Roman" w:cs="Times New Roman" w:eastAsia="Times New Roman" w:hAnsi="Times New Roman"/>
          <w:sz w:val="14"/>
          <w:szCs w:val="14"/>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27" w:lineRule="exact"/>
        <w:rPr>
          <w:sz w:val="20"/>
          <w:szCs w:val="20"/>
          <w:color w:val="auto"/>
        </w:rPr>
      </w:pPr>
    </w:p>
    <w:p>
      <w:pPr>
        <w:jc w:val="both"/>
        <w:ind w:firstLine="493"/>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Officer’s Certificate</w:t>
      </w:r>
      <w:r>
        <w:rPr>
          <w:rFonts w:ascii="Times New Roman" w:cs="Times New Roman" w:eastAsia="Times New Roman" w:hAnsi="Times New Roman"/>
          <w:sz w:val="14"/>
          <w:szCs w:val="14"/>
          <w:color w:val="auto"/>
        </w:rPr>
        <w:t>” means a certificate signed by any Officer. Each such certificate shall include the statements provided for in Section 13.07, if and to the extent required by the provisions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thereof.</w:t>
      </w:r>
    </w:p>
    <w:p>
      <w:pPr>
        <w:spacing w:after="0" w:line="152" w:lineRule="exact"/>
        <w:rPr>
          <w:sz w:val="20"/>
          <w:szCs w:val="20"/>
          <w:color w:val="auto"/>
        </w:rPr>
      </w:pPr>
    </w:p>
    <w:p>
      <w:pPr>
        <w:jc w:val="both"/>
        <w:ind w:firstLine="493"/>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Opinion of Counsel</w:t>
      </w:r>
      <w:r>
        <w:rPr>
          <w:rFonts w:ascii="Times New Roman" w:cs="Times New Roman" w:eastAsia="Times New Roman" w:hAnsi="Times New Roman"/>
          <w:sz w:val="14"/>
          <w:szCs w:val="14"/>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92" w:name="page93"/>
    <w:bookmarkEnd w:id="92"/>
    <w:p>
      <w:pPr>
        <w:jc w:val="both"/>
        <w:ind w:firstLine="493"/>
        <w:spacing w:after="0" w:line="24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Outstanding</w:t>
      </w:r>
      <w:r>
        <w:rPr>
          <w:rFonts w:ascii="Times New Roman" w:cs="Times New Roman" w:eastAsia="Times New Roman" w:hAnsi="Times New Roman"/>
          <w:sz w:val="14"/>
          <w:szCs w:val="14"/>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45" w:lineRule="exact"/>
        <w:rPr>
          <w:sz w:val="20"/>
          <w:szCs w:val="20"/>
          <w:color w:val="auto"/>
        </w:rPr>
      </w:pPr>
    </w:p>
    <w:p>
      <w:pPr>
        <w:jc w:val="both"/>
        <w:ind w:firstLine="493"/>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Person</w:t>
      </w:r>
      <w:r>
        <w:rPr>
          <w:rFonts w:ascii="Times New Roman" w:cs="Times New Roman" w:eastAsia="Times New Roman" w:hAnsi="Times New Roman"/>
          <w:sz w:val="14"/>
          <w:szCs w:val="14"/>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27" w:lineRule="exact"/>
        <w:rPr>
          <w:sz w:val="20"/>
          <w:szCs w:val="20"/>
          <w:color w:val="auto"/>
        </w:rPr>
      </w:pPr>
    </w:p>
    <w:p>
      <w:pPr>
        <w:jc w:val="both"/>
        <w:ind w:firstLine="493"/>
        <w:spacing w:after="0" w:line="31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Predecessor Security</w:t>
      </w:r>
      <w:r>
        <w:rPr>
          <w:rFonts w:ascii="Times New Roman" w:cs="Times New Roman" w:eastAsia="Times New Roman" w:hAnsi="Times New Roman"/>
          <w:sz w:val="13"/>
          <w:szCs w:val="13"/>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04" w:lineRule="exact"/>
        <w:rPr>
          <w:sz w:val="20"/>
          <w:szCs w:val="20"/>
          <w:color w:val="auto"/>
        </w:rPr>
      </w:pPr>
    </w:p>
    <w:p>
      <w:pPr>
        <w:jc w:val="both"/>
        <w:ind w:firstLine="49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Responsible Officer</w:t>
      </w:r>
      <w:r>
        <w:rPr>
          <w:rFonts w:ascii="Times New Roman" w:cs="Times New Roman" w:eastAsia="Times New Roman" w:hAnsi="Times New Roman"/>
          <w:sz w:val="14"/>
          <w:szCs w:val="14"/>
          <w:color w:val="auto"/>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has the meaning stated in the first recital of this Indenture and more particularly means any Securities authenticated and delivered under this Indenture.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means the Securities Act of 1933, as amended.</w:t>
      </w:r>
    </w:p>
    <w:p>
      <w:pPr>
        <w:spacing w:after="0" w:line="168" w:lineRule="exact"/>
        <w:rPr>
          <w:sz w:val="20"/>
          <w:szCs w:val="20"/>
          <w:color w:val="auto"/>
        </w:rPr>
      </w:pPr>
    </w:p>
    <w:p>
      <w:pPr>
        <w:ind w:right="480" w:firstLine="493"/>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Securityholder</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holder of Securities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i w:val="1"/>
          <w:iCs w:val="1"/>
          <w:color w:val="auto"/>
        </w:rPr>
        <w:t>registered holder</w:t>
      </w:r>
      <w:r>
        <w:rPr>
          <w:rFonts w:ascii="Times New Roman" w:cs="Times New Roman" w:eastAsia="Times New Roman" w:hAnsi="Times New Roman"/>
          <w:sz w:val="14"/>
          <w:szCs w:val="14"/>
          <w:color w:val="auto"/>
        </w:rPr>
        <w:t>”, or other similar term, means the Person or Persons in whose name or names a particular Security is registered on the Security Register kept for that purpose in accordance with the terms of this Indenture.</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Security Register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i w:val="1"/>
          <w:iCs w:val="1"/>
          <w:color w:val="auto"/>
        </w:rPr>
        <w:t>Security Registrar</w:t>
      </w:r>
      <w:r>
        <w:rPr>
          <w:rFonts w:ascii="Times New Roman" w:cs="Times New Roman" w:eastAsia="Times New Roman" w:hAnsi="Times New Roman"/>
          <w:sz w:val="14"/>
          <w:szCs w:val="14"/>
          <w:color w:val="auto"/>
        </w:rPr>
        <w:t>” shall have the meanings as set forth in Section 2.05.</w:t>
      </w:r>
    </w:p>
    <w:p>
      <w:pPr>
        <w:spacing w:after="0" w:line="168" w:lineRule="exact"/>
        <w:rPr>
          <w:sz w:val="20"/>
          <w:szCs w:val="20"/>
          <w:color w:val="auto"/>
        </w:rPr>
      </w:pPr>
    </w:p>
    <w:p>
      <w:pPr>
        <w:ind w:right="120" w:firstLine="49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Subsidiary</w:t>
      </w:r>
      <w:r>
        <w:rPr>
          <w:rFonts w:ascii="Times New Roman" w:cs="Times New Roman" w:eastAsia="Times New Roman" w:hAnsi="Times New Roman"/>
          <w:sz w:val="14"/>
          <w:szCs w:val="14"/>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93" w:name="page94"/>
    <w:bookmarkEnd w:id="93"/>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means _________________________, and, subject to the provisions of Article Seven, shall also include its successors and assigns, and, if at any time there is more than one Person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acting in such capacity hereunder, “Trustee” shall mean each such Person. The term “Trustee” as used with respect to a particular series of the Securities shall mean the trustee with respect to that series.</w:t>
      </w:r>
    </w:p>
    <w:p>
      <w:pPr>
        <w:spacing w:after="0" w:line="1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Trust Indenture Act</w:t>
      </w:r>
      <w:r>
        <w:rPr>
          <w:rFonts w:ascii="Times New Roman" w:cs="Times New Roman" w:eastAsia="Times New Roman" w:hAnsi="Times New Roman"/>
          <w:sz w:val="14"/>
          <w:szCs w:val="14"/>
          <w:color w:val="auto"/>
        </w:rPr>
        <w:t>” means the Trust Indenture Act of 1939, as amended.</w:t>
      </w:r>
    </w:p>
    <w:p>
      <w:pPr>
        <w:spacing w:after="0" w:line="168" w:lineRule="exact"/>
        <w:rPr>
          <w:sz w:val="20"/>
          <w:szCs w:val="20"/>
          <w:color w:val="auto"/>
        </w:rPr>
      </w:pPr>
    </w:p>
    <w:p>
      <w:pPr>
        <w:jc w:val="both"/>
        <w:ind w:firstLine="493"/>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“U.S.A. Patriot Act” </w:t>
      </w:r>
      <w:r>
        <w:rPr>
          <w:rFonts w:ascii="Times New Roman" w:cs="Times New Roman" w:eastAsia="Times New Roman" w:hAnsi="Times New Roman"/>
          <w:sz w:val="14"/>
          <w:szCs w:val="14"/>
          <w:color w:val="auto"/>
        </w:rPr>
        <w:t>means the Uniting and Strengthening America by Providing Appropriate Tools Required to Intercept and Obstruct Terrorism Act of 2001, Pub. L. 107-56, as amended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signed into law October 26, 2001.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2</w:t>
      </w:r>
    </w:p>
    <w:p>
      <w:pPr>
        <w:spacing w:after="0" w:line="16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ISSUE, DESCRIPTION, TERMS, EXECUTION, REGISTRATION AND EXCHANGE OF SECURITIES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2.01         Designation and Terms of Securities</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88" w:lineRule="auto"/>
        <w:rPr>
          <w:sz w:val="20"/>
          <w:szCs w:val="20"/>
          <w:color w:val="auto"/>
        </w:rPr>
      </w:pPr>
      <w:r>
        <w:rPr>
          <w:rFonts w:ascii="Times New Roman" w:cs="Times New Roman" w:eastAsia="Times New Roman" w:hAnsi="Times New Roman"/>
          <w:sz w:val="13"/>
          <w:szCs w:val="13"/>
          <w:b w:val="1"/>
          <w:bCs w:val="1"/>
          <w:color w:val="auto"/>
        </w:rPr>
        <w:t>(a)            </w:t>
      </w:r>
      <w:r>
        <w:rPr>
          <w:rFonts w:ascii="Times New Roman" w:cs="Times New Roman" w:eastAsia="Times New Roman" w:hAnsi="Times New Roman"/>
          <w:sz w:val="13"/>
          <w:szCs w:val="13"/>
          <w:color w:val="auto"/>
        </w:rPr>
        <w:t>The aggregate principal amount of Securities that may be authenticated and delivered under this Indenture is unlimited. The Securities may be issued in one or more series up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1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(1)            </w:t>
      </w:r>
      <w:r>
        <w:rPr>
          <w:rFonts w:ascii="Times New Roman" w:cs="Times New Roman" w:eastAsia="Times New Roman" w:hAnsi="Times New Roman"/>
          <w:sz w:val="14"/>
          <w:szCs w:val="14"/>
          <w:color w:val="auto"/>
        </w:rPr>
        <w:t>the title of the Securities of the series (which shall distinguish the Securities of that series from all other Securities);</w:t>
      </w:r>
    </w:p>
    <w:p>
      <w:pPr>
        <w:spacing w:after="0" w:line="168"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(2)            </w:t>
      </w:r>
      <w:r>
        <w:rPr>
          <w:rFonts w:ascii="Times New Roman" w:cs="Times New Roman" w:eastAsia="Times New Roman" w:hAnsi="Times New Roman"/>
          <w:sz w:val="14"/>
          <w:szCs w:val="14"/>
          <w:color w:val="auto"/>
        </w:rPr>
        <w:t>any limit upon the aggregate principal amount of the Securities of that series that may be authenticated and delivered under this Indenture (except for Securities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authenticated and delivered upon registration of transfer of, or in exchange for, or in lieu of, other Securities of that series);</w:t>
      </w:r>
    </w:p>
    <w:p>
      <w:pPr>
        <w:spacing w:after="0" w:line="1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(3)            </w:t>
      </w:r>
      <w:r>
        <w:rPr>
          <w:rFonts w:ascii="Times New Roman" w:cs="Times New Roman" w:eastAsia="Times New Roman" w:hAnsi="Times New Roman"/>
          <w:sz w:val="14"/>
          <w:szCs w:val="14"/>
          <w:color w:val="auto"/>
        </w:rPr>
        <w:t>the maturity date or dates on which the principal of the Securities of the series is payable;</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(4)            </w:t>
      </w:r>
      <w:r>
        <w:rPr>
          <w:rFonts w:ascii="Times New Roman" w:cs="Times New Roman" w:eastAsia="Times New Roman" w:hAnsi="Times New Roman"/>
          <w:sz w:val="14"/>
          <w:szCs w:val="14"/>
          <w:color w:val="auto"/>
        </w:rPr>
        <w:t>the form of the Securities of the series including the form of the certificate of authentication for such series;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94" w:name="page95"/>
    <w:bookmarkEnd w:id="94"/>
    <w:p>
      <w:pPr>
        <w:ind w:left="1480"/>
        <w:spacing w:after="0"/>
        <w:rPr>
          <w:sz w:val="20"/>
          <w:szCs w:val="20"/>
          <w:color w:val="auto"/>
        </w:rPr>
      </w:pPr>
      <w:r>
        <w:rPr>
          <w:rFonts w:ascii="Times New Roman" w:cs="Times New Roman" w:eastAsia="Times New Roman" w:hAnsi="Times New Roman"/>
          <w:sz w:val="14"/>
          <w:szCs w:val="14"/>
          <w:b w:val="1"/>
          <w:bCs w:val="1"/>
          <w:color w:val="auto"/>
        </w:rPr>
        <w:t>(5)            </w:t>
      </w:r>
      <w:r>
        <w:rPr>
          <w:rFonts w:ascii="Times New Roman" w:cs="Times New Roman" w:eastAsia="Times New Roman" w:hAnsi="Times New Roman"/>
          <w:sz w:val="14"/>
          <w:szCs w:val="14"/>
          <w:color w:val="auto"/>
        </w:rPr>
        <w:t>the applicability of any guarantees;</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(6)            </w:t>
      </w:r>
      <w:r>
        <w:rPr>
          <w:rFonts w:ascii="Times New Roman" w:cs="Times New Roman" w:eastAsia="Times New Roman" w:hAnsi="Times New Roman"/>
          <w:sz w:val="14"/>
          <w:szCs w:val="14"/>
          <w:color w:val="auto"/>
        </w:rPr>
        <w:t>whether or not the Securities will be secured or unsecured, and the terms of any secured debt;</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(7)            </w:t>
      </w:r>
      <w:r>
        <w:rPr>
          <w:rFonts w:ascii="Times New Roman" w:cs="Times New Roman" w:eastAsia="Times New Roman" w:hAnsi="Times New Roman"/>
          <w:sz w:val="14"/>
          <w:szCs w:val="14"/>
          <w:color w:val="auto"/>
        </w:rPr>
        <w:t>whether the Securities rank as senior debt, senior subordinated debt, subordinated debt or any combination thereof, and the terms of any subordination;</w:t>
      </w:r>
    </w:p>
    <w:p>
      <w:pPr>
        <w:spacing w:after="0" w:line="168" w:lineRule="exact"/>
        <w:rPr>
          <w:sz w:val="20"/>
          <w:szCs w:val="20"/>
          <w:color w:val="auto"/>
        </w:rPr>
      </w:pPr>
    </w:p>
    <w:p>
      <w:pPr>
        <w:jc w:val="both"/>
        <w:ind w:firstLine="1478"/>
        <w:spacing w:after="0" w:line="259" w:lineRule="auto"/>
        <w:rPr>
          <w:sz w:val="20"/>
          <w:szCs w:val="20"/>
          <w:color w:val="auto"/>
        </w:rPr>
      </w:pPr>
      <w:r>
        <w:rPr>
          <w:rFonts w:ascii="Times New Roman" w:cs="Times New Roman" w:eastAsia="Times New Roman" w:hAnsi="Times New Roman"/>
          <w:sz w:val="14"/>
          <w:szCs w:val="14"/>
          <w:b w:val="1"/>
          <w:bCs w:val="1"/>
          <w:color w:val="auto"/>
        </w:rPr>
        <w:t>(8)            </w:t>
      </w:r>
      <w:r>
        <w:rPr>
          <w:rFonts w:ascii="Times New Roman" w:cs="Times New Roman" w:eastAsia="Times New Roman" w:hAnsi="Times New Roman"/>
          <w:sz w:val="14"/>
          <w:szCs w:val="14"/>
          <w:color w:val="auto"/>
        </w:rPr>
        <w:t>if the price (expressed as a percentage of the aggregate principal amount thereof) at which such Securities will be issued is a price other than the principal amount thereof,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36"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(9)            </w:t>
      </w:r>
      <w:r>
        <w:rPr>
          <w:rFonts w:ascii="Times New Roman" w:cs="Times New Roman" w:eastAsia="Times New Roman" w:hAnsi="Times New Roman"/>
          <w:sz w:val="14"/>
          <w:szCs w:val="14"/>
          <w:color w:val="auto"/>
        </w:rPr>
        <w:t>the interest rate or rates, which may be fixed or variable, or the method for determining the rate and the date interest will begin to accrue, the dates interest will be payable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regular record dates for interest payment dates or the method for determining such dates;</w:t>
      </w:r>
    </w:p>
    <w:p>
      <w:pPr>
        <w:spacing w:after="0" w:line="1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(10)          </w:t>
      </w:r>
      <w:r>
        <w:rPr>
          <w:rFonts w:ascii="Times New Roman" w:cs="Times New Roman" w:eastAsia="Times New Roman" w:hAnsi="Times New Roman"/>
          <w:sz w:val="14"/>
          <w:szCs w:val="14"/>
          <w:color w:val="auto"/>
        </w:rPr>
        <w:t>the Company’s right, if any, to defer the payment of interest and the maximum length of any such deferral period;</w:t>
      </w:r>
    </w:p>
    <w:p>
      <w:pPr>
        <w:spacing w:after="0" w:line="168"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(11)          </w:t>
      </w:r>
      <w:r>
        <w:rPr>
          <w:rFonts w:ascii="Times New Roman" w:cs="Times New Roman" w:eastAsia="Times New Roman" w:hAnsi="Times New Roman"/>
          <w:sz w:val="14"/>
          <w:szCs w:val="14"/>
          <w:color w:val="auto"/>
        </w:rPr>
        <w:t>if applicable, the date or dates after which, or the period or periods during which, and the price or prices at which, the Company may at its option, redeem the series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pursuant to any optional or provisional redemption provisions and the terms of those redemption provisions;</w:t>
      </w:r>
    </w:p>
    <w:p>
      <w:pPr>
        <w:spacing w:after="0" w:line="127"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(12)          </w:t>
      </w:r>
      <w:r>
        <w:rPr>
          <w:rFonts w:ascii="Times New Roman" w:cs="Times New Roman" w:eastAsia="Times New Roman" w:hAnsi="Times New Roman"/>
          <w:sz w:val="14"/>
          <w:szCs w:val="14"/>
          <w:color w:val="auto"/>
        </w:rPr>
        <w:t>the date or dates, if any, on which, and the price or prices at which the Company is obligated, pursuant to any mandatory sinking fund or analogous fund provisions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otherwise, to redeem, or at the Securityholder’s option to purchase, the series of Securities and the currency or currency unit in which the Securities are payable;</w:t>
      </w:r>
    </w:p>
    <w:p>
      <w:pPr>
        <w:spacing w:after="0" w:line="1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(13)          </w:t>
      </w:r>
      <w:r>
        <w:rPr>
          <w:rFonts w:ascii="Times New Roman" w:cs="Times New Roman" w:eastAsia="Times New Roman" w:hAnsi="Times New Roman"/>
          <w:sz w:val="13"/>
          <w:szCs w:val="13"/>
          <w:color w:val="auto"/>
        </w:rPr>
        <w:t>the denominations in which the Securities of the series shall be issuable, if other than denominations of one thousand U.S. dollars ($1,000) or any integral multiple thereof;</w:t>
      </w:r>
    </w:p>
    <w:p>
      <w:pPr>
        <w:spacing w:after="0" w:line="179"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(14)          </w:t>
      </w:r>
      <w:r>
        <w:rPr>
          <w:rFonts w:ascii="Times New Roman" w:cs="Times New Roman" w:eastAsia="Times New Roman" w:hAnsi="Times New Roman"/>
          <w:sz w:val="14"/>
          <w:szCs w:val="14"/>
          <w:color w:val="auto"/>
        </w:rPr>
        <w:t>any and all terms, if applicable, relating to any auction or remarketing of the Securities of that series and any security for the obligations of the Company with respect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Securities and any other terms which may be advisable in connection with the marketing of Securities of that series;</w:t>
      </w:r>
    </w:p>
    <w:p>
      <w:pPr>
        <w:spacing w:after="0" w:line="127"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(15)          </w:t>
      </w:r>
      <w:r>
        <w:rPr>
          <w:rFonts w:ascii="Times New Roman" w:cs="Times New Roman" w:eastAsia="Times New Roman" w:hAnsi="Times New Roman"/>
          <w:sz w:val="14"/>
          <w:szCs w:val="14"/>
          <w:color w:val="auto"/>
        </w:rPr>
        <w:t>whether the Securities of the series shall be issued in whole or in part in the form of a Global Security or Securities; the terms and conditions, if any, upon which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Global Security or Securities may be exchanged in whole or in part for other individual Securities; and the Depositary for such Global Security or Securities;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95" w:name="page96"/>
    <w:bookmarkEnd w:id="95"/>
    <w:p>
      <w:pPr>
        <w:jc w:val="both"/>
        <w:ind w:firstLine="1478"/>
        <w:spacing w:after="0" w:line="254" w:lineRule="auto"/>
        <w:rPr>
          <w:sz w:val="20"/>
          <w:szCs w:val="20"/>
          <w:color w:val="auto"/>
        </w:rPr>
      </w:pPr>
      <w:r>
        <w:rPr>
          <w:rFonts w:ascii="Times New Roman" w:cs="Times New Roman" w:eastAsia="Times New Roman" w:hAnsi="Times New Roman"/>
          <w:sz w:val="14"/>
          <w:szCs w:val="14"/>
          <w:b w:val="1"/>
          <w:bCs w:val="1"/>
          <w:color w:val="auto"/>
        </w:rPr>
        <w:t>(16)          </w:t>
      </w:r>
      <w:r>
        <w:rPr>
          <w:rFonts w:ascii="Times New Roman" w:cs="Times New Roman" w:eastAsia="Times New Roman" w:hAnsi="Times New Roman"/>
          <w:sz w:val="14"/>
          <w:szCs w:val="14"/>
          <w:color w:val="auto"/>
        </w:rPr>
        <w:t>if applicable, the provisions relating to conversion or exchange of any Securities of the series and the terms and conditions upon which such Securities will be so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spacing w:after="0" w:line="140"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(17)          </w:t>
      </w:r>
      <w:r>
        <w:rPr>
          <w:rFonts w:ascii="Times New Roman" w:cs="Times New Roman" w:eastAsia="Times New Roman" w:hAnsi="Times New Roman"/>
          <w:sz w:val="14"/>
          <w:szCs w:val="14"/>
          <w:color w:val="auto"/>
        </w:rPr>
        <w:t>if other than the full principal amount thereof, the portion of the principal amount of Securities of the series which shall be payable upon declaration of acceleration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maturity thereof pursuant to Section 6.01;</w:t>
      </w:r>
    </w:p>
    <w:p>
      <w:pPr>
        <w:spacing w:after="0" w:line="1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(18)          </w:t>
      </w:r>
      <w:r>
        <w:rPr>
          <w:rFonts w:ascii="Times New Roman" w:cs="Times New Roman" w:eastAsia="Times New Roman" w:hAnsi="Times New Roman"/>
          <w:sz w:val="14"/>
          <w:szCs w:val="14"/>
          <w:color w:val="auto"/>
        </w:rPr>
        <w:t>additions to or changes in the covenants applicable to the series of Securities being issued, including, among others, the consolidation, merger or sale covenant;</w:t>
      </w:r>
    </w:p>
    <w:p>
      <w:pPr>
        <w:spacing w:after="0" w:line="168"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(19)          </w:t>
      </w:r>
      <w:r>
        <w:rPr>
          <w:rFonts w:ascii="Times New Roman" w:cs="Times New Roman" w:eastAsia="Times New Roman" w:hAnsi="Times New Roman"/>
          <w:sz w:val="14"/>
          <w:szCs w:val="14"/>
          <w:color w:val="auto"/>
        </w:rPr>
        <w:t>additions to or changes in the Events of Default with respect to the Securities and any change in the right of the Trustee or the Securityholders to declare the principal,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premium, if any, and interest, if any, with respect to such Securities to be due and payable;</w:t>
      </w:r>
    </w:p>
    <w:p>
      <w:pPr>
        <w:spacing w:after="0" w:line="1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(20)          </w:t>
      </w:r>
      <w:r>
        <w:rPr>
          <w:rFonts w:ascii="Times New Roman" w:cs="Times New Roman" w:eastAsia="Times New Roman" w:hAnsi="Times New Roman"/>
          <w:sz w:val="14"/>
          <w:szCs w:val="14"/>
          <w:color w:val="auto"/>
        </w:rPr>
        <w:t>additions to or changes in or deletions of the provisions relating to covenant defeasance and legal defeasance;</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(21)         </w:t>
      </w:r>
      <w:r>
        <w:rPr>
          <w:rFonts w:ascii="Times New Roman" w:cs="Times New Roman" w:eastAsia="Times New Roman" w:hAnsi="Times New Roman"/>
          <w:sz w:val="14"/>
          <w:szCs w:val="14"/>
          <w:color w:val="auto"/>
        </w:rPr>
        <w:t>additions to or changes in the provisions relating to satisfaction and discharge of this Indenture;</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(22)          </w:t>
      </w:r>
      <w:r>
        <w:rPr>
          <w:rFonts w:ascii="Times New Roman" w:cs="Times New Roman" w:eastAsia="Times New Roman" w:hAnsi="Times New Roman"/>
          <w:sz w:val="13"/>
          <w:szCs w:val="13"/>
          <w:color w:val="auto"/>
        </w:rPr>
        <w:t>additions to or changes in the provisions relating to the modification of this Indenture both with and without the consent of Securityholders of Securities issued under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Indenture;</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(23)          </w:t>
      </w:r>
      <w:r>
        <w:rPr>
          <w:rFonts w:ascii="Times New Roman" w:cs="Times New Roman" w:eastAsia="Times New Roman" w:hAnsi="Times New Roman"/>
          <w:sz w:val="14"/>
          <w:szCs w:val="14"/>
          <w:color w:val="auto"/>
        </w:rPr>
        <w:t>the currency of payment of Securities if other than U.S. dollars and the manner of determining the equivalent amount in U.S. dollars;</w:t>
      </w:r>
    </w:p>
    <w:p>
      <w:pPr>
        <w:spacing w:after="0" w:line="16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(24)          </w:t>
      </w:r>
      <w:r>
        <w:rPr>
          <w:rFonts w:ascii="Times New Roman" w:cs="Times New Roman" w:eastAsia="Times New Roman" w:hAnsi="Times New Roman"/>
          <w:sz w:val="13"/>
          <w:szCs w:val="13"/>
          <w:color w:val="auto"/>
        </w:rPr>
        <w:t>whether interest will be payable in cash or additional Securities at the Company’s or the Securityholders’ option and the terms and conditions upon which the election may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 made;</w:t>
      </w:r>
    </w:p>
    <w:p>
      <w:pPr>
        <w:spacing w:after="0" w:line="152"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(25)          </w:t>
      </w:r>
      <w:r>
        <w:rPr>
          <w:rFonts w:ascii="Times New Roman" w:cs="Times New Roman" w:eastAsia="Times New Roman" w:hAnsi="Times New Roman"/>
          <w:sz w:val="14"/>
          <w:szCs w:val="14"/>
          <w:color w:val="auto"/>
        </w:rPr>
        <w:t>the terms and conditions, if any, upon which the Company shall pay amounts in addition to the stated interest, premium, if any and principal amounts of the Securities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series to any Securityholder that is not a “United States person” for federal tax purposes;</w:t>
      </w:r>
    </w:p>
    <w:p>
      <w:pPr>
        <w:spacing w:after="0" w:line="1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(26)          </w:t>
      </w:r>
      <w:r>
        <w:rPr>
          <w:rFonts w:ascii="Times New Roman" w:cs="Times New Roman" w:eastAsia="Times New Roman" w:hAnsi="Times New Roman"/>
          <w:sz w:val="14"/>
          <w:szCs w:val="14"/>
          <w:color w:val="auto"/>
        </w:rPr>
        <w:t>any restrictions on transfer, sale or assignment of the Securities of the series; and</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96" w:name="page97"/>
    <w:bookmarkEnd w:id="96"/>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(27)          </w:t>
      </w:r>
      <w:r>
        <w:rPr>
          <w:rFonts w:ascii="Times New Roman" w:cs="Times New Roman" w:eastAsia="Times New Roman" w:hAnsi="Times New Roman"/>
          <w:sz w:val="14"/>
          <w:szCs w:val="14"/>
          <w:color w:val="auto"/>
        </w:rPr>
        <w:t>any other specific terms, preferences, rights or limitations of, or restrictions on, the Securities, any other additions or changes in the provisions of this Indenture, and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terms that may be required by us or advisable under applicable laws or regulations.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Securities of any one series shall be substantially identical except as may otherwise be provided in or pursuant to any such Board Resolution or in any indentures supplemental hereto.</w:t>
      </w:r>
    </w:p>
    <w:p>
      <w:pPr>
        <w:spacing w:after="0" w:line="168"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35"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2.02         Form of Securities and Trustee’s Certificate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77" w:lineRule="auto"/>
        <w:rPr>
          <w:sz w:val="20"/>
          <w:szCs w:val="20"/>
          <w:color w:val="auto"/>
        </w:rPr>
      </w:pPr>
      <w:r>
        <w:rPr>
          <w:rFonts w:ascii="Times New Roman" w:cs="Times New Roman" w:eastAsia="Times New Roman" w:hAnsi="Times New Roman"/>
          <w:sz w:val="13"/>
          <w:szCs w:val="13"/>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2.03         Denominations: Provisions for Payment</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47"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97" w:name="page98"/>
    <w:bookmarkEnd w:id="97"/>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38" w:lineRule="exact"/>
        <w:rPr>
          <w:sz w:val="20"/>
          <w:szCs w:val="20"/>
          <w:color w:val="auto"/>
        </w:rPr>
      </w:pPr>
    </w:p>
    <w:p>
      <w:pPr>
        <w:jc w:val="both"/>
        <w:ind w:firstLine="1478"/>
        <w:spacing w:after="0" w:line="248" w:lineRule="auto"/>
        <w:rPr>
          <w:sz w:val="20"/>
          <w:szCs w:val="20"/>
          <w:color w:val="auto"/>
        </w:rPr>
      </w:pPr>
      <w:r>
        <w:rPr>
          <w:rFonts w:ascii="Times New Roman" w:cs="Times New Roman" w:eastAsia="Times New Roman" w:hAnsi="Times New Roman"/>
          <w:sz w:val="14"/>
          <w:szCs w:val="14"/>
          <w:b w:val="1"/>
          <w:bCs w:val="1"/>
          <w:color w:val="auto"/>
        </w:rPr>
        <w:t>(1)            </w:t>
      </w:r>
      <w:r>
        <w:rPr>
          <w:rFonts w:ascii="Times New Roman" w:cs="Times New Roman" w:eastAsia="Times New Roman" w:hAnsi="Times New Roman"/>
          <w:sz w:val="14"/>
          <w:szCs w:val="14"/>
          <w:color w:val="auto"/>
        </w:rPr>
        <w:t>The Company may make payment of any Defaulted Interest on Securities to the Persons in whose names such Securities (or their respective Predecessor Securities)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spacing w:after="0" w:line="144" w:lineRule="exact"/>
        <w:rPr>
          <w:sz w:val="20"/>
          <w:szCs w:val="20"/>
          <w:color w:val="auto"/>
        </w:rPr>
      </w:pPr>
    </w:p>
    <w:p>
      <w:pPr>
        <w:jc w:val="both"/>
        <w:ind w:firstLine="1478"/>
        <w:spacing w:after="0" w:line="259" w:lineRule="auto"/>
        <w:rPr>
          <w:sz w:val="20"/>
          <w:szCs w:val="20"/>
          <w:color w:val="auto"/>
        </w:rPr>
      </w:pPr>
      <w:r>
        <w:rPr>
          <w:rFonts w:ascii="Times New Roman" w:cs="Times New Roman" w:eastAsia="Times New Roman" w:hAnsi="Times New Roman"/>
          <w:sz w:val="14"/>
          <w:szCs w:val="14"/>
          <w:b w:val="1"/>
          <w:bCs w:val="1"/>
          <w:color w:val="auto"/>
        </w:rPr>
        <w:t>(2)            </w:t>
      </w:r>
      <w:r>
        <w:rPr>
          <w:rFonts w:ascii="Times New Roman" w:cs="Times New Roman" w:eastAsia="Times New Roman" w:hAnsi="Times New Roman"/>
          <w:sz w:val="14"/>
          <w:szCs w:val="14"/>
          <w:color w:val="auto"/>
        </w:rPr>
        <w:t>The Company may make payment of any Defaulted Interest on any Securities in any other lawful manner not inconsistent with the requirements of any securities exchange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0" w:lineRule="exact"/>
        <w:rPr>
          <w:sz w:val="20"/>
          <w:szCs w:val="20"/>
          <w:color w:val="auto"/>
        </w:rPr>
      </w:pPr>
    </w:p>
    <w:p>
      <w:pPr>
        <w:jc w:val="both"/>
        <w:ind w:firstLine="493"/>
        <w:spacing w:after="0" w:line="277" w:lineRule="auto"/>
        <w:rPr>
          <w:sz w:val="20"/>
          <w:szCs w:val="20"/>
          <w:color w:val="auto"/>
        </w:rPr>
      </w:pPr>
      <w:r>
        <w:rPr>
          <w:rFonts w:ascii="Times New Roman" w:cs="Times New Roman" w:eastAsia="Times New Roman" w:hAnsi="Times New Roman"/>
          <w:sz w:val="13"/>
          <w:szCs w:val="13"/>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98" w:name="page99"/>
    <w:bookmarkEnd w:id="98"/>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2.04         Execution and Authentications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Securities shall be signed on behalf of the Company by one of its Officers. Signatures may be in the form of a manual or facsimile signature.</w:t>
      </w:r>
    </w:p>
    <w:p>
      <w:pPr>
        <w:spacing w:after="0" w:line="168"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42"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45"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spacing w:after="0" w:line="14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2.05         Registration of Transfer and Exchange</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Securities of any series may be exchanged upon presentation thereof at the office or agency of the Company designated for such purpose, for other Securities of such series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99" w:name="page100"/>
    <w:bookmarkEnd w:id="99"/>
    <w:p>
      <w:pPr>
        <w:jc w:val="both"/>
        <w:ind w:firstLine="986"/>
        <w:spacing w:after="0" w:line="254"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Company shall keep, or cause to be kept, at its office or agency designated for such purpose a register or registers (herein referred to as the “Security Register”) in which, subject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spacing w:after="0" w:line="144"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Company initially appoints the Trustee as Security Registrar for each series of Securities.</w:t>
      </w:r>
    </w:p>
    <w:p>
      <w:pPr>
        <w:spacing w:after="0" w:line="168" w:lineRule="exact"/>
        <w:rPr>
          <w:sz w:val="20"/>
          <w:szCs w:val="20"/>
          <w:color w:val="auto"/>
        </w:rPr>
      </w:pPr>
    </w:p>
    <w:p>
      <w:pPr>
        <w:jc w:val="both"/>
        <w:ind w:firstLine="493"/>
        <w:spacing w:after="0" w:line="306" w:lineRule="auto"/>
        <w:rPr>
          <w:sz w:val="20"/>
          <w:szCs w:val="20"/>
          <w:color w:val="auto"/>
        </w:rPr>
      </w:pPr>
      <w:r>
        <w:rPr>
          <w:rFonts w:ascii="Times New Roman" w:cs="Times New Roman" w:eastAsia="Times New Roman" w:hAnsi="Times New Roman"/>
          <w:sz w:val="13"/>
          <w:szCs w:val="13"/>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08"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Except as provided pursuant to Section 2.01 pursuant to a Board Resolution, and set forth in an Officer’s Certificate, or established in one or more indentures supplemental to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spacing w:after="0" w:line="140" w:lineRule="exact"/>
        <w:rPr>
          <w:sz w:val="20"/>
          <w:szCs w:val="20"/>
          <w:color w:val="auto"/>
        </w:rPr>
      </w:pPr>
    </w:p>
    <w:p>
      <w:pPr>
        <w:jc w:val="both"/>
        <w:ind w:firstLine="986"/>
        <w:spacing w:after="0" w:line="280" w:lineRule="auto"/>
        <w:rPr>
          <w:sz w:val="20"/>
          <w:szCs w:val="20"/>
          <w:color w:val="auto"/>
        </w:rPr>
      </w:pPr>
      <w:r>
        <w:rPr>
          <w:rFonts w:ascii="Times New Roman" w:cs="Times New Roman" w:eastAsia="Times New Roman" w:hAnsi="Times New Roman"/>
          <w:sz w:val="13"/>
          <w:szCs w:val="13"/>
          <w:b w:val="1"/>
          <w:bCs w:val="1"/>
          <w:color w:val="auto"/>
        </w:rPr>
        <w:t>(d)           </w:t>
      </w:r>
      <w:r>
        <w:rPr>
          <w:rFonts w:ascii="Times New Roman" w:cs="Times New Roman" w:eastAsia="Times New Roman" w:hAnsi="Times New Roman"/>
          <w:sz w:val="13"/>
          <w:szCs w:val="13"/>
          <w:color w:val="auto"/>
        </w:rPr>
        <w:t>The Company and the Security Registrar shall not be required (i) to issue, exchange or register the transfer of any Securities during a period beginning at the opening of business 15</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spacing w:after="0" w:line="128"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00" w:name="page101"/>
    <w:bookmarkEnd w:id="100"/>
    <w:p>
      <w:pPr>
        <w:ind w:left="500"/>
        <w:spacing w:after="0"/>
        <w:rPr>
          <w:sz w:val="20"/>
          <w:szCs w:val="20"/>
          <w:color w:val="auto"/>
        </w:rPr>
      </w:pPr>
      <w:r>
        <w:rPr>
          <w:rFonts w:ascii="Times New Roman" w:cs="Times New Roman" w:eastAsia="Times New Roman" w:hAnsi="Times New Roman"/>
          <w:sz w:val="14"/>
          <w:szCs w:val="14"/>
          <w:b w:val="1"/>
          <w:bCs w:val="1"/>
          <w:color w:val="auto"/>
        </w:rPr>
        <w:t>Section 2.06         Temporary Securities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9" w:lineRule="auto"/>
        <w:rPr>
          <w:sz w:val="20"/>
          <w:szCs w:val="20"/>
          <w:color w:val="auto"/>
        </w:rPr>
      </w:pPr>
      <w:r>
        <w:rPr>
          <w:rFonts w:ascii="Times New Roman" w:cs="Times New Roman" w:eastAsia="Times New Roman" w:hAnsi="Times New Roman"/>
          <w:sz w:val="13"/>
          <w:szCs w:val="13"/>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2.07         Mutilated, Destroyed, Lost or Stolen Securities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48" w:lineRule="auto"/>
        <w:rPr>
          <w:sz w:val="20"/>
          <w:szCs w:val="20"/>
          <w:color w:val="auto"/>
        </w:rPr>
      </w:pPr>
      <w:r>
        <w:rPr>
          <w:rFonts w:ascii="Times New Roman" w:cs="Times New Roman" w:eastAsia="Times New Roman" w:hAnsi="Times New Roman"/>
          <w:sz w:val="14"/>
          <w:szCs w:val="14"/>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50"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01" w:name="page102"/>
    <w:bookmarkEnd w:id="101"/>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2.08         Cancellation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4"/>
          <w:szCs w:val="14"/>
          <w:color w:val="auto"/>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2.09         Benefits of Indenture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2.10         Authenticating Agent</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48" w:lineRule="auto"/>
        <w:rPr>
          <w:sz w:val="20"/>
          <w:szCs w:val="20"/>
          <w:color w:val="auto"/>
        </w:rPr>
      </w:pPr>
      <w:r>
        <w:rPr>
          <w:rFonts w:ascii="Times New Roman" w:cs="Times New Roman" w:eastAsia="Times New Roman" w:hAnsi="Times New Roman"/>
          <w:sz w:val="14"/>
          <w:szCs w:val="14"/>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02" w:name="page103"/>
    <w:bookmarkEnd w:id="102"/>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2.11         Global Securities</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51"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If the Company shall establish pursuant to Section 2.01 that the Securities of a particular series are to be issued as a Global Security, then the Company shall execute and the Trustee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44"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Notwithstanding the provisions of Section 2.05, the Global Security of a series may be transferred, in whole but not in part and in the manner provided in Section 2.05, only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another nominee of the Depositary for such series, or to a successor Depositary for such series selected or approved by the Company or to a nominee of such successor Depositary.</w:t>
      </w:r>
    </w:p>
    <w:p>
      <w:pPr>
        <w:spacing w:after="0" w:line="127" w:lineRule="exact"/>
        <w:rPr>
          <w:sz w:val="20"/>
          <w:szCs w:val="20"/>
          <w:color w:val="auto"/>
        </w:rPr>
      </w:pPr>
    </w:p>
    <w:p>
      <w:pPr>
        <w:jc w:val="both"/>
        <w:ind w:firstLine="986"/>
        <w:spacing w:after="0" w:line="268" w:lineRule="auto"/>
        <w:rPr>
          <w:sz w:val="20"/>
          <w:szCs w:val="20"/>
          <w:color w:val="auto"/>
        </w:rPr>
      </w:pPr>
      <w:r>
        <w:rPr>
          <w:rFonts w:ascii="Times New Roman" w:cs="Times New Roman" w:eastAsia="Times New Roman" w:hAnsi="Times New Roman"/>
          <w:sz w:val="13"/>
          <w:szCs w:val="13"/>
          <w:b w:val="1"/>
          <w:bCs w:val="1"/>
          <w:color w:val="auto"/>
        </w:rPr>
        <w:t>(c)            </w:t>
      </w:r>
      <w:r>
        <w:rPr>
          <w:rFonts w:ascii="Times New Roman" w:cs="Times New Roman" w:eastAsia="Times New Roman" w:hAnsi="Times New Roman"/>
          <w:sz w:val="13"/>
          <w:szCs w:val="13"/>
          <w:color w:val="auto"/>
        </w:rPr>
        <w:t>If at any time the Depositary for a series of the Securities notifies the Company that it is unwilling or unable to continue as Depositary for such series or if at any time the Depositary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03" w:name="page104"/>
    <w:bookmarkEnd w:id="103"/>
    <w:p>
      <w:pPr>
        <w:ind w:left="500"/>
        <w:spacing w:after="0"/>
        <w:rPr>
          <w:sz w:val="20"/>
          <w:szCs w:val="20"/>
          <w:color w:val="auto"/>
        </w:rPr>
      </w:pPr>
      <w:r>
        <w:rPr>
          <w:rFonts w:ascii="Times New Roman" w:cs="Times New Roman" w:eastAsia="Times New Roman" w:hAnsi="Times New Roman"/>
          <w:sz w:val="14"/>
          <w:szCs w:val="14"/>
          <w:b w:val="1"/>
          <w:bCs w:val="1"/>
          <w:color w:val="auto"/>
        </w:rPr>
        <w:t>Section 2.12         CUSIP Numbers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3</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 OF SECURITIES AND SINKING FUND PROVISIONS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3.01         Redemption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Company may redeem the Securities of any series issued hereunder on and after the dates and in accordance with the terms established for such series pursuant to Section 2.01 hereof.</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3.02         Notice of Redemption</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48"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In case the Company shall desire to exercise such right to redeem all or, as the case may be, a portion of the Securities of any series in accordance with any right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04" w:name="page105"/>
    <w:bookmarkEnd w:id="104"/>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47"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31" w:lineRule="exact"/>
        <w:rPr>
          <w:sz w:val="20"/>
          <w:szCs w:val="20"/>
          <w:color w:val="auto"/>
        </w:rPr>
      </w:pPr>
    </w:p>
    <w:p>
      <w:pPr>
        <w:jc w:val="both"/>
        <w:ind w:firstLine="986"/>
        <w:spacing w:after="0" w:line="248"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If less than all the Securities of a series are to be redeemed, the Company shall give the Trustee at least 45 days’ notice (unless a shorter notice shall be satisfactory to the Trustee)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05" w:name="page106"/>
    <w:bookmarkEnd w:id="105"/>
    <w:p>
      <w:pPr>
        <w:ind w:left="500"/>
        <w:spacing w:after="0"/>
        <w:rPr>
          <w:sz w:val="20"/>
          <w:szCs w:val="20"/>
          <w:color w:val="auto"/>
        </w:rPr>
      </w:pPr>
      <w:r>
        <w:rPr>
          <w:rFonts w:ascii="Times New Roman" w:cs="Times New Roman" w:eastAsia="Times New Roman" w:hAnsi="Times New Roman"/>
          <w:sz w:val="14"/>
          <w:szCs w:val="14"/>
          <w:b w:val="1"/>
          <w:bCs w:val="1"/>
          <w:color w:val="auto"/>
        </w:rPr>
        <w:t>Section 3.03         Payment Upon Redemption</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3"/>
          <w:szCs w:val="13"/>
          <w:b w:val="1"/>
          <w:bCs w:val="1"/>
          <w:color w:val="auto"/>
        </w:rPr>
        <w:t>(a)           </w:t>
      </w:r>
      <w:r>
        <w:rPr>
          <w:rFonts w:ascii="Times New Roman" w:cs="Times New Roman" w:eastAsia="Times New Roman" w:hAnsi="Times New Roman"/>
          <w:sz w:val="13"/>
          <w:szCs w:val="13"/>
          <w:color w:val="auto"/>
        </w:rPr>
        <w:t>If the giving of notice of redemption shall have been completed as above provided, the Securities or portions of Securities of the series to be redeemed specified in such notice shall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b w:val="1"/>
          <w:bCs w:val="1"/>
          <w:color w:val="auto"/>
        </w:rPr>
        <w:t>(b)            </w:t>
      </w:r>
      <w:r>
        <w:rPr>
          <w:rFonts w:ascii="Times New Roman" w:cs="Times New Roman" w:eastAsia="Times New Roman" w:hAnsi="Times New Roman"/>
          <w:sz w:val="13"/>
          <w:szCs w:val="13"/>
          <w:color w:val="auto"/>
        </w:rPr>
        <w:t>Upon presentation of any Security of such series that is to be redeemed in part only, the Company shall execute and the Trustee shall authenticate and the office or agency where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Security is presented shall deliver to the Securityholder thereof, at the expense of the Company, a new Security of the same series of authorized denominations in principal amount equal to the unredeemed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portion of the Security so presented.</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w:t>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3.04         Sinking Fund</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35"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3.05         Satisfaction of Sinking Fund Payments with Securities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06" w:name="page107"/>
    <w:bookmarkEnd w:id="106"/>
    <w:p>
      <w:pPr>
        <w:ind w:left="500"/>
        <w:spacing w:after="0"/>
        <w:rPr>
          <w:sz w:val="20"/>
          <w:szCs w:val="20"/>
          <w:color w:val="auto"/>
        </w:rPr>
      </w:pPr>
      <w:r>
        <w:rPr>
          <w:rFonts w:ascii="Times New Roman" w:cs="Times New Roman" w:eastAsia="Times New Roman" w:hAnsi="Times New Roman"/>
          <w:sz w:val="14"/>
          <w:szCs w:val="14"/>
          <w:b w:val="1"/>
          <w:bCs w:val="1"/>
          <w:color w:val="auto"/>
        </w:rPr>
        <w:t>Section 3.06         Redemption of Securities for Sinking Fund</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4"/>
          <w:szCs w:val="14"/>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4.01         Payment of Principal, Premium and Interest</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72" w:lineRule="auto"/>
        <w:rPr>
          <w:sz w:val="20"/>
          <w:szCs w:val="20"/>
          <w:color w:val="auto"/>
        </w:rPr>
      </w:pPr>
      <w:r>
        <w:rPr>
          <w:rFonts w:ascii="Times New Roman" w:cs="Times New Roman" w:eastAsia="Times New Roman" w:hAnsi="Times New Roman"/>
          <w:sz w:val="13"/>
          <w:szCs w:val="13"/>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4.02         Maintenance of Office or Agency</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48" w:lineRule="auto"/>
        <w:rPr>
          <w:sz w:val="20"/>
          <w:szCs w:val="20"/>
          <w:color w:val="auto"/>
        </w:rPr>
      </w:pPr>
      <w:r>
        <w:rPr>
          <w:rFonts w:ascii="Times New Roman" w:cs="Times New Roman" w:eastAsia="Times New Roman" w:hAnsi="Times New Roman"/>
          <w:sz w:val="14"/>
          <w:szCs w:val="14"/>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07" w:name="page108"/>
    <w:bookmarkEnd w:id="107"/>
    <w:p>
      <w:pPr>
        <w:ind w:left="500"/>
        <w:spacing w:after="0"/>
        <w:rPr>
          <w:sz w:val="20"/>
          <w:szCs w:val="20"/>
          <w:color w:val="auto"/>
        </w:rPr>
      </w:pPr>
      <w:r>
        <w:rPr>
          <w:rFonts w:ascii="Times New Roman" w:cs="Times New Roman" w:eastAsia="Times New Roman" w:hAnsi="Times New Roman"/>
          <w:sz w:val="14"/>
          <w:szCs w:val="14"/>
          <w:b w:val="1"/>
          <w:bCs w:val="1"/>
          <w:color w:val="auto"/>
        </w:rPr>
        <w:t>Section 4.03         Paying Agents</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If the Company shall appoint one or more paying agents for all or any series of the Securities, other than the Trustee, the Company will cause each such paying agent to execute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deliver to the Trustee an instrument in which such agent shall agree with the Trustee, subject to the provisions of this Section:</w:t>
      </w:r>
    </w:p>
    <w:p>
      <w:pPr>
        <w:spacing w:after="0" w:line="127"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(1)            </w:t>
      </w:r>
      <w:r>
        <w:rPr>
          <w:rFonts w:ascii="Times New Roman" w:cs="Times New Roman" w:eastAsia="Times New Roman" w:hAnsi="Times New Roman"/>
          <w:sz w:val="14"/>
          <w:szCs w:val="14"/>
          <w:color w:val="auto"/>
        </w:rPr>
        <w:t>that it will hold all sums held by it as such agent for the payment of the principal of (and premium, if any) or interest on the Securities of that series (whether such sums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been paid to it by the Company or by any other obligor of such Securities) in trust for the benefit of the Persons entitled thereto;</w:t>
      </w:r>
    </w:p>
    <w:p>
      <w:pPr>
        <w:spacing w:after="0" w:line="127"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(2)            </w:t>
      </w:r>
      <w:r>
        <w:rPr>
          <w:rFonts w:ascii="Times New Roman" w:cs="Times New Roman" w:eastAsia="Times New Roman" w:hAnsi="Times New Roman"/>
          <w:sz w:val="14"/>
          <w:szCs w:val="14"/>
          <w:color w:val="auto"/>
        </w:rPr>
        <w:t>that it will give the Trustee notice of any failure by the Company (or by any other obligor of such Securities) to make any payment of the principal of (and premium, if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interest on the Securities of that series when the same shall be due and payable;</w:t>
      </w:r>
    </w:p>
    <w:p>
      <w:pPr>
        <w:spacing w:after="0" w:line="127"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(3)            </w:t>
      </w:r>
      <w:r>
        <w:rPr>
          <w:rFonts w:ascii="Times New Roman" w:cs="Times New Roman" w:eastAsia="Times New Roman" w:hAnsi="Times New Roman"/>
          <w:sz w:val="14"/>
          <w:szCs w:val="14"/>
          <w:color w:val="auto"/>
        </w:rPr>
        <w:t>that it will, at any time during the continuance of any failure referred to in the preceding paragraph (a)(2) above, upon the written request of the Trustee, forthwith pay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Trustee all sums so held in trust by such paying agent; and</w:t>
      </w:r>
    </w:p>
    <w:p>
      <w:pPr>
        <w:spacing w:after="0" w:line="1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(4)            </w:t>
      </w:r>
      <w:r>
        <w:rPr>
          <w:rFonts w:ascii="Times New Roman" w:cs="Times New Roman" w:eastAsia="Times New Roman" w:hAnsi="Times New Roman"/>
          <w:sz w:val="14"/>
          <w:szCs w:val="14"/>
          <w:color w:val="auto"/>
        </w:rPr>
        <w:t>that it will perform all other duties of paying agent as set forth in this Indenture.</w:t>
      </w:r>
    </w:p>
    <w:p>
      <w:pPr>
        <w:spacing w:after="0" w:line="168"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3"/>
          <w:szCs w:val="13"/>
          <w:b w:val="1"/>
          <w:bCs w:val="1"/>
          <w:color w:val="auto"/>
        </w:rPr>
        <w:t>(b)           </w:t>
      </w:r>
      <w:r>
        <w:rPr>
          <w:rFonts w:ascii="Times New Roman" w:cs="Times New Roman" w:eastAsia="Times New Roman" w:hAnsi="Times New Roman"/>
          <w:sz w:val="13"/>
          <w:szCs w:val="13"/>
          <w:color w:val="auto"/>
        </w:rPr>
        <w:t>If the Company shall act as its own paying agent with respect to any series of the Securities, it will on or before each due date of the principal of (and premium, if any) or interest 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08" w:name="page109"/>
    <w:bookmarkEnd w:id="108"/>
    <w:p>
      <w:pPr>
        <w:jc w:val="both"/>
        <w:ind w:firstLine="986"/>
        <w:spacing w:after="0" w:line="254"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Notwithstanding anything in this Section to the contrary, (i) the agreement to hold sums in trust as provided in this Section is subject to the provisions of Section 11.05, and (ii)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4.04         Appointment to Fill Vacancy in Office of Trustee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The Company, whenever necessary to avoid or fill a vacancy in the office of Trustee, will appoint, in the manner provided in Section 7.10, a Trustee, so that there shall at all times be a Trustee hereunder.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5</w:t>
      </w:r>
    </w:p>
    <w:p>
      <w:pPr>
        <w:spacing w:after="0" w:line="16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SECURITYHOLDERS’ LISTS AND REPORTS BY THE COMPANY AND THE TRUSTEE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5.01         Company to Furnish Trustee Names and Addresses of Securityholders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5.02         Preservation Of Information; Communications With Securityholders</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Trustee shall preserve, in as current a form as is reasonably practicable, all information as to the names and addresses of the holders of Securities contained in the most recent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list furnished to it as provided in Section 5.01 and as to the names and addresses of holders of Securities received by the Trustee in its capacity as Security Registrar (if acting in such capacity).</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09" w:name="page110"/>
    <w:bookmarkEnd w:id="109"/>
    <w:p>
      <w:pPr>
        <w:ind w:left="98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Trustee may destroy any list furnished to it as provided in Section 5.01 upon receipt of a new list so furnished.</w:t>
      </w:r>
    </w:p>
    <w:p>
      <w:pPr>
        <w:spacing w:after="0" w:line="168" w:lineRule="exact"/>
        <w:rPr>
          <w:sz w:val="20"/>
          <w:szCs w:val="20"/>
          <w:color w:val="auto"/>
        </w:rPr>
      </w:pPr>
    </w:p>
    <w:p>
      <w:pPr>
        <w:jc w:val="both"/>
        <w:ind w:firstLine="986"/>
        <w:spacing w:after="0" w:line="259"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Securityholders may communicate as provided in Section 312(b) of the Trust Indenture Act with other Securityholders with respect to their rights under this Indenture or under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and, in connection with any such communications, the Trustee shall satisfy its obligations under Section 312(b) of the Trust Indenture Act in accordance with the provisions of Section 312(b) of the Trust Indenture Act.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5.03       Reports by the Company</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48"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Company will at all times comply with Section 314(a) of the Trust Indenture Act. The Company covenants and agrees to provide (which delivery may be via electronic mail)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spacing w:after="0" w:line="148" w:lineRule="exact"/>
        <w:rPr>
          <w:sz w:val="20"/>
          <w:szCs w:val="20"/>
          <w:color w:val="auto"/>
        </w:rPr>
      </w:pPr>
    </w:p>
    <w:p>
      <w:pPr>
        <w:jc w:val="both"/>
        <w:ind w:firstLine="986"/>
        <w:spacing w:after="0" w:line="275" w:lineRule="auto"/>
        <w:rPr>
          <w:sz w:val="20"/>
          <w:szCs w:val="20"/>
          <w:color w:val="auto"/>
        </w:rPr>
      </w:pPr>
      <w:r>
        <w:rPr>
          <w:rFonts w:ascii="Times New Roman" w:cs="Times New Roman" w:eastAsia="Times New Roman" w:hAnsi="Times New Roman"/>
          <w:sz w:val="13"/>
          <w:szCs w:val="13"/>
          <w:b w:val="1"/>
          <w:bCs w:val="1"/>
          <w:color w:val="auto"/>
        </w:rPr>
        <w:t>(b)            </w:t>
      </w:r>
      <w:r>
        <w:rPr>
          <w:rFonts w:ascii="Times New Roman" w:cs="Times New Roman" w:eastAsia="Times New Roman" w:hAnsi="Times New Roman"/>
          <w:sz w:val="13"/>
          <w:szCs w:val="13"/>
          <w:color w:val="auto"/>
        </w:rPr>
        <w:t>Delivery of reports, information and documents to the Trustee under Section 5.03 is for informational purposes only and the information and the Trustee’s receipt of the foregoing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5.04       Reports by the Trustee</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If required by Section 313(a) of the Trust Indenture Act, the Trustee, within sixty (60) days after each May 1, shall send to the Securityholders a brief report dated as of such May 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complies with Section 313(a) of the Trust Indenture Act.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10" w:name="page111"/>
    <w:bookmarkEnd w:id="110"/>
    <w:p>
      <w:pPr>
        <w:ind w:left="98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Trustee shall comply with Section 313(b) and 313(c) of the Trust Indenture Act.</w:t>
      </w:r>
    </w:p>
    <w:p>
      <w:pPr>
        <w:spacing w:after="0" w:line="168"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A copy of each such report shall, at the time of such transmission to Securityholders, be filed by the Trustee with the Company, with each securities exchange upon which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Securities are listed (if so listed) and also with the Commission. The Company agrees to notify the Trustee when any Securities become listed on any securities exchange.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6</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REMEDIES OF THE TRUSTEE AND SECURITYHOLDERS ON EVENT OF DEFAULT</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6.01         Events of Default</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Whenever used herein with respect to Securities of a particular series, “Event of Default” means any one or more of the following events that has occurred and is continuing:</w:t>
      </w:r>
    </w:p>
    <w:p>
      <w:pPr>
        <w:spacing w:after="0" w:line="168" w:lineRule="exact"/>
        <w:rPr>
          <w:sz w:val="20"/>
          <w:szCs w:val="20"/>
          <w:color w:val="auto"/>
        </w:rPr>
      </w:pPr>
    </w:p>
    <w:p>
      <w:pPr>
        <w:jc w:val="both"/>
        <w:ind w:firstLine="1478"/>
        <w:spacing w:after="0" w:line="259" w:lineRule="auto"/>
        <w:rPr>
          <w:sz w:val="20"/>
          <w:szCs w:val="20"/>
          <w:color w:val="auto"/>
        </w:rPr>
      </w:pPr>
      <w:r>
        <w:rPr>
          <w:rFonts w:ascii="Times New Roman" w:cs="Times New Roman" w:eastAsia="Times New Roman" w:hAnsi="Times New Roman"/>
          <w:sz w:val="14"/>
          <w:szCs w:val="14"/>
          <w:b w:val="1"/>
          <w:bCs w:val="1"/>
          <w:color w:val="auto"/>
        </w:rPr>
        <w:t>(1)            </w:t>
      </w:r>
      <w:r>
        <w:rPr>
          <w:rFonts w:ascii="Times New Roman" w:cs="Times New Roman" w:eastAsia="Times New Roman" w:hAnsi="Times New Roman"/>
          <w:sz w:val="14"/>
          <w:szCs w:val="14"/>
          <w:color w:val="auto"/>
        </w:rPr>
        <w:t>the Company defaults in the payment of any installment of interest upon any of the Securities of that series, as and when the same shall become due and payable, and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36" w:lineRule="exact"/>
        <w:rPr>
          <w:sz w:val="20"/>
          <w:szCs w:val="20"/>
          <w:color w:val="auto"/>
        </w:rPr>
      </w:pPr>
    </w:p>
    <w:p>
      <w:pPr>
        <w:jc w:val="both"/>
        <w:ind w:firstLine="1478"/>
        <w:spacing w:after="0" w:line="259" w:lineRule="auto"/>
        <w:rPr>
          <w:sz w:val="20"/>
          <w:szCs w:val="20"/>
          <w:color w:val="auto"/>
        </w:rPr>
      </w:pPr>
      <w:r>
        <w:rPr>
          <w:rFonts w:ascii="Times New Roman" w:cs="Times New Roman" w:eastAsia="Times New Roman" w:hAnsi="Times New Roman"/>
          <w:sz w:val="14"/>
          <w:szCs w:val="14"/>
          <w:b w:val="1"/>
          <w:bCs w:val="1"/>
          <w:color w:val="auto"/>
        </w:rPr>
        <w:t>(2)            </w:t>
      </w:r>
      <w:r>
        <w:rPr>
          <w:rFonts w:ascii="Times New Roman" w:cs="Times New Roman" w:eastAsia="Times New Roman" w:hAnsi="Times New Roman"/>
          <w:sz w:val="14"/>
          <w:szCs w:val="14"/>
          <w:color w:val="auto"/>
        </w:rPr>
        <w:t>the Company defaults in the payment of the principal of (or premium, if any, on) any of the Securities of that series as and when the same shall become due and payable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36" w:lineRule="exact"/>
        <w:rPr>
          <w:sz w:val="20"/>
          <w:szCs w:val="20"/>
          <w:color w:val="auto"/>
        </w:rPr>
      </w:pPr>
    </w:p>
    <w:p>
      <w:pPr>
        <w:jc w:val="both"/>
        <w:ind w:firstLine="1478"/>
        <w:spacing w:after="0" w:line="251" w:lineRule="auto"/>
        <w:rPr>
          <w:sz w:val="20"/>
          <w:szCs w:val="20"/>
          <w:color w:val="auto"/>
        </w:rPr>
      </w:pPr>
      <w:r>
        <w:rPr>
          <w:rFonts w:ascii="Times New Roman" w:cs="Times New Roman" w:eastAsia="Times New Roman" w:hAnsi="Times New Roman"/>
          <w:sz w:val="14"/>
          <w:szCs w:val="14"/>
          <w:b w:val="1"/>
          <w:bCs w:val="1"/>
          <w:color w:val="auto"/>
        </w:rPr>
        <w:t>(3)            </w:t>
      </w:r>
      <w:r>
        <w:rPr>
          <w:rFonts w:ascii="Times New Roman" w:cs="Times New Roman" w:eastAsia="Times New Roman" w:hAnsi="Times New Roman"/>
          <w:sz w:val="14"/>
          <w:szCs w:val="14"/>
          <w:color w:val="auto"/>
        </w:rPr>
        <w:t>the Company fails to observe or perform any other of its covenants or agreements with respect to that series contained in this Indenture or otherwise established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44"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(4)            </w:t>
      </w:r>
      <w:r>
        <w:rPr>
          <w:rFonts w:ascii="Times New Roman" w:cs="Times New Roman" w:eastAsia="Times New Roman" w:hAnsi="Times New Roman"/>
          <w:sz w:val="14"/>
          <w:szCs w:val="14"/>
          <w:color w:val="auto"/>
        </w:rPr>
        <w:t>the Company pursuant to or within the meaning of any Bankruptcy Law (i) commences a voluntary case, (ii) consents to the entry of an order for relief against it in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involuntary case, (iii) consents to the appointment of a Custodian of it or for all or substantially all of its property or (iv) makes a general assignment for the benefit of its creditors; or</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11" w:name="page112"/>
    <w:bookmarkEnd w:id="111"/>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(5)            </w:t>
      </w:r>
      <w:r>
        <w:rPr>
          <w:rFonts w:ascii="Times New Roman" w:cs="Times New Roman" w:eastAsia="Times New Roman" w:hAnsi="Times New Roman"/>
          <w:sz w:val="14"/>
          <w:szCs w:val="14"/>
          <w:color w:val="auto"/>
        </w:rPr>
        <w:t>a court of competent jurisdiction enters an order under any Bankruptcy Law that (i) is for relief against the Company in an involuntary case, (ii) appoints a Custodian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for all or substantially all of its property or (iii) orders the liquidation of the Company, and the order or decree remains unstayed and in effect for 90 days.</w:t>
      </w:r>
    </w:p>
    <w:p>
      <w:pPr>
        <w:spacing w:after="0" w:line="127" w:lineRule="exact"/>
        <w:rPr>
          <w:sz w:val="20"/>
          <w:szCs w:val="20"/>
          <w:color w:val="auto"/>
        </w:rPr>
      </w:pPr>
    </w:p>
    <w:p>
      <w:pPr>
        <w:jc w:val="both"/>
        <w:ind w:firstLine="986"/>
        <w:spacing w:after="0" w:line="250"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In each and every such case (other than an Event of Default specified in clause (4) or clause (5) above), unless the principal of all the Securities of that series shall have already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44" w:lineRule="exact"/>
        <w:rPr>
          <w:sz w:val="20"/>
          <w:szCs w:val="20"/>
          <w:color w:val="auto"/>
        </w:rPr>
      </w:pPr>
    </w:p>
    <w:p>
      <w:pPr>
        <w:jc w:val="both"/>
        <w:ind w:firstLine="986"/>
        <w:spacing w:after="0" w:line="248"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At any time after the principal of (and premium, if any, on) and accrued and unpaid interest on the Securities of that series shall have been so declared due and payable, and before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 such rescission and annulment shall extend to or shall affect any subsequent default or impair any right consequent thereon.</w:t>
      </w:r>
    </w:p>
    <w:p>
      <w:pPr>
        <w:spacing w:after="0" w:line="164"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In case the Trustee shall have proceeded to enforce any right with respect to Securities of that series under this Indenture and such proceedings shall have been discontinued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12" w:name="page113"/>
    <w:bookmarkEnd w:id="112"/>
    <w:p>
      <w:pPr>
        <w:ind w:left="500"/>
        <w:spacing w:after="0"/>
        <w:rPr>
          <w:sz w:val="20"/>
          <w:szCs w:val="20"/>
          <w:color w:val="auto"/>
        </w:rPr>
      </w:pPr>
      <w:r>
        <w:rPr>
          <w:rFonts w:ascii="Times New Roman" w:cs="Times New Roman" w:eastAsia="Times New Roman" w:hAnsi="Times New Roman"/>
          <w:sz w:val="14"/>
          <w:szCs w:val="14"/>
          <w:b w:val="1"/>
          <w:bCs w:val="1"/>
          <w:color w:val="auto"/>
        </w:rPr>
        <w:t>Section 6.02         Collection of Indebtedness and Suits for Enforcement by Trustee</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49"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Company covenants that (i) in case it shall default in the payment of any installment of interest on any of the Securities of a series, or in any payment required by any sinking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45"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If the Company shall fail to pay such amounts forthwith upon such demand, the Trustee, in its own name and as trustee of an express trust, shall be entitled and empowered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40" w:lineRule="exact"/>
        <w:rPr>
          <w:sz w:val="20"/>
          <w:szCs w:val="20"/>
          <w:color w:val="auto"/>
        </w:rPr>
      </w:pPr>
    </w:p>
    <w:p>
      <w:pPr>
        <w:jc w:val="both"/>
        <w:ind w:firstLine="986"/>
        <w:spacing w:after="0" w:line="249"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In case of any receivership, insolvency, liquidation, bankruptcy, reorganization, readjustment, arrangement, composition or judicial proceedings affecting the Company, or 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45"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All rights of action and of asserting claims under this Indenture, or under any of the terms established with respect to Securities of that series, may be enforced by the Trustee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13" w:name="page114"/>
    <w:bookmarkEnd w:id="113"/>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42" w:lineRule="exact"/>
        <w:rPr>
          <w:sz w:val="20"/>
          <w:szCs w:val="20"/>
          <w:color w:val="auto"/>
        </w:rPr>
      </w:pPr>
    </w:p>
    <w:p>
      <w:pPr>
        <w:jc w:val="both"/>
        <w:ind w:firstLine="493"/>
        <w:spacing w:after="0" w:line="306" w:lineRule="auto"/>
        <w:rPr>
          <w:sz w:val="20"/>
          <w:szCs w:val="20"/>
          <w:color w:val="auto"/>
        </w:rPr>
      </w:pPr>
      <w:r>
        <w:rPr>
          <w:rFonts w:ascii="Times New Roman" w:cs="Times New Roman" w:eastAsia="Times New Roman" w:hAnsi="Times New Roman"/>
          <w:sz w:val="13"/>
          <w:szCs w:val="13"/>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6.03         Application of Moneys Collected</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FIRST: To the payment of costs and expenses of collection and of all amounts payable to the Trustee under Section 7.06;</w:t>
      </w:r>
    </w:p>
    <w:p>
      <w:pPr>
        <w:spacing w:after="0" w:line="168" w:lineRule="exact"/>
        <w:rPr>
          <w:sz w:val="20"/>
          <w:szCs w:val="20"/>
          <w:color w:val="auto"/>
        </w:rPr>
      </w:pPr>
    </w:p>
    <w:p>
      <w:pPr>
        <w:jc w:val="both"/>
        <w:ind w:firstLine="493"/>
        <w:spacing w:after="0" w:line="306" w:lineRule="auto"/>
        <w:rPr>
          <w:sz w:val="20"/>
          <w:szCs w:val="20"/>
          <w:color w:val="auto"/>
        </w:rPr>
      </w:pPr>
      <w:r>
        <w:rPr>
          <w:rFonts w:ascii="Times New Roman" w:cs="Times New Roman" w:eastAsia="Times New Roman" w:hAnsi="Times New Roman"/>
          <w:sz w:val="13"/>
          <w:szCs w:val="13"/>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THIRD: To the payment of the remainder, if any, to the Company or any other Person lawfully entitled thereto.</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6.04         Limitation on Suits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8" w:lineRule="auto"/>
        <w:rPr>
          <w:sz w:val="20"/>
          <w:szCs w:val="20"/>
          <w:color w:val="auto"/>
        </w:rPr>
      </w:pPr>
      <w:r>
        <w:rPr>
          <w:rFonts w:ascii="Times New Roman" w:cs="Times New Roman" w:eastAsia="Times New Roman" w:hAnsi="Times New Roman"/>
          <w:sz w:val="13"/>
          <w:szCs w:val="13"/>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w:t>
      </w:r>
    </w:p>
    <w:p>
      <w:pPr>
        <w:spacing w:after="0" w:line="1" w:lineRule="exact"/>
        <w:rPr>
          <w:sz w:val="20"/>
          <w:szCs w:val="20"/>
          <w:color w:val="auto"/>
        </w:rPr>
      </w:pPr>
    </w:p>
    <w:p>
      <w:pPr>
        <w:jc w:val="both"/>
        <w:ind w:firstLine="2"/>
        <w:spacing w:after="0" w:line="247" w:lineRule="auto"/>
        <w:tabs>
          <w:tab w:leader="none" w:pos="24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4" w:name="page115"/>
    <w:bookmarkEnd w:id="114"/>
    <w:p>
      <w:pPr>
        <w:jc w:val="both"/>
        <w:ind w:firstLine="493"/>
        <w:spacing w:after="0" w:line="248" w:lineRule="auto"/>
        <w:rPr>
          <w:sz w:val="20"/>
          <w:szCs w:val="20"/>
          <w:color w:val="auto"/>
        </w:rPr>
      </w:pPr>
      <w:r>
        <w:rPr>
          <w:rFonts w:ascii="Times New Roman" w:cs="Times New Roman" w:eastAsia="Times New Roman" w:hAnsi="Times New Roman"/>
          <w:sz w:val="14"/>
          <w:szCs w:val="14"/>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6.05         Rights and Remedies Cumulative; Delay or Omission Not Waiver</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59"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Except as otherwise provided in Section 2.07, all powers and remedies given by this Article to the Trustee or to the Securityholders shall, to the extent permitted by law, be deemed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36" w:lineRule="exact"/>
        <w:rPr>
          <w:sz w:val="20"/>
          <w:szCs w:val="20"/>
          <w:color w:val="auto"/>
        </w:rPr>
      </w:pPr>
    </w:p>
    <w:p>
      <w:pPr>
        <w:jc w:val="both"/>
        <w:ind w:firstLine="986"/>
        <w:spacing w:after="0" w:line="259"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No delay or omission of the Trustee or of any holder of any of the Securities to exercise any right or power accruing upon any Event of Default occurring and continuing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15" w:name="page116"/>
    <w:bookmarkEnd w:id="115"/>
    <w:p>
      <w:pPr>
        <w:ind w:left="500"/>
        <w:spacing w:after="0"/>
        <w:rPr>
          <w:sz w:val="20"/>
          <w:szCs w:val="20"/>
          <w:color w:val="auto"/>
        </w:rPr>
      </w:pPr>
      <w:r>
        <w:rPr>
          <w:rFonts w:ascii="Times New Roman" w:cs="Times New Roman" w:eastAsia="Times New Roman" w:hAnsi="Times New Roman"/>
          <w:sz w:val="14"/>
          <w:szCs w:val="14"/>
          <w:b w:val="1"/>
          <w:bCs w:val="1"/>
          <w:color w:val="auto"/>
        </w:rPr>
        <w:t>Section 6.06         Control by Securityholders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3"/>
          <w:szCs w:val="13"/>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6.07         Undertaking to Pay Costs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72" w:lineRule="auto"/>
        <w:rPr>
          <w:sz w:val="20"/>
          <w:szCs w:val="20"/>
          <w:color w:val="auto"/>
        </w:rPr>
      </w:pPr>
      <w:r>
        <w:rPr>
          <w:rFonts w:ascii="Times New Roman" w:cs="Times New Roman" w:eastAsia="Times New Roman" w:hAnsi="Times New Roman"/>
          <w:sz w:val="13"/>
          <w:szCs w:val="13"/>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4"/>
          <w:szCs w:val="14"/>
          <w:b w:val="1"/>
          <w:bCs w:val="1"/>
          <w:color w:val="auto"/>
        </w:rPr>
        <w:t>ARTICLE 7</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7.01         Certain Duties and Responsibilities of Trustee</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51"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Trustee, prior to the occurrence of an Event of Default with respect to the Securities of a series and after the curing of all Events of Default with respect to the Securities of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b w:val="1"/>
          <w:bCs w:val="1"/>
          <w:color w:val="auto"/>
        </w:rPr>
        <w:t>(b)           </w:t>
      </w:r>
      <w:r>
        <w:rPr>
          <w:rFonts w:ascii="Times New Roman" w:cs="Times New Roman" w:eastAsia="Times New Roman" w:hAnsi="Times New Roman"/>
          <w:sz w:val="13"/>
          <w:szCs w:val="13"/>
          <w:color w:val="auto"/>
        </w:rPr>
        <w:t>No provision of this Indenture shall be construed to relieve the Trustee from liability for its own negligent action, its own negligent failure to act, or its own willful misconduct,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that:</w:t>
      </w:r>
    </w:p>
    <w:p>
      <w:pPr>
        <w:spacing w:after="0" w:line="152"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(i)            </w:t>
      </w:r>
      <w:r>
        <w:rPr>
          <w:rFonts w:ascii="Times New Roman" w:cs="Times New Roman" w:eastAsia="Times New Roman" w:hAnsi="Times New Roman"/>
          <w:sz w:val="14"/>
          <w:szCs w:val="14"/>
          <w:color w:val="auto"/>
        </w:rPr>
        <w:t>prior to the occurrence of an Event of Default with respect to the Securities of a series and after the curing or waiving of all such Events of Default with respect to that series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have occurred:</w:t>
      </w:r>
    </w:p>
    <w:p>
      <w:pPr>
        <w:spacing w:after="0" w:line="127" w:lineRule="exact"/>
        <w:rPr>
          <w:sz w:val="20"/>
          <w:szCs w:val="20"/>
          <w:color w:val="auto"/>
        </w:rPr>
      </w:pPr>
    </w:p>
    <w:p>
      <w:pPr>
        <w:jc w:val="both"/>
        <w:ind w:firstLine="1478"/>
        <w:spacing w:after="0" w:line="259"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duties and obligations of the Trustee shall with respect to the Securities of such series be determined solely by the express provisions of this Indenture, and the Trustee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36" w:lineRule="exact"/>
        <w:rPr>
          <w:sz w:val="20"/>
          <w:szCs w:val="20"/>
          <w:color w:val="auto"/>
        </w:rPr>
      </w:pPr>
    </w:p>
    <w:p>
      <w:pPr>
        <w:jc w:val="both"/>
        <w:ind w:firstLine="1478"/>
        <w:spacing w:after="0" w:line="254"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in the absence of bad faith on the part of the Trustee, the Trustee may with respect to the Securities of such series conclusively rely, as to the truth of the statements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140"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(ii)          </w:t>
      </w:r>
      <w:r>
        <w:rPr>
          <w:rFonts w:ascii="Times New Roman" w:cs="Times New Roman" w:eastAsia="Times New Roman" w:hAnsi="Times New Roman"/>
          <w:sz w:val="14"/>
          <w:szCs w:val="14"/>
          <w:color w:val="auto"/>
        </w:rPr>
        <w:t>the Trustee shall not be liable to any Securityholder or to any other Person for any error of judgment made in good faith by a Responsible Officer or Responsible Officers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Trustee, unless it shall be proved that the Trustee was negligent in ascertaining the pertinent facts;</w:t>
      </w:r>
    </w:p>
    <w:p>
      <w:pPr>
        <w:spacing w:after="0" w:line="127" w:lineRule="exact"/>
        <w:rPr>
          <w:sz w:val="20"/>
          <w:szCs w:val="20"/>
          <w:color w:val="auto"/>
        </w:rPr>
      </w:pPr>
    </w:p>
    <w:p>
      <w:pPr>
        <w:jc w:val="both"/>
        <w:ind w:firstLine="986"/>
        <w:spacing w:after="0" w:line="259" w:lineRule="auto"/>
        <w:rPr>
          <w:sz w:val="20"/>
          <w:szCs w:val="20"/>
          <w:color w:val="auto"/>
        </w:rPr>
      </w:pPr>
      <w:r>
        <w:rPr>
          <w:rFonts w:ascii="Times New Roman" w:cs="Times New Roman" w:eastAsia="Times New Roman" w:hAnsi="Times New Roman"/>
          <w:sz w:val="14"/>
          <w:szCs w:val="14"/>
          <w:b w:val="1"/>
          <w:bCs w:val="1"/>
          <w:color w:val="auto"/>
        </w:rPr>
        <w:t>(iii)         </w:t>
      </w:r>
      <w:r>
        <w:rPr>
          <w:rFonts w:ascii="Times New Roman" w:cs="Times New Roman" w:eastAsia="Times New Roman" w:hAnsi="Times New Roman"/>
          <w:sz w:val="14"/>
          <w:szCs w:val="14"/>
          <w:color w:val="auto"/>
        </w:rPr>
        <w:t>the Trustee shall not be liable with respect to any action taken or omitted to be taken by it in good faith in accordance with the direction of the holders of not less than a majority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spacing w:after="0" w:line="136" w:lineRule="exact"/>
        <w:rPr>
          <w:sz w:val="20"/>
          <w:szCs w:val="20"/>
          <w:color w:val="auto"/>
        </w:rPr>
      </w:pPr>
    </w:p>
    <w:p>
      <w:pPr>
        <w:jc w:val="both"/>
        <w:ind w:firstLine="986"/>
        <w:spacing w:after="0" w:line="259" w:lineRule="auto"/>
        <w:rPr>
          <w:sz w:val="20"/>
          <w:szCs w:val="20"/>
          <w:color w:val="auto"/>
        </w:rPr>
      </w:pPr>
      <w:r>
        <w:rPr>
          <w:rFonts w:ascii="Times New Roman" w:cs="Times New Roman" w:eastAsia="Times New Roman" w:hAnsi="Times New Roman"/>
          <w:sz w:val="14"/>
          <w:szCs w:val="14"/>
          <w:b w:val="1"/>
          <w:bCs w:val="1"/>
          <w:color w:val="auto"/>
        </w:rPr>
        <w:t>(iv)          </w:t>
      </w:r>
      <w:r>
        <w:rPr>
          <w:rFonts w:ascii="Times New Roman" w:cs="Times New Roman" w:eastAsia="Times New Roman" w:hAnsi="Times New Roman"/>
          <w:sz w:val="14"/>
          <w:szCs w:val="14"/>
          <w:color w:val="auto"/>
        </w:rPr>
        <w:t>none of the provisions contained in this Indenture shall require the Trustee to expend or risk its own funds or otherwise incur personal financial liability in the performance of any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17" w:name="page118"/>
    <w:bookmarkEnd w:id="117"/>
    <w:p>
      <w:pPr>
        <w:ind w:left="980"/>
        <w:spacing w:after="0"/>
        <w:rPr>
          <w:sz w:val="20"/>
          <w:szCs w:val="20"/>
          <w:color w:val="auto"/>
        </w:rPr>
      </w:pPr>
      <w:r>
        <w:rPr>
          <w:rFonts w:ascii="Times New Roman" w:cs="Times New Roman" w:eastAsia="Times New Roman" w:hAnsi="Times New Roman"/>
          <w:sz w:val="14"/>
          <w:szCs w:val="14"/>
          <w:b w:val="1"/>
          <w:bCs w:val="1"/>
          <w:color w:val="auto"/>
        </w:rPr>
        <w:t>(v)           </w:t>
      </w:r>
      <w:r>
        <w:rPr>
          <w:rFonts w:ascii="Times New Roman" w:cs="Times New Roman" w:eastAsia="Times New Roman" w:hAnsi="Times New Roman"/>
          <w:sz w:val="14"/>
          <w:szCs w:val="14"/>
          <w:color w:val="auto"/>
        </w:rPr>
        <w:t>The Trustee shall not be required to give any bond or surety in respect of the performance of its powers or duties hereunder;</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(vi)          </w:t>
      </w:r>
      <w:r>
        <w:rPr>
          <w:rFonts w:ascii="Times New Roman" w:cs="Times New Roman" w:eastAsia="Times New Roman" w:hAnsi="Times New Roman"/>
          <w:sz w:val="14"/>
          <w:szCs w:val="14"/>
          <w:color w:val="auto"/>
        </w:rPr>
        <w:t>The permissive right of the Trustee to do things enumerated in this Indenture shall not be construed as a duty of the Trustee; and</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(vii)         </w:t>
      </w:r>
      <w:r>
        <w:rPr>
          <w:rFonts w:ascii="Times New Roman" w:cs="Times New Roman" w:eastAsia="Times New Roman" w:hAnsi="Times New Roman"/>
          <w:sz w:val="14"/>
          <w:szCs w:val="14"/>
          <w:color w:val="auto"/>
        </w:rPr>
        <w:t>No Trustee shall have any duty or responsibility for any act or omission of any other Trustee appointed with respect to a series of Securities hereunder.</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7.02          Certain Rights of Trustee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Except as otherwise provided in Section 7.01:</w:t>
      </w:r>
    </w:p>
    <w:p>
      <w:pPr>
        <w:spacing w:after="0" w:line="164"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Trustee may conclusively rely and shall be protected in acting or refraining from acting upon any resolution, certificate, statement, instrument, opinion, report, notice, request,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consent, order, approval, bond, security or other paper or document believed by it to be genuine and to have been signed or presented by the proper party or parties;</w:t>
      </w:r>
    </w:p>
    <w:p>
      <w:pPr>
        <w:spacing w:after="0" w:line="127"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Any request, direction, order or demand of the Company mentioned herein shall be sufficiently evidenced by a Board Resolution or an instrument signed in the name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by any authorized Officer of the Company (unless other evidence in respect thereof is specifically prescribed herein);</w:t>
      </w:r>
    </w:p>
    <w:p>
      <w:pPr>
        <w:spacing w:after="0" w:line="127"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The Trustee may consult with counsel and the opinion or written advice of such counsel or, if requested, any Opinion of Counsel shall be full and complete authorization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protection in respect of any action taken or suffered or omitted hereunder in good faith and in reliance thereon;</w:t>
      </w:r>
    </w:p>
    <w:p>
      <w:pPr>
        <w:spacing w:after="0" w:line="127" w:lineRule="exact"/>
        <w:rPr>
          <w:sz w:val="20"/>
          <w:szCs w:val="20"/>
          <w:color w:val="auto"/>
        </w:rPr>
      </w:pPr>
    </w:p>
    <w:p>
      <w:pPr>
        <w:jc w:val="both"/>
        <w:ind w:firstLine="986"/>
        <w:spacing w:after="0" w:line="251"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order or direction of any of the Securityholders pursuant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spacing w:after="0" w:line="144"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The Trustee shall not be liable for any action taken or omitted to be taken by it in good faith and believed by it to be authorized or within the discretion or rights or powers conferred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it by this Indenture;</w:t>
      </w:r>
    </w:p>
    <w:p>
      <w:pPr>
        <w:spacing w:after="0" w:line="127" w:lineRule="exact"/>
        <w:rPr>
          <w:sz w:val="20"/>
          <w:szCs w:val="20"/>
          <w:color w:val="auto"/>
        </w:rPr>
      </w:pPr>
    </w:p>
    <w:p>
      <w:pPr>
        <w:jc w:val="both"/>
        <w:ind w:firstLine="986"/>
        <w:spacing w:after="0" w:line="250" w:lineRule="auto"/>
        <w:rPr>
          <w:sz w:val="20"/>
          <w:szCs w:val="20"/>
          <w:color w:val="auto"/>
        </w:rPr>
      </w:pPr>
      <w:r>
        <w:rPr>
          <w:rFonts w:ascii="Times New Roman" w:cs="Times New Roman" w:eastAsia="Times New Roman" w:hAnsi="Times New Roman"/>
          <w:sz w:val="14"/>
          <w:szCs w:val="14"/>
          <w:b w:val="1"/>
          <w:bCs w:val="1"/>
          <w:color w:val="auto"/>
        </w:rPr>
        <w:t>(f)            </w:t>
      </w: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consent,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18" w:name="page119"/>
    <w:bookmarkEnd w:id="118"/>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(g)       </w:t>
      </w:r>
      <w:r>
        <w:rPr>
          <w:rFonts w:ascii="Times New Roman" w:cs="Times New Roman" w:eastAsia="Times New Roman" w:hAnsi="Times New Roman"/>
          <w:sz w:val="14"/>
          <w:szCs w:val="14"/>
          <w:color w:val="auto"/>
        </w:rPr>
        <w:t>       The Trustee may execute any of the trusts or powers hereunder or perform any duties hereunder either directly or by or through agents or attorneys and the Trustee shall not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responsible for any misconduct or negligence on the part of any agent or attorney appointed with due care by it hereunder;</w:t>
      </w:r>
    </w:p>
    <w:p>
      <w:pPr>
        <w:spacing w:after="0" w:line="127"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4"/>
          <w:szCs w:val="14"/>
          <w:b w:val="1"/>
          <w:bCs w:val="1"/>
          <w:color w:val="auto"/>
        </w:rPr>
        <w:t>(h)            </w:t>
      </w: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40"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(i)            </w:t>
      </w:r>
      <w:r>
        <w:rPr>
          <w:rFonts w:ascii="Times New Roman" w:cs="Times New Roman" w:eastAsia="Times New Roman" w:hAnsi="Times New Roman"/>
          <w:sz w:val="14"/>
          <w:szCs w:val="14"/>
          <w:color w:val="auto"/>
        </w:rPr>
        <w:t>In no event shall the Trustee be responsible or liable for special, indirect, punitive or consequential loss or damage of any kind whatsoever (including, but not limited to, loss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profit) irrespective of whether the Trustee has been advised of the likelihood of such loss or damage and regardless of the form of action; and</w:t>
      </w:r>
    </w:p>
    <w:p>
      <w:pPr>
        <w:spacing w:after="0" w:line="127" w:lineRule="exact"/>
        <w:rPr>
          <w:sz w:val="20"/>
          <w:szCs w:val="20"/>
          <w:color w:val="auto"/>
        </w:rPr>
      </w:pPr>
    </w:p>
    <w:p>
      <w:pPr>
        <w:jc w:val="both"/>
        <w:ind w:firstLine="986"/>
        <w:spacing w:after="0" w:line="248" w:lineRule="auto"/>
        <w:rPr>
          <w:sz w:val="20"/>
          <w:szCs w:val="20"/>
          <w:color w:val="auto"/>
        </w:rPr>
      </w:pPr>
      <w:r>
        <w:rPr>
          <w:rFonts w:ascii="Times New Roman" w:cs="Times New Roman" w:eastAsia="Times New Roman" w:hAnsi="Times New Roman"/>
          <w:sz w:val="14"/>
          <w:szCs w:val="14"/>
          <w:b w:val="1"/>
          <w:bCs w:val="1"/>
          <w:color w:val="auto"/>
        </w:rPr>
        <w:t>(j)            </w:t>
      </w:r>
      <w:r>
        <w:rPr>
          <w:rFonts w:ascii="Times New Roman" w:cs="Times New Roman" w:eastAsia="Times New Roman" w:hAnsi="Times New Roman"/>
          <w:sz w:val="14"/>
          <w:szCs w:val="14"/>
          <w:color w:val="auto"/>
        </w:rPr>
        <w:t>The Trustee agrees to accept and act upon instructions or directions pursuant to this Indenture sent by unsecured e-mail, facsimile transmission or other similar unsecured electronic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19" w:name="page120"/>
    <w:bookmarkEnd w:id="119"/>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(k)            </w:t>
      </w: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the Trustee in each of its capacities hereunder and under the Securities, and each agent, custodian or other person employed to act under this Indenture; and</w:t>
      </w:r>
    </w:p>
    <w:p>
      <w:pPr>
        <w:spacing w:after="0" w:line="127" w:lineRule="exact"/>
        <w:rPr>
          <w:sz w:val="20"/>
          <w:szCs w:val="20"/>
          <w:color w:val="auto"/>
        </w:rPr>
      </w:pPr>
    </w:p>
    <w:p>
      <w:pPr>
        <w:jc w:val="both"/>
        <w:ind w:firstLine="986"/>
        <w:spacing w:after="0" w:line="259" w:lineRule="auto"/>
        <w:rPr>
          <w:sz w:val="20"/>
          <w:szCs w:val="20"/>
          <w:color w:val="auto"/>
        </w:rPr>
      </w:pPr>
      <w:r>
        <w:rPr>
          <w:rFonts w:ascii="Times New Roman" w:cs="Times New Roman" w:eastAsia="Times New Roman" w:hAnsi="Times New Roman"/>
          <w:sz w:val="14"/>
          <w:szCs w:val="14"/>
          <w:b w:val="1"/>
          <w:bCs w:val="1"/>
          <w:color w:val="auto"/>
        </w:rPr>
        <w:t>(l)            </w:t>
      </w:r>
      <w:r>
        <w:rPr>
          <w:rFonts w:ascii="Times New Roman" w:cs="Times New Roman" w:eastAsia="Times New Roman" w:hAnsi="Times New Roman"/>
          <w:sz w:val="14"/>
          <w:szCs w:val="14"/>
          <w:color w:val="auto"/>
        </w:rPr>
        <w:t>The Trustee shall not be deemed to have knowledge of any Default or Event of Default (other than an Event of Default constituting the failure to pay the interest on, or the principal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7.03       Trustee Not Responsible for Recitals or Issuance or Securities</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59"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recitals contained herein and in the Securities shall be taken as the statements of the Company, and the Trustee assumes no responsibility for the correctness of the same.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spacing w:after="0" w:line="1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Trustee makes no representations as to the validity or sufficiency of this Indenture or of the Securities.</w:t>
      </w:r>
    </w:p>
    <w:p>
      <w:pPr>
        <w:spacing w:after="0" w:line="168" w:lineRule="exact"/>
        <w:rPr>
          <w:sz w:val="20"/>
          <w:szCs w:val="20"/>
          <w:color w:val="auto"/>
        </w:rPr>
      </w:pPr>
    </w:p>
    <w:p>
      <w:pPr>
        <w:jc w:val="both"/>
        <w:ind w:firstLine="986"/>
        <w:spacing w:after="0" w:line="259"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The Trustee shall not be accountable for the use or application by the Company of any of the Securities or of the proceeds of such Securities, or for the use or application of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moneys paid over by the Trustee in accordance with any provision of this Indenture or established pursuant to Section 2.01, or for the use or application of any moneys received by any paying agent other than the Trustee.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7.04         May Hold Securities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7.05         Moneys Held in Trust</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7.06         Compensation and Reimbursement</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59"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Company shall pay to the Trustee for each of its capacities hereunder from time to time compensation for its services as the Company and the Trustee shall from time to time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20" w:name="page121"/>
    <w:bookmarkEnd w:id="120"/>
    <w:p>
      <w:pPr>
        <w:jc w:val="both"/>
        <w:ind w:firstLine="986"/>
        <w:spacing w:after="0" w:line="251"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Company shall indemnify each of the Trustee in each of its capacities hereunder against any loss, liability or expense (including the cost of defending itself and including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44"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The Company need not reimburse any expense or indemnify against any loss or liability incurred by the Trustee or by any officer, director, employee, shareholder or agent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Trustee through negligence or bad faith.</w:t>
      </w:r>
    </w:p>
    <w:p>
      <w:pPr>
        <w:spacing w:after="0" w:line="127"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To ensure the Company’s payment obligations in this Section, the Trustee shall have a lien prior to the Securities on all funds or property held or collected by the Trustee, except that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7.07         Reliance on Officer’s Certificate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77" w:lineRule="auto"/>
        <w:rPr>
          <w:sz w:val="20"/>
          <w:szCs w:val="20"/>
          <w:color w:val="auto"/>
        </w:rPr>
      </w:pPr>
      <w:r>
        <w:rPr>
          <w:rFonts w:ascii="Times New Roman" w:cs="Times New Roman" w:eastAsia="Times New Roman" w:hAnsi="Times New Roman"/>
          <w:sz w:val="13"/>
          <w:szCs w:val="13"/>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7.08         Disqualification; Conflicting Interests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21" w:name="page122"/>
    <w:bookmarkEnd w:id="121"/>
    <w:p>
      <w:pPr>
        <w:ind w:left="500"/>
        <w:spacing w:after="0"/>
        <w:rPr>
          <w:sz w:val="20"/>
          <w:szCs w:val="20"/>
          <w:color w:val="auto"/>
        </w:rPr>
      </w:pPr>
      <w:r>
        <w:rPr>
          <w:rFonts w:ascii="Times New Roman" w:cs="Times New Roman" w:eastAsia="Times New Roman" w:hAnsi="Times New Roman"/>
          <w:sz w:val="14"/>
          <w:szCs w:val="14"/>
          <w:b w:val="1"/>
          <w:bCs w:val="1"/>
          <w:color w:val="auto"/>
        </w:rPr>
        <w:t>Section 7.09         Corporate Trustee Required; Eligibility</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84" w:lineRule="auto"/>
        <w:rPr>
          <w:sz w:val="20"/>
          <w:szCs w:val="20"/>
          <w:color w:val="auto"/>
        </w:rPr>
      </w:pPr>
      <w:r>
        <w:rPr>
          <w:rFonts w:ascii="Times New Roman" w:cs="Times New Roman" w:eastAsia="Times New Roman" w:hAnsi="Times New Roman"/>
          <w:sz w:val="13"/>
          <w:szCs w:val="13"/>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26"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7.10         Resignation and Removal; Appointment of Successor</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49"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Trustee or any successor hereafter appointed may at any time resign with respect to the Securities of one or more series by giving written notice thereof to the Company and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In case at any time any one of the following shall occur:</w:t>
      </w:r>
    </w:p>
    <w:p>
      <w:pPr>
        <w:spacing w:after="0" w:line="168" w:lineRule="exact"/>
        <w:rPr>
          <w:sz w:val="20"/>
          <w:szCs w:val="20"/>
          <w:color w:val="auto"/>
        </w:rPr>
      </w:pPr>
    </w:p>
    <w:p>
      <w:pPr>
        <w:jc w:val="both"/>
        <w:ind w:firstLine="1478"/>
        <w:spacing w:after="0" w:line="273" w:lineRule="auto"/>
        <w:rPr>
          <w:sz w:val="20"/>
          <w:szCs w:val="20"/>
          <w:color w:val="auto"/>
        </w:rPr>
      </w:pPr>
      <w:r>
        <w:rPr>
          <w:rFonts w:ascii="Times New Roman" w:cs="Times New Roman" w:eastAsia="Times New Roman" w:hAnsi="Times New Roman"/>
          <w:sz w:val="14"/>
          <w:szCs w:val="14"/>
          <w:b w:val="1"/>
          <w:bCs w:val="1"/>
          <w:color w:val="auto"/>
        </w:rPr>
        <w:t>(i)            </w:t>
      </w:r>
      <w:r>
        <w:rPr>
          <w:rFonts w:ascii="Times New Roman" w:cs="Times New Roman" w:eastAsia="Times New Roman" w:hAnsi="Times New Roman"/>
          <w:sz w:val="14"/>
          <w:szCs w:val="14"/>
          <w:color w:val="auto"/>
        </w:rPr>
        <w:t>the Trustee shall fail to comply with the provisions of Section 7.08 after written request therefor by the Company or by any Securityholder who has been a bona fide holder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 Security or Securities for at least six months; or</w:t>
      </w:r>
    </w:p>
    <w:p>
      <w:pPr>
        <w:spacing w:after="0" w:line="1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3"/>
          <w:szCs w:val="13"/>
          <w:b w:val="1"/>
          <w:bCs w:val="1"/>
          <w:color w:val="auto"/>
        </w:rPr>
        <w:t>(ii)            </w:t>
      </w:r>
      <w:r>
        <w:rPr>
          <w:rFonts w:ascii="Times New Roman" w:cs="Times New Roman" w:eastAsia="Times New Roman" w:hAnsi="Times New Roman"/>
          <w:sz w:val="13"/>
          <w:szCs w:val="13"/>
          <w:color w:val="auto"/>
        </w:rPr>
        <w:t>the Trustee shall cease to be eligible in accordance with the provisions of Section 7.09 and shall fail to resign after written request therefor by the Company or by any such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Securityholder; or</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22" w:name="page123"/>
    <w:bookmarkEnd w:id="122"/>
    <w:p>
      <w:pPr>
        <w:jc w:val="both"/>
        <w:ind w:firstLine="1478"/>
        <w:spacing w:after="0" w:line="312" w:lineRule="auto"/>
        <w:rPr>
          <w:sz w:val="20"/>
          <w:szCs w:val="20"/>
          <w:color w:val="auto"/>
        </w:rPr>
      </w:pPr>
      <w:r>
        <w:rPr>
          <w:rFonts w:ascii="Times New Roman" w:cs="Times New Roman" w:eastAsia="Times New Roman" w:hAnsi="Times New Roman"/>
          <w:sz w:val="13"/>
          <w:szCs w:val="13"/>
          <w:b w:val="1"/>
          <w:bCs w:val="1"/>
          <w:color w:val="auto"/>
        </w:rPr>
        <w:t>(iii)            </w:t>
      </w:r>
      <w:r>
        <w:rPr>
          <w:rFonts w:ascii="Times New Roman" w:cs="Times New Roman" w:eastAsia="Times New Roman" w:hAnsi="Times New Roman"/>
          <w:sz w:val="13"/>
          <w:szCs w:val="13"/>
          <w:color w:val="auto"/>
        </w:rPr>
        <w:t>the Trustee shall become incapable of acting, or shall be adjudged a bankrupt or insolvent, or commence a voluntary bankruptcy proceeding, or a receiver of the Trustee 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its property shall be appointed or consented to, or any public officer shall take charge or control of the Trustee or of its property or affairs for the purpose of rehabilitation, conservation or liquidation;</w:t>
      </w:r>
    </w:p>
    <w:p>
      <w:pPr>
        <w:spacing w:after="0" w:line="108"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41"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The holders of a majority in aggregate principal amount of the Securities of any series at the time Outstanding may at any time remove the Trustee with respect to such series by so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notifying the Trustee and the Company and may appoint a successor Trustee for such series with the consent of the Company.</w:t>
      </w:r>
    </w:p>
    <w:p>
      <w:pPr>
        <w:spacing w:after="0" w:line="127"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Any resignation or removal of the Trustee and appointment of a successor trustee with respect to the Securities of a series pursuant to any of the provisions of this Section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become effective upon acceptance of appointment by the successor trustee as provided in Section 7.11.</w:t>
      </w:r>
    </w:p>
    <w:p>
      <w:pPr>
        <w:spacing w:after="0" w:line="127"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(e)            </w:t>
      </w:r>
      <w:r>
        <w:rPr>
          <w:rFonts w:ascii="Times New Roman" w:cs="Times New Roman" w:eastAsia="Times New Roman" w:hAnsi="Times New Roman"/>
          <w:sz w:val="14"/>
          <w:szCs w:val="14"/>
          <w:color w:val="auto"/>
        </w:rPr>
        <w:t>Any successor trustee appointed pursuant to this Section may be appointed with respect to the Securities of one or more series or all of such series, and at any time there shall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only one Trustee with respect to the Securities of any particular series.</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7.11         Acceptance of Appointment By Successor</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51"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In case of the appointment hereunder of a successor trustee with respect to all Securities, every such successor trustee so appointed shall execute, acknowledge and deliver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23" w:name="page124"/>
    <w:bookmarkEnd w:id="123"/>
    <w:p>
      <w:pPr>
        <w:jc w:val="both"/>
        <w:ind w:firstLine="986"/>
        <w:spacing w:after="0" w:line="247"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In case of the appointment hereunder of a successor trustee with respect to the Securities of one or more (but not all) series, the Company, the retiring Trustee and each successor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45"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Upon request of any such successor trustee, the Company shall execute any and all instruments for more fully and certainly vesting in and confirming to such successor trustee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such rights, powers and trusts referred to in paragraph (a) or (b) of this Section, as the case may be.</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No successor trustee shall accept its appointment unless at the time of such acceptance such successor trustee shall be qualified and eligible under this Article.</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b w:val="1"/>
          <w:bCs w:val="1"/>
          <w:color w:val="auto"/>
        </w:rPr>
        <w:t>(e)            </w:t>
      </w:r>
      <w:r>
        <w:rPr>
          <w:rFonts w:ascii="Times New Roman" w:cs="Times New Roman" w:eastAsia="Times New Roman" w:hAnsi="Times New Roman"/>
          <w:sz w:val="13"/>
          <w:szCs w:val="13"/>
          <w:color w:val="auto"/>
        </w:rPr>
        <w:t>Upon acceptance of appointment by a successor trustee as provided in this Section, the Company shall send notice of the succession of such trustee hereunder to the Securityholders.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the Company fails to send such notice within ten days after acceptance of appointment by the successor trustee, the successor trustee shall cause such notice to be sent at the expense of the Company.</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7.12          Merger, Conversion, Consolidation or Succession to Business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4"/>
          <w:szCs w:val="14"/>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24" w:name="page125"/>
    <w:bookmarkEnd w:id="124"/>
    <w:p>
      <w:pPr>
        <w:ind w:left="500"/>
        <w:spacing w:after="0"/>
        <w:rPr>
          <w:sz w:val="20"/>
          <w:szCs w:val="20"/>
          <w:color w:val="auto"/>
        </w:rPr>
      </w:pPr>
      <w:r>
        <w:rPr>
          <w:rFonts w:ascii="Times New Roman" w:cs="Times New Roman" w:eastAsia="Times New Roman" w:hAnsi="Times New Roman"/>
          <w:sz w:val="14"/>
          <w:szCs w:val="14"/>
          <w:b w:val="1"/>
          <w:bCs w:val="1"/>
          <w:color w:val="auto"/>
        </w:rPr>
        <w:t>Section 7.13         Preferential Collection of Claims Against the Company</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7.14         Notice of Default</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8</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CONCERNING THE SECURITYHOLDERS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8.01         Evidence of Action by Securityholders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45" w:lineRule="exact"/>
        <w:rPr>
          <w:sz w:val="20"/>
          <w:szCs w:val="20"/>
          <w:color w:val="auto"/>
        </w:rPr>
      </w:pPr>
    </w:p>
    <w:p>
      <w:pPr>
        <w:jc w:val="both"/>
        <w:ind w:firstLine="493"/>
        <w:spacing w:after="0" w:line="248" w:lineRule="auto"/>
        <w:rPr>
          <w:sz w:val="20"/>
          <w:szCs w:val="20"/>
          <w:color w:val="auto"/>
        </w:rPr>
      </w:pPr>
      <w:r>
        <w:rPr>
          <w:rFonts w:ascii="Times New Roman" w:cs="Times New Roman" w:eastAsia="Times New Roman" w:hAnsi="Times New Roman"/>
          <w:sz w:val="14"/>
          <w:szCs w:val="14"/>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25" w:name="page126"/>
    <w:bookmarkEnd w:id="125"/>
    <w:p>
      <w:pPr>
        <w:ind w:left="500"/>
        <w:spacing w:after="0"/>
        <w:rPr>
          <w:sz w:val="20"/>
          <w:szCs w:val="20"/>
          <w:color w:val="auto"/>
        </w:rPr>
      </w:pPr>
      <w:r>
        <w:rPr>
          <w:rFonts w:ascii="Times New Roman" w:cs="Times New Roman" w:eastAsia="Times New Roman" w:hAnsi="Times New Roman"/>
          <w:sz w:val="14"/>
          <w:szCs w:val="14"/>
          <w:b w:val="1"/>
          <w:bCs w:val="1"/>
          <w:color w:val="auto"/>
        </w:rPr>
        <w:t>Section 8.02         Proof of Execution by Securityholders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The fact and date of the execution by any such Person of any instrument may be proved in any reasonable manner acceptable to the Trustee.</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The ownership of Securities shall be proved by the Security Register of such Securities or by a certificate of the Security Registrar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Trustee may require such additional proof of any matter referred to in this Section as it shall deem necessary.</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8.03         Who May be Deemed Owners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8.04        Certain Securities Owned by Company Disregarded</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48" w:lineRule="auto"/>
        <w:rPr>
          <w:sz w:val="20"/>
          <w:szCs w:val="20"/>
          <w:color w:val="auto"/>
        </w:rPr>
      </w:pPr>
      <w:r>
        <w:rPr>
          <w:rFonts w:ascii="Times New Roman" w:cs="Times New Roman" w:eastAsia="Times New Roman" w:hAnsi="Times New Roman"/>
          <w:sz w:val="14"/>
          <w:szCs w:val="14"/>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26" w:name="page127"/>
    <w:bookmarkEnd w:id="126"/>
    <w:p>
      <w:pPr>
        <w:ind w:left="500"/>
        <w:spacing w:after="0"/>
        <w:rPr>
          <w:sz w:val="20"/>
          <w:szCs w:val="20"/>
          <w:color w:val="auto"/>
        </w:rPr>
      </w:pPr>
      <w:r>
        <w:rPr>
          <w:rFonts w:ascii="Times New Roman" w:cs="Times New Roman" w:eastAsia="Times New Roman" w:hAnsi="Times New Roman"/>
          <w:sz w:val="14"/>
          <w:szCs w:val="14"/>
          <w:b w:val="1"/>
          <w:bCs w:val="1"/>
          <w:color w:val="auto"/>
        </w:rPr>
        <w:t>Section 8.05         Actions Binding on Future Securityholders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48" w:lineRule="auto"/>
        <w:rPr>
          <w:sz w:val="20"/>
          <w:szCs w:val="20"/>
          <w:color w:val="auto"/>
        </w:rPr>
      </w:pPr>
      <w:r>
        <w:rPr>
          <w:rFonts w:ascii="Times New Roman" w:cs="Times New Roman" w:eastAsia="Times New Roman" w:hAnsi="Times New Roman"/>
          <w:sz w:val="14"/>
          <w:szCs w:val="14"/>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9</w:t>
      </w:r>
    </w:p>
    <w:p>
      <w:pPr>
        <w:spacing w:after="0" w:line="16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9.01         Supplemental Indentures Without the Consent of Securityholders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to cure any ambiguity, defect, or inconsistency herein or in the Securities of any series;</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to comply with Article Ten;</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27" w:name="page128"/>
    <w:bookmarkEnd w:id="127"/>
    <w:p>
      <w:pPr>
        <w:jc w:val="both"/>
        <w:ind w:firstLine="986"/>
        <w:spacing w:after="0" w:line="254" w:lineRule="auto"/>
        <w:rPr>
          <w:sz w:val="20"/>
          <w:szCs w:val="20"/>
          <w:color w:val="auto"/>
        </w:rPr>
      </w:pPr>
      <w:r>
        <w:rPr>
          <w:rFonts w:ascii="Times New Roman" w:cs="Times New Roman" w:eastAsia="Times New Roman" w:hAnsi="Times New Roman"/>
          <w:sz w:val="14"/>
          <w:szCs w:val="14"/>
          <w:b w:val="1"/>
          <w:bCs w:val="1"/>
          <w:color w:val="auto"/>
        </w:rPr>
        <w:t>(d)            </w:t>
      </w:r>
      <w:r>
        <w:rPr>
          <w:rFonts w:ascii="Times New Roman" w:cs="Times New Roman" w:eastAsia="Times New Roman" w:hAnsi="Times New Roman"/>
          <w:sz w:val="14"/>
          <w:szCs w:val="14"/>
          <w:color w:val="auto"/>
        </w:rPr>
        <w:t>to add to the covenants, restrictions, conditions or provisions relating to the Company for the benefit of the holders of all or any series of Securities (and if such covenants,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b w:val="1"/>
          <w:bCs w:val="1"/>
          <w:color w:val="auto"/>
        </w:rPr>
        <w:t>(e)            </w:t>
      </w:r>
      <w:r>
        <w:rPr>
          <w:rFonts w:ascii="Times New Roman" w:cs="Times New Roman" w:eastAsia="Times New Roman" w:hAnsi="Times New Roman"/>
          <w:sz w:val="13"/>
          <w:szCs w:val="13"/>
          <w:color w:val="auto"/>
        </w:rPr>
        <w:t>to add to, delete from, or revise the conditions, limitations, and restrictions on the authorized amount, terms, or purposes of issue, authentication, and delivery of Securities, as herein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set forth;</w:t>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(f)            </w:t>
      </w:r>
      <w:r>
        <w:rPr>
          <w:rFonts w:ascii="Times New Roman" w:cs="Times New Roman" w:eastAsia="Times New Roman" w:hAnsi="Times New Roman"/>
          <w:sz w:val="14"/>
          <w:szCs w:val="14"/>
          <w:color w:val="auto"/>
        </w:rPr>
        <w:t>to make any change that does not adversely affect the rights of any Securityholder in any material respect;</w:t>
      </w:r>
    </w:p>
    <w:p>
      <w:pPr>
        <w:spacing w:after="0" w:line="168"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(g)            </w:t>
      </w:r>
      <w:r>
        <w:rPr>
          <w:rFonts w:ascii="Times New Roman" w:cs="Times New Roman" w:eastAsia="Times New Roman" w:hAnsi="Times New Roman"/>
          <w:sz w:val="14"/>
          <w:szCs w:val="14"/>
          <w:color w:val="auto"/>
        </w:rPr>
        <w:t>to provide for the issuance of and establish the form and terms and conditions of the Securities of any series as provided in Section 2.01, to establish the form of any certifications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required to be furnished pursuant to the terms of this Indenture or any series of Securities, or to add to the rights of the holders of any series of Securities;</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(h)            </w:t>
      </w:r>
      <w:r>
        <w:rPr>
          <w:rFonts w:ascii="Times New Roman" w:cs="Times New Roman" w:eastAsia="Times New Roman" w:hAnsi="Times New Roman"/>
          <w:sz w:val="14"/>
          <w:szCs w:val="14"/>
          <w:color w:val="auto"/>
        </w:rPr>
        <w:t>to evidence and provide for the acceptance of appointment hereunder by a successor trustee; or</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(i)            </w:t>
      </w:r>
      <w:r>
        <w:rPr>
          <w:rFonts w:ascii="Times New Roman" w:cs="Times New Roman" w:eastAsia="Times New Roman" w:hAnsi="Times New Roman"/>
          <w:sz w:val="14"/>
          <w:szCs w:val="14"/>
          <w:color w:val="auto"/>
        </w:rPr>
        <w:t>to comply with any requirements of the Commission or any successor in connection with the qualification of this Indenture under the Trust Indenture Act.</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35"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9.02       Supplemental Indentures With Consent of Securityholders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48" w:lineRule="auto"/>
        <w:rPr>
          <w:sz w:val="20"/>
          <w:szCs w:val="20"/>
          <w:color w:val="auto"/>
        </w:rPr>
      </w:pPr>
      <w:r>
        <w:rPr>
          <w:rFonts w:ascii="Times New Roman" w:cs="Times New Roman" w:eastAsia="Times New Roman" w:hAnsi="Times New Roman"/>
          <w:sz w:val="14"/>
          <w:szCs w:val="14"/>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28" w:name="page129"/>
    <w:bookmarkEnd w:id="128"/>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9.03         Effect of Supplemental Indentures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9.04         Securities Affected by Supplemental Indentures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2" w:lineRule="auto"/>
        <w:rPr>
          <w:sz w:val="20"/>
          <w:szCs w:val="20"/>
          <w:color w:val="auto"/>
        </w:rPr>
      </w:pPr>
      <w:r>
        <w:rPr>
          <w:rFonts w:ascii="Times New Roman" w:cs="Times New Roman" w:eastAsia="Times New Roman" w:hAnsi="Times New Roman"/>
          <w:sz w:val="14"/>
          <w:szCs w:val="14"/>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9.05         Execution of Supplemental Indentures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72" w:lineRule="auto"/>
        <w:rPr>
          <w:sz w:val="20"/>
          <w:szCs w:val="20"/>
          <w:color w:val="auto"/>
        </w:rPr>
      </w:pPr>
      <w:r>
        <w:rPr>
          <w:rFonts w:ascii="Times New Roman" w:cs="Times New Roman" w:eastAsia="Times New Roman" w:hAnsi="Times New Roman"/>
          <w:sz w:val="13"/>
          <w:szCs w:val="13"/>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29" w:name="page130"/>
    <w:bookmarkEnd w:id="129"/>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10</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SUCCESSOR ENTITY</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10.01       Company May Consolidate, Etc.</w:t>
      </w:r>
    </w:p>
    <w:p>
      <w:pPr>
        <w:spacing w:after="0" w:line="172" w:lineRule="exact"/>
        <w:rPr>
          <w:sz w:val="20"/>
          <w:szCs w:val="20"/>
          <w:color w:val="auto"/>
        </w:rPr>
      </w:pPr>
    </w:p>
    <w:p>
      <w:pPr>
        <w:jc w:val="both"/>
        <w:ind w:firstLine="493"/>
        <w:spacing w:after="0" w:line="247" w:lineRule="auto"/>
        <w:rPr>
          <w:sz w:val="20"/>
          <w:szCs w:val="20"/>
          <w:color w:val="auto"/>
        </w:rPr>
      </w:pPr>
      <w:r>
        <w:rPr>
          <w:rFonts w:ascii="Times New Roman" w:cs="Times New Roman" w:eastAsia="Times New Roman" w:hAnsi="Times New Roman"/>
          <w:sz w:val="14"/>
          <w:szCs w:val="14"/>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10.02       Successor Entity Substituted</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54"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In case of any such consolidation, merger, sale, conveyance, transfer or other disposition and upon the assumption by the successor entity by supplemental indenture, executed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40" w:lineRule="exact"/>
        <w:rPr>
          <w:sz w:val="20"/>
          <w:szCs w:val="20"/>
          <w:color w:val="auto"/>
        </w:rPr>
      </w:pPr>
    </w:p>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(b)            </w:t>
      </w:r>
      <w:r>
        <w:rPr>
          <w:rFonts w:ascii="Times New Roman" w:cs="Times New Roman" w:eastAsia="Times New Roman" w:hAnsi="Times New Roman"/>
          <w:sz w:val="14"/>
          <w:szCs w:val="14"/>
          <w:color w:val="auto"/>
        </w:rPr>
        <w:t>In case of any such consolidation, merger, sale, conveyance, transfer or other disposition, such changes in phraseology and form (but not in substance) may be made in the Securities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thereafter to be issued as may be appropriate.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30" w:name="page131"/>
    <w:bookmarkEnd w:id="130"/>
    <w:p>
      <w:pPr>
        <w:jc w:val="both"/>
        <w:ind w:firstLine="986"/>
        <w:spacing w:after="0" w:line="273" w:lineRule="auto"/>
        <w:rPr>
          <w:sz w:val="20"/>
          <w:szCs w:val="20"/>
          <w:color w:val="auto"/>
        </w:rPr>
      </w:pPr>
      <w:r>
        <w:rPr>
          <w:rFonts w:ascii="Times New Roman" w:cs="Times New Roman" w:eastAsia="Times New Roman" w:hAnsi="Times New Roman"/>
          <w:sz w:val="14"/>
          <w:szCs w:val="14"/>
          <w:b w:val="1"/>
          <w:bCs w:val="1"/>
          <w:color w:val="auto"/>
        </w:rPr>
        <w:t>(c)            </w:t>
      </w:r>
      <w:r>
        <w:rPr>
          <w:rFonts w:ascii="Times New Roman" w:cs="Times New Roman" w:eastAsia="Times New Roman" w:hAnsi="Times New Roman"/>
          <w:sz w:val="14"/>
          <w:szCs w:val="14"/>
          <w:color w:val="auto"/>
        </w:rPr>
        <w:t>Nothing contained in this Article shall require any action by the Company in the case of a consolidation or merger of any Person into the Company where the Company is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survivor of such transaction, or the acquisition by the Company, by purchase or otherwise, of all or any part of the property of any other Person (whether or not affiliated with the Company).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11.01       Satisfaction and Discharge of Indenture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3"/>
          <w:szCs w:val="13"/>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11.02       Discharge of Obligations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4"/>
          <w:szCs w:val="14"/>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31" w:name="page132"/>
    <w:bookmarkEnd w:id="131"/>
    <w:p>
      <w:pPr>
        <w:ind w:left="500"/>
        <w:spacing w:after="0"/>
        <w:rPr>
          <w:sz w:val="20"/>
          <w:szCs w:val="20"/>
          <w:color w:val="auto"/>
        </w:rPr>
      </w:pPr>
      <w:r>
        <w:rPr>
          <w:rFonts w:ascii="Times New Roman" w:cs="Times New Roman" w:eastAsia="Times New Roman" w:hAnsi="Times New Roman"/>
          <w:sz w:val="14"/>
          <w:szCs w:val="14"/>
          <w:color w:val="auto"/>
        </w:rPr>
        <w:t>Thereafter, Sections 7.06 and 11.05 shall survive.</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11.03       Deposited Moneys to be Held in Trust</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11.04       Payment of Moneys Held by Paying Agents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11.05       Repayment to Company</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49" w:lineRule="auto"/>
        <w:rPr>
          <w:sz w:val="20"/>
          <w:szCs w:val="20"/>
          <w:color w:val="auto"/>
        </w:rPr>
      </w:pPr>
      <w:r>
        <w:rPr>
          <w:rFonts w:ascii="Times New Roman" w:cs="Times New Roman" w:eastAsia="Times New Roman" w:hAnsi="Times New Roman"/>
          <w:sz w:val="14"/>
          <w:szCs w:val="14"/>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4"/>
          <w:szCs w:val="14"/>
          <w:b w:val="1"/>
          <w:bCs w:val="1"/>
          <w:color w:val="auto"/>
        </w:rPr>
        <w:t>ARTICLE 12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IMMUNITY OF INCORPORATORS, STOCKHOLDERS, OFFICERS AND DIRECTORS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12.01       No Recourse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47" w:lineRule="auto"/>
        <w:rPr>
          <w:sz w:val="20"/>
          <w:szCs w:val="20"/>
          <w:color w:val="auto"/>
        </w:rPr>
      </w:pPr>
      <w:r>
        <w:rPr>
          <w:rFonts w:ascii="Times New Roman" w:cs="Times New Roman" w:eastAsia="Times New Roman" w:hAnsi="Times New Roman"/>
          <w:sz w:val="14"/>
          <w:szCs w:val="14"/>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13</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MISCELLANEOUS PROVISIONS</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13.01       Effect on Successors and Assigns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the covenants, stipulations, promises and agreements in this Indenture made by or on behalf of the Company shall bind its successors and assigns, whether so expressed or not.</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13.02       Actions by Successor</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13.03       Surrender of Company Powers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13.04       Notices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w:t>
      </w:r>
      <w:r>
        <w:rPr>
          <w:rFonts w:ascii="Times New Roman" w:cs="Times New Roman" w:eastAsia="Times New Roman" w:hAnsi="Times New Roman"/>
          <w:sz w:val="14"/>
          <w:szCs w:val="14"/>
          <w:u w:val="single" w:color="auto"/>
          <w:color w:val="auto"/>
        </w:rPr>
        <w:t>                                                                                                                </w:t>
      </w:r>
      <w:r>
        <w:rPr>
          <w:rFonts w:ascii="Times New Roman" w:cs="Times New Roman" w:eastAsia="Times New Roman" w:hAnsi="Times New Roman"/>
          <w:sz w:val="14"/>
          <w:szCs w:val="14"/>
          <w:color w:val="auto"/>
        </w:rPr>
        <w:t>.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33" w:name="page134"/>
    <w:bookmarkEnd w:id="133"/>
    <w:p>
      <w:pPr>
        <w:ind w:left="500"/>
        <w:spacing w:after="0"/>
        <w:rPr>
          <w:sz w:val="20"/>
          <w:szCs w:val="20"/>
          <w:color w:val="auto"/>
        </w:rPr>
      </w:pPr>
      <w:r>
        <w:rPr>
          <w:rFonts w:ascii="Times New Roman" w:cs="Times New Roman" w:eastAsia="Times New Roman" w:hAnsi="Times New Roman"/>
          <w:sz w:val="14"/>
          <w:szCs w:val="14"/>
          <w:b w:val="1"/>
          <w:bCs w:val="1"/>
          <w:color w:val="auto"/>
        </w:rPr>
        <w:t>Section 13.05       Governing Law; Jury Trial Waiver</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This Indenture and each Security shall be governed by, and construed in accordance with, the internal laws of the State of New York, except to the extent that the Trust Indenture Act is applicable.</w:t>
      </w:r>
    </w:p>
    <w:p>
      <w:pPr>
        <w:spacing w:after="0" w:line="179"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13.06       Treatment of Securities as Debt</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It is intended that the Securities will be treated as indebtedness and not as equity for federal income tax purposes. The provisions of this Indenture shall be interpreted to further this intention.</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13.07       Certificates and Opinions as to Conditions Precedent</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jc w:val="both"/>
        <w:ind w:firstLine="986"/>
        <w:spacing w:after="0" w:line="251" w:lineRule="auto"/>
        <w:rPr>
          <w:sz w:val="20"/>
          <w:szCs w:val="20"/>
          <w:color w:val="auto"/>
        </w:rPr>
      </w:pPr>
      <w:r>
        <w:rPr>
          <w:rFonts w:ascii="Times New Roman" w:cs="Times New Roman" w:eastAsia="Times New Roman" w:hAnsi="Times New Roman"/>
          <w:sz w:val="14"/>
          <w:szCs w:val="14"/>
          <w:b w:val="1"/>
          <w:bCs w:val="1"/>
          <w:color w:val="auto"/>
        </w:rPr>
        <w:t>(a)            </w:t>
      </w:r>
      <w:r>
        <w:rPr>
          <w:rFonts w:ascii="Times New Roman" w:cs="Times New Roman" w:eastAsia="Times New Roman" w:hAnsi="Times New Roman"/>
          <w:sz w:val="14"/>
          <w:szCs w:val="14"/>
          <w:color w:val="auto"/>
        </w:rPr>
        <w:t>Upon any application or demand by the Company to the Trustee to take any action under any of the provisions of this Indenture, the Company shall furnish to the Trustee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4" w:lineRule="exact"/>
        <w:rPr>
          <w:sz w:val="20"/>
          <w:szCs w:val="20"/>
          <w:color w:val="auto"/>
        </w:rPr>
      </w:pPr>
    </w:p>
    <w:p>
      <w:pPr>
        <w:jc w:val="both"/>
        <w:ind w:firstLine="986"/>
        <w:spacing w:after="0" w:line="272" w:lineRule="auto"/>
        <w:rPr>
          <w:sz w:val="20"/>
          <w:szCs w:val="20"/>
          <w:color w:val="auto"/>
        </w:rPr>
      </w:pPr>
      <w:r>
        <w:rPr>
          <w:rFonts w:ascii="Times New Roman" w:cs="Times New Roman" w:eastAsia="Times New Roman" w:hAnsi="Times New Roman"/>
          <w:sz w:val="13"/>
          <w:szCs w:val="13"/>
          <w:b w:val="1"/>
          <w:bCs w:val="1"/>
          <w:color w:val="auto"/>
        </w:rPr>
        <w:t>(b)            </w:t>
      </w:r>
      <w:r>
        <w:rPr>
          <w:rFonts w:ascii="Times New Roman" w:cs="Times New Roman" w:eastAsia="Times New Roman" w:hAnsi="Times New Roman"/>
          <w:sz w:val="13"/>
          <w:szCs w:val="13"/>
          <w:color w:val="auto"/>
        </w:rPr>
        <w:t>Each certificate or opinion provided for in this Indenture and delivered to the Trustee with respect to compliance with a condition or covenant in this Indenture (other than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w:t>
      </w:r>
    </w:p>
    <w:p>
      <w:pPr>
        <w:ind w:firstLine="2"/>
        <w:spacing w:after="0" w:line="249" w:lineRule="auto"/>
        <w:tabs>
          <w:tab w:leader="none" w:pos="254"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34" w:name="page135"/>
    <w:bookmarkEnd w:id="134"/>
    <w:p>
      <w:pPr>
        <w:ind w:left="500"/>
        <w:spacing w:after="0"/>
        <w:rPr>
          <w:sz w:val="20"/>
          <w:szCs w:val="20"/>
          <w:color w:val="auto"/>
        </w:rPr>
      </w:pPr>
      <w:r>
        <w:rPr>
          <w:rFonts w:ascii="Times New Roman" w:cs="Times New Roman" w:eastAsia="Times New Roman" w:hAnsi="Times New Roman"/>
          <w:sz w:val="14"/>
          <w:szCs w:val="14"/>
          <w:b w:val="1"/>
          <w:bCs w:val="1"/>
          <w:color w:val="auto"/>
        </w:rPr>
        <w:t>Section 13.08       Payments on Business Days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84" w:lineRule="auto"/>
        <w:rPr>
          <w:sz w:val="20"/>
          <w:szCs w:val="20"/>
          <w:color w:val="auto"/>
        </w:rPr>
      </w:pPr>
      <w:r>
        <w:rPr>
          <w:rFonts w:ascii="Times New Roman" w:cs="Times New Roman" w:eastAsia="Times New Roman" w:hAnsi="Times New Roman"/>
          <w:sz w:val="13"/>
          <w:szCs w:val="13"/>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13.09       Conflict with Trust Indenture Act</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and to the extent that any provision of this Indenture limits, qualifies or conflicts with the duties imposed by Section 318(c) of the Trust Indenture Act, such imposed duties shall control.</w:t>
      </w:r>
    </w:p>
    <w:p>
      <w:pPr>
        <w:spacing w:after="0" w:line="1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13.10       Counterparts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13.11       Separability</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13.12       Compliance Certificates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35" w:name="page136"/>
    <w:bookmarkEnd w:id="135"/>
    <w:p>
      <w:pPr>
        <w:ind w:left="500"/>
        <w:spacing w:after="0"/>
        <w:rPr>
          <w:sz w:val="20"/>
          <w:szCs w:val="20"/>
          <w:color w:val="auto"/>
        </w:rPr>
      </w:pPr>
      <w:r>
        <w:rPr>
          <w:rFonts w:ascii="Times New Roman" w:cs="Times New Roman" w:eastAsia="Times New Roman" w:hAnsi="Times New Roman"/>
          <w:sz w:val="14"/>
          <w:szCs w:val="14"/>
          <w:b w:val="1"/>
          <w:bCs w:val="1"/>
          <w:color w:val="auto"/>
        </w:rPr>
        <w:t>Section 13.13       U.S.A Patriot Act</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6"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13.14       Force Majeure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firstLine="493"/>
        <w:spacing w:after="0" w:line="250" w:lineRule="auto"/>
        <w:rPr>
          <w:sz w:val="20"/>
          <w:szCs w:val="20"/>
          <w:color w:val="auto"/>
        </w:rPr>
      </w:pPr>
      <w:r>
        <w:rPr>
          <w:rFonts w:ascii="Times New Roman" w:cs="Times New Roman" w:eastAsia="Times New Roman" w:hAnsi="Times New Roman"/>
          <w:sz w:val="14"/>
          <w:szCs w:val="14"/>
          <w:color w:val="auto"/>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Section 13.15       Table of Contents; Headings.</w:t>
      </w:r>
    </w:p>
    <w:p>
      <w:pPr>
        <w:spacing w:after="0" w:line="172" w:lineRule="exact"/>
        <w:rPr>
          <w:sz w:val="20"/>
          <w:szCs w:val="20"/>
          <w:color w:val="auto"/>
        </w:rPr>
      </w:pPr>
    </w:p>
    <w:p>
      <w:pPr>
        <w:jc w:val="both"/>
        <w:ind w:firstLine="493"/>
        <w:spacing w:after="0" w:line="267" w:lineRule="auto"/>
        <w:rPr>
          <w:sz w:val="20"/>
          <w:szCs w:val="20"/>
          <w:color w:val="auto"/>
        </w:rPr>
      </w:pPr>
      <w:r>
        <w:rPr>
          <w:rFonts w:ascii="Times New Roman" w:cs="Times New Roman" w:eastAsia="Times New Roman" w:hAnsi="Times New Roman"/>
          <w:sz w:val="14"/>
          <w:szCs w:val="14"/>
          <w:color w:val="auto"/>
        </w:rPr>
        <w:t>The table of contents and headings of the articles and sections of this Indenture have been inserted for convenience of reference only, are not intended to be considered a part hereof, and will not modify or restrict any of the terms or provisions hereof.</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color w:val="auto"/>
        </w:rPr>
        <w:t>, the parties hereto have caused this Indenture to be duly executed all as of the day and year first above written.</w:t>
      </w:r>
    </w:p>
    <w:p>
      <w:pPr>
        <w:spacing w:after="0" w:line="1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Z</w:t>
      </w:r>
      <w:r>
        <w:rPr>
          <w:rFonts w:ascii="Times New Roman" w:cs="Times New Roman" w:eastAsia="Times New Roman" w:hAnsi="Times New Roman"/>
          <w:sz w:val="9"/>
          <w:szCs w:val="9"/>
          <w:b w:val="1"/>
          <w:bCs w:val="1"/>
          <w:color w:val="auto"/>
        </w:rPr>
        <w:t>ura</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9"/>
          <w:szCs w:val="9"/>
          <w:b w:val="1"/>
          <w:bCs w:val="1"/>
          <w:color w:val="auto"/>
        </w:rPr>
        <w:t>io</w:t>
      </w:r>
      <w:r>
        <w:rPr>
          <w:rFonts w:ascii="Times New Roman" w:cs="Times New Roman" w:eastAsia="Times New Roman" w:hAnsi="Times New Roman"/>
          <w:sz w:val="14"/>
          <w:szCs w:val="14"/>
          <w:b w:val="1"/>
          <w:bCs w:val="1"/>
          <w:color w:val="auto"/>
        </w:rPr>
        <w:t xml:space="preserve"> L</w:t>
      </w:r>
      <w:r>
        <w:rPr>
          <w:rFonts w:ascii="Times New Roman" w:cs="Times New Roman" w:eastAsia="Times New Roman" w:hAnsi="Times New Roman"/>
          <w:sz w:val="9"/>
          <w:szCs w:val="9"/>
          <w:b w:val="1"/>
          <w:bCs w:val="1"/>
          <w:color w:val="auto"/>
        </w:rPr>
        <w:t>imited</w:t>
      </w:r>
    </w:p>
    <w:p>
      <w:pPr>
        <w:spacing w:after="0" w:line="17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10160</wp:posOffset>
            </wp:positionV>
            <wp:extent cx="322072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3220720" cy="6350"/>
                    </a:xfrm>
                    <a:prstGeom prst="rect">
                      <a:avLst/>
                    </a:prstGeom>
                    <a:noFill/>
                  </pic:spPr>
                </pic:pic>
              </a:graphicData>
            </a:graphic>
          </wp:anchor>
        </w:drawing>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10160</wp:posOffset>
            </wp:positionV>
            <wp:extent cx="322072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3220720" cy="6350"/>
                    </a:xfrm>
                    <a:prstGeom prst="rect">
                      <a:avLst/>
                    </a:prstGeom>
                    <a:noFill/>
                  </pic:spPr>
                </pic:pic>
              </a:graphicData>
            </a:graphic>
          </wp:anchor>
        </w:drawing>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10160</wp:posOffset>
            </wp:positionV>
            <wp:extent cx="322072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3220720" cy="6350"/>
                    </a:xfrm>
                    <a:prstGeom prst="rect">
                      <a:avLst/>
                    </a:prstGeom>
                    <a:noFill/>
                  </pic:spPr>
                </pic:pic>
              </a:graphicData>
            </a:graphic>
          </wp:anchor>
        </w:drawing>
      </w:r>
    </w:p>
    <w:p>
      <w:pPr>
        <w:spacing w:after="0" w:line="15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9"/>
          <w:szCs w:val="9"/>
          <w:b w:val="1"/>
          <w:bCs w:val="1"/>
          <w:color w:val="auto"/>
        </w:rPr>
        <w:t>rustee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as Trustee</w:t>
      </w:r>
    </w:p>
    <w:p>
      <w:pPr>
        <w:spacing w:after="0" w:line="17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10160</wp:posOffset>
            </wp:positionV>
            <wp:extent cx="322072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3220720" cy="6350"/>
                    </a:xfrm>
                    <a:prstGeom prst="rect">
                      <a:avLst/>
                    </a:prstGeom>
                    <a:noFill/>
                  </pic:spPr>
                </pic:pic>
              </a:graphicData>
            </a:graphic>
          </wp:anchor>
        </w:drawing>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10160</wp:posOffset>
            </wp:positionV>
            <wp:extent cx="322072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3220720" cy="6350"/>
                    </a:xfrm>
                    <a:prstGeom prst="rect">
                      <a:avLst/>
                    </a:prstGeom>
                    <a:noFill/>
                  </pic:spPr>
                </pic:pic>
              </a:graphicData>
            </a:graphic>
          </wp:anchor>
        </w:drawing>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10160</wp:posOffset>
            </wp:positionV>
            <wp:extent cx="322072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3220720" cy="6350"/>
                    </a:xfrm>
                    <a:prstGeom prst="rect">
                      <a:avLst/>
                    </a:prstGeom>
                    <a:noFill/>
                  </pic:spPr>
                </pic:pic>
              </a:graphicData>
            </a:graphic>
          </wp:anchor>
        </w:drawing>
      </w:r>
    </w:p>
    <w:p>
      <w:pPr>
        <w:spacing w:after="0" w:line="32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10160</wp:posOffset>
            </wp:positionV>
            <wp:extent cx="716534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9659"/>
          </w:cols>
          <w:pgMar w:left="800" w:top="718"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80"/>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CROSS-REFERENCE TABLE (1)</w:t>
            </w:r>
          </w:p>
        </w:tc>
        <w:tc>
          <w:tcPr>
            <w:tcW w:w="3820" w:type="dxa"/>
            <w:vAlign w:val="bottom"/>
          </w:tcPr>
          <w:p>
            <w:pPr>
              <w:spacing w:after="0"/>
              <w:rPr>
                <w:sz w:val="15"/>
                <w:szCs w:val="15"/>
                <w:color w:val="auto"/>
              </w:rPr>
            </w:pPr>
          </w:p>
        </w:tc>
      </w:tr>
      <w:tr>
        <w:trPr>
          <w:trHeight w:val="339"/>
        </w:trPr>
        <w:tc>
          <w:tcPr>
            <w:tcW w:w="746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Section of Trust Indenture Act of 1939, as Amended</w:t>
            </w:r>
          </w:p>
        </w:tc>
        <w:tc>
          <w:tcPr>
            <w:tcW w:w="382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Section of Indenture</w:t>
            </w:r>
          </w:p>
        </w:tc>
      </w:tr>
      <w:tr>
        <w:trPr>
          <w:trHeight w:val="143"/>
        </w:trPr>
        <w:tc>
          <w:tcPr>
            <w:tcW w:w="724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310(a)</w:t>
            </w:r>
          </w:p>
        </w:tc>
        <w:tc>
          <w:tcPr>
            <w:tcW w:w="220" w:type="dxa"/>
            <w:vAlign w:val="bottom"/>
          </w:tcPr>
          <w:p>
            <w:pPr>
              <w:spacing w:after="0"/>
              <w:rPr>
                <w:sz w:val="12"/>
                <w:szCs w:val="12"/>
                <w:color w:val="auto"/>
              </w:rPr>
            </w:pPr>
          </w:p>
        </w:tc>
        <w:tc>
          <w:tcPr>
            <w:tcW w:w="382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7.09</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310(b)</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7.08</w:t>
            </w:r>
          </w:p>
        </w:tc>
      </w:tr>
      <w:tr>
        <w:trPr>
          <w:trHeight w:val="164"/>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7.10</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310(c)</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311(a)</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7.13</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311(b)</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7.13</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311(c)</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312(a)</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5.01</w:t>
            </w:r>
          </w:p>
        </w:tc>
      </w:tr>
      <w:tr>
        <w:trPr>
          <w:trHeight w:val="164"/>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5.02(a)</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312(b)</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5.02(c)</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312(c)</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5.02(c)</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313(a)</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5.04(a)</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313(b)</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5.04(b)</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313(c)</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5.04(a)</w:t>
            </w:r>
          </w:p>
        </w:tc>
      </w:tr>
      <w:tr>
        <w:trPr>
          <w:trHeight w:val="164"/>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5.04(b)</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313(d)</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5.04(c)</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314(a)</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5.03</w:t>
            </w:r>
          </w:p>
        </w:tc>
      </w:tr>
      <w:tr>
        <w:trPr>
          <w:trHeight w:val="164"/>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13.12</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314(b)</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314(c)</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13.07(a)</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314(d)</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314(e)</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13.07(b)</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314(f)</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Inapplicable</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315(a)</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7.01(a)</w:t>
            </w:r>
          </w:p>
        </w:tc>
      </w:tr>
      <w:tr>
        <w:trPr>
          <w:trHeight w:val="164"/>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7.01(b)</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315(b)</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7.14</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315(c)</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7.01</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315(d)</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7.01(b)</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315(e)</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6.07</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316(a)</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6.06</w:t>
            </w:r>
          </w:p>
        </w:tc>
      </w:tr>
      <w:tr>
        <w:trPr>
          <w:trHeight w:val="164"/>
        </w:trPr>
        <w:tc>
          <w:tcPr>
            <w:tcW w:w="7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8.04</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316(b)</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6.04</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316(c)</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8.01</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317(a)</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6.02</w:t>
            </w:r>
          </w:p>
        </w:tc>
      </w:tr>
      <w:tr>
        <w:trPr>
          <w:trHeight w:val="164"/>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317(b)</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4.03</w:t>
            </w:r>
          </w:p>
        </w:tc>
      </w:tr>
      <w:tr>
        <w:trPr>
          <w:trHeight w:val="176"/>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318(a)</w:t>
            </w: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179260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1792605" cy="6350"/>
                    </a:xfrm>
                    <a:prstGeom prst="rect">
                      <a:avLst/>
                    </a:prstGeom>
                    <a:noFill/>
                  </pic:spPr>
                </pic:pic>
              </a:graphicData>
            </a:graphic>
          </wp:anchor>
        </w:drawing>
      </w:r>
    </w:p>
    <w:p>
      <w:pPr>
        <w:spacing w:after="0" w:line="153" w:lineRule="exact"/>
        <w:rPr>
          <w:sz w:val="20"/>
          <w:szCs w:val="20"/>
          <w:color w:val="auto"/>
        </w:rPr>
      </w:pPr>
    </w:p>
    <w:p>
      <w:pPr>
        <w:ind w:left="5580" w:right="2620" w:hanging="5578"/>
        <w:spacing w:after="0" w:line="757" w:lineRule="auto"/>
        <w:tabs>
          <w:tab w:leader="none" w:pos="24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Cross-Reference Table does not constitute part of the Indenture and shall not have any bearing on the interpretation of any of its terms or provisions.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-212090</wp:posOffset>
            </wp:positionV>
            <wp:extent cx="716534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6"/>
          <w:szCs w:val="16"/>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133350</wp:posOffset>
            </wp:positionV>
            <wp:extent cx="984250" cy="4044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984250" cy="404495"/>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 Maples Corporate Services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 +1 345 815 1877</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 bradley.kruger@ogier.com</w:t>
      </w:r>
    </w:p>
    <w:p>
      <w:pPr>
        <w:spacing w:after="0" w:line="15" w:lineRule="exact"/>
        <w:rPr>
          <w:sz w:val="20"/>
          <w:szCs w:val="20"/>
          <w:color w:val="auto"/>
        </w:rPr>
      </w:pPr>
    </w:p>
    <w:p>
      <w:pPr>
        <w:sectPr>
          <w:pgSz w:w="11900" w:h="16838" w:orient="portrait"/>
          <w:cols w:equalWidth="0" w:num="2">
            <w:col w:w="6060" w:space="720"/>
            <w:col w:w="4500"/>
          </w:cols>
          <w:pgMar w:left="300" w:top="300"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PO Box 309, Ugland House,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Grand Cayman KY1-1104,</w:t>
      </w:r>
    </w:p>
    <w:p>
      <w:pPr>
        <w:sectPr>
          <w:pgSz w:w="11900" w:h="16838" w:orient="portrait"/>
          <w:cols w:equalWidth="0" w:num="1">
            <w:col w:w="11280"/>
          </w:cols>
          <w:pgMar w:left="300" w:top="300" w:right="31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Cayman Islands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Reference: 502885.00001</w:t>
      </w:r>
    </w:p>
    <w:p>
      <w:pPr>
        <w:spacing w:after="0" w:line="167" w:lineRule="exact"/>
        <w:rPr>
          <w:sz w:val="20"/>
          <w:szCs w:val="20"/>
          <w:color w:val="auto"/>
        </w:rPr>
      </w:pPr>
    </w:p>
    <w:p>
      <w:pPr>
        <w:sectPr>
          <w:pgSz w:w="11900" w:h="16838" w:orient="portrait"/>
          <w:cols w:equalWidth="0" w:num="2">
            <w:col w:w="6060" w:space="720"/>
            <w:col w:w="4500"/>
          </w:cols>
          <w:pgMar w:left="300" w:top="300" w:right="319" w:bottom="1440" w:gutter="0" w:footer="0" w:header="0"/>
          <w:type w:val="continuous"/>
        </w:sectPr>
      </w:pPr>
    </w:p>
    <w:p>
      <w:pPr>
        <w:ind w:left="6780"/>
        <w:spacing w:after="0"/>
        <w:rPr>
          <w:sz w:val="20"/>
          <w:szCs w:val="20"/>
          <w:color w:val="auto"/>
        </w:rPr>
      </w:pPr>
      <w:r>
        <w:rPr>
          <w:rFonts w:ascii="Times New Roman" w:cs="Times New Roman" w:eastAsia="Times New Roman" w:hAnsi="Times New Roman"/>
          <w:sz w:val="13"/>
          <w:szCs w:val="13"/>
          <w:color w:val="auto"/>
        </w:rPr>
        <w:t>27 October 2026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Zura Bio Limited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been requested to provide you with an opinion on matters of Cayman Islands law in connection with:</w:t>
      </w:r>
    </w:p>
    <w:p>
      <w:pPr>
        <w:sectPr>
          <w:pgSz w:w="11900" w:h="16838" w:orient="portrait"/>
          <w:cols w:equalWidth="0" w:num="1">
            <w:col w:w="11280"/>
          </w:cols>
          <w:pgMar w:left="300" w:top="300" w:right="319" w:bottom="1440" w:gutter="0" w:footer="0" w:header="0"/>
          <w:type w:val="continuous"/>
        </w:sectPr>
      </w:pPr>
    </w:p>
    <w:p>
      <w:pPr>
        <w:spacing w:after="0" w:line="164" w:lineRule="exact"/>
        <w:rPr>
          <w:sz w:val="20"/>
          <w:szCs w:val="20"/>
          <w:color w:val="auto"/>
        </w:rPr>
      </w:pPr>
    </w:p>
    <w:p>
      <w:pPr>
        <w:jc w:val="both"/>
        <w:ind w:left="500" w:hanging="498"/>
        <w:spacing w:after="0" w:line="259" w:lineRule="auto"/>
        <w:tabs>
          <w:tab w:leader="none" w:pos="5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Company's registration statement on Form S-3, including all amendments or supplements thereto filed with the United States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xml:space="preserve">) under the United States Securities Act of 1933 (the </w:t>
      </w:r>
      <w:r>
        <w:rPr>
          <w:rFonts w:ascii="Times New Roman" w:cs="Times New Roman" w:eastAsia="Times New Roman" w:hAnsi="Times New Roman"/>
          <w:sz w:val="14"/>
          <w:szCs w:val="14"/>
          <w:b w:val="1"/>
          <w:bCs w:val="1"/>
          <w:color w:val="auto"/>
        </w:rPr>
        <w:t>Act</w:t>
      </w:r>
      <w:r>
        <w:rPr>
          <w:rFonts w:ascii="Times New Roman" w:cs="Times New Roman" w:eastAsia="Times New Roman" w:hAnsi="Times New Roman"/>
          <w:sz w:val="14"/>
          <w:szCs w:val="14"/>
          <w:color w:val="auto"/>
        </w:rPr>
        <w:t xml:space="preserve">), as amended, (including its exhibits,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xml:space="preserve">) related to offering and sale of an unspecified amount of the following securities to be issued by the Company from time to time (together, the </w:t>
      </w:r>
      <w:r>
        <w:rPr>
          <w:rFonts w:ascii="Times New Roman" w:cs="Times New Roman" w:eastAsia="Times New Roman" w:hAnsi="Times New Roman"/>
          <w:sz w:val="14"/>
          <w:szCs w:val="14"/>
          <w:b w:val="1"/>
          <w:bCs w:val="1"/>
          <w:color w:val="auto"/>
        </w:rPr>
        <w:t>Shelf Securities</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ind w:left="980" w:hanging="485"/>
        <w:spacing w:after="0" w:line="273" w:lineRule="auto"/>
        <w:tabs>
          <w:tab w:leader="none" w:pos="98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Class A ordinary shares of a par value of US$0.0001 each in the capital of the Company (the </w:t>
      </w:r>
      <w:r>
        <w:rPr>
          <w:rFonts w:ascii="Times New Roman" w:cs="Times New Roman" w:eastAsia="Times New Roman" w:hAnsi="Times New Roman"/>
          <w:sz w:val="14"/>
          <w:szCs w:val="14"/>
          <w:b w:val="1"/>
          <w:bCs w:val="1"/>
          <w:color w:val="auto"/>
        </w:rPr>
        <w:t>Ordinary Shares</w:t>
      </w:r>
      <w:r>
        <w:rPr>
          <w:rFonts w:ascii="Times New Roman" w:cs="Times New Roman" w:eastAsia="Times New Roman" w:hAnsi="Times New Roman"/>
          <w:sz w:val="14"/>
          <w:szCs w:val="14"/>
          <w:color w:val="auto"/>
        </w:rPr>
        <w:t xml:space="preserve">) to be issued pursuant to the terms of a definitive purchase, underwriting or similar agreement (the </w:t>
      </w:r>
      <w:r>
        <w:rPr>
          <w:rFonts w:ascii="Times New Roman" w:cs="Times New Roman" w:eastAsia="Times New Roman" w:hAnsi="Times New Roman"/>
          <w:sz w:val="14"/>
          <w:szCs w:val="14"/>
          <w:b w:val="1"/>
          <w:bCs w:val="1"/>
          <w:color w:val="auto"/>
        </w:rPr>
        <w:t>Ordinary Shares Document</w:t>
      </w:r>
      <w:r>
        <w:rPr>
          <w:rFonts w:ascii="Times New Roman" w:cs="Times New Roman" w:eastAsia="Times New Roman" w:hAnsi="Times New Roman"/>
          <w:sz w:val="14"/>
          <w:szCs w:val="14"/>
          <w:color w:val="auto"/>
        </w:rPr>
        <w:t>);</w:t>
      </w:r>
    </w:p>
    <w:p>
      <w:pPr>
        <w:spacing w:after="0" w:line="126" w:lineRule="exact"/>
        <w:rPr>
          <w:rFonts w:ascii="Times New Roman" w:cs="Times New Roman" w:eastAsia="Times New Roman" w:hAnsi="Times New Roman"/>
          <w:sz w:val="14"/>
          <w:szCs w:val="14"/>
          <w:color w:val="auto"/>
        </w:rPr>
      </w:pPr>
    </w:p>
    <w:p>
      <w:pPr>
        <w:ind w:left="980" w:hanging="485"/>
        <w:spacing w:after="0" w:line="273" w:lineRule="auto"/>
        <w:tabs>
          <w:tab w:leader="none" w:pos="98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preference shares of a par value of US$0.0001 each in the capital of the Company (</w:t>
      </w:r>
      <w:r>
        <w:rPr>
          <w:rFonts w:ascii="Times New Roman" w:cs="Times New Roman" w:eastAsia="Times New Roman" w:hAnsi="Times New Roman"/>
          <w:sz w:val="14"/>
          <w:szCs w:val="14"/>
          <w:b w:val="1"/>
          <w:bCs w:val="1"/>
          <w:color w:val="auto"/>
        </w:rPr>
        <w:t>Preference Shares</w:t>
      </w:r>
      <w:r>
        <w:rPr>
          <w:rFonts w:ascii="Times New Roman" w:cs="Times New Roman" w:eastAsia="Times New Roman" w:hAnsi="Times New Roman"/>
          <w:sz w:val="14"/>
          <w:szCs w:val="14"/>
          <w:color w:val="auto"/>
        </w:rPr>
        <w:t xml:space="preserve">, and together with Ordinary Shares, </w:t>
      </w:r>
      <w:r>
        <w:rPr>
          <w:rFonts w:ascii="Times New Roman" w:cs="Times New Roman" w:eastAsia="Times New Roman" w:hAnsi="Times New Roman"/>
          <w:sz w:val="14"/>
          <w:szCs w:val="14"/>
          <w:b w:val="1"/>
          <w:bCs w:val="1"/>
          <w:color w:val="auto"/>
        </w:rPr>
        <w:t>Shelf Shares</w:t>
      </w:r>
      <w:r>
        <w:rPr>
          <w:rFonts w:ascii="Times New Roman" w:cs="Times New Roman" w:eastAsia="Times New Roman" w:hAnsi="Times New Roman"/>
          <w:sz w:val="14"/>
          <w:szCs w:val="14"/>
          <w:color w:val="auto"/>
        </w:rPr>
        <w:t xml:space="preserve">) to be issued pursuant to the terms of a definitive purchase, underwriting or similar agreement (the </w:t>
      </w:r>
      <w:r>
        <w:rPr>
          <w:rFonts w:ascii="Times New Roman" w:cs="Times New Roman" w:eastAsia="Times New Roman" w:hAnsi="Times New Roman"/>
          <w:sz w:val="14"/>
          <w:szCs w:val="14"/>
          <w:b w:val="1"/>
          <w:bCs w:val="1"/>
          <w:color w:val="auto"/>
        </w:rPr>
        <w:t>Preference Shares Document</w:t>
      </w:r>
      <w:r>
        <w:rPr>
          <w:rFonts w:ascii="Times New Roman" w:cs="Times New Roman" w:eastAsia="Times New Roman" w:hAnsi="Times New Roman"/>
          <w:sz w:val="14"/>
          <w:szCs w:val="14"/>
          <w:color w:val="auto"/>
        </w:rPr>
        <w:t>);</w:t>
      </w:r>
    </w:p>
    <w:p>
      <w:pPr>
        <w:spacing w:after="0" w:line="126" w:lineRule="exact"/>
        <w:rPr>
          <w:rFonts w:ascii="Times New Roman" w:cs="Times New Roman" w:eastAsia="Times New Roman" w:hAnsi="Times New Roman"/>
          <w:sz w:val="14"/>
          <w:szCs w:val="14"/>
          <w:color w:val="auto"/>
        </w:rPr>
      </w:pPr>
    </w:p>
    <w:p>
      <w:pPr>
        <w:ind w:left="980" w:hanging="485"/>
        <w:spacing w:after="0" w:line="273" w:lineRule="auto"/>
        <w:tabs>
          <w:tab w:leader="none" w:pos="98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debt securities (the </w:t>
      </w:r>
      <w:r>
        <w:rPr>
          <w:rFonts w:ascii="Times New Roman" w:cs="Times New Roman" w:eastAsia="Times New Roman" w:hAnsi="Times New Roman"/>
          <w:sz w:val="14"/>
          <w:szCs w:val="14"/>
          <w:b w:val="1"/>
          <w:bCs w:val="1"/>
          <w:color w:val="auto"/>
        </w:rPr>
        <w:t>Debt Securities</w:t>
      </w:r>
      <w:r>
        <w:rPr>
          <w:rFonts w:ascii="Times New Roman" w:cs="Times New Roman" w:eastAsia="Times New Roman" w:hAnsi="Times New Roman"/>
          <w:sz w:val="14"/>
          <w:szCs w:val="14"/>
          <w:color w:val="auto"/>
        </w:rPr>
        <w:t xml:space="preserve">), which may or may not be converted into Ordinary Shares and/or Preference Shares, to be issued pursuant to the terms of a definitive purchase, underwriting or similar agreement (the </w:t>
      </w:r>
      <w:r>
        <w:rPr>
          <w:rFonts w:ascii="Times New Roman" w:cs="Times New Roman" w:eastAsia="Times New Roman" w:hAnsi="Times New Roman"/>
          <w:sz w:val="14"/>
          <w:szCs w:val="14"/>
          <w:b w:val="1"/>
          <w:bCs w:val="1"/>
          <w:color w:val="auto"/>
        </w:rPr>
        <w:t>Debt Document</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Ogier (Cayman) LLP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89 Nexus Way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Camana Bay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Grand Cayman, KY1–9009</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T +1 345 949 9876</w:t>
            </w:r>
          </w:p>
        </w:tc>
        <w:tc>
          <w:tcPr>
            <w:tcW w:w="5620" w:type="dxa"/>
            <w:vAlign w:val="bottom"/>
          </w:tcPr>
          <w:p>
            <w:pPr>
              <w:spacing w:after="0"/>
              <w:rPr>
                <w:sz w:val="14"/>
                <w:szCs w:val="14"/>
                <w:color w:val="auto"/>
              </w:rPr>
            </w:pPr>
          </w:p>
        </w:tc>
      </w:tr>
      <w:tr>
        <w:trPr>
          <w:trHeight w:val="160"/>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F +1 305 513 5888</w:t>
            </w:r>
          </w:p>
        </w:tc>
        <w:tc>
          <w:tcPr>
            <w:tcW w:w="5620" w:type="dxa"/>
            <w:vAlign w:val="bottom"/>
          </w:tcPr>
          <w:p>
            <w:pPr>
              <w:spacing w:after="0"/>
              <w:rPr>
                <w:sz w:val="13"/>
                <w:szCs w:val="13"/>
                <w:color w:val="auto"/>
              </w:rPr>
            </w:pPr>
          </w:p>
        </w:tc>
      </w:tr>
      <w:tr>
        <w:trPr>
          <w:trHeight w:val="180"/>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ogier.com</w:t>
            </w:r>
          </w:p>
        </w:tc>
        <w:tc>
          <w:tcPr>
            <w:tcW w:w="5620" w:type="dxa"/>
            <w:vAlign w:val="bottom"/>
          </w:tcPr>
          <w:p>
            <w:pPr>
              <w:ind w:left="2860"/>
              <w:spacing w:after="0"/>
              <w:rPr>
                <w:sz w:val="20"/>
                <w:szCs w:val="20"/>
                <w:color w:val="auto"/>
              </w:rPr>
            </w:pPr>
            <w:r>
              <w:rPr>
                <w:rFonts w:ascii="Times New Roman" w:cs="Times New Roman" w:eastAsia="Times New Roman" w:hAnsi="Times New Roman"/>
                <w:sz w:val="14"/>
                <w:szCs w:val="14"/>
                <w:color w:val="auto"/>
                <w:w w:val="97"/>
              </w:rPr>
              <w:t>A list of Partners may be inspected on our website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326390</wp:posOffset>
            </wp:positionV>
            <wp:extent cx="716534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16" w:lineRule="exact"/>
        <w:rPr>
          <w:sz w:val="20"/>
          <w:szCs w:val="20"/>
          <w:color w:val="auto"/>
        </w:rPr>
      </w:pPr>
    </w:p>
    <w:p>
      <w:pPr>
        <w:ind w:left="980" w:hanging="485"/>
        <w:spacing w:after="0" w:line="273" w:lineRule="auto"/>
        <w:tabs>
          <w:tab w:leader="none" w:pos="9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warrants to purchase Ordinary Shares, Preference Shares, Debt Securities or any combination thereof (the </w:t>
      </w:r>
      <w:r>
        <w:rPr>
          <w:rFonts w:ascii="Times New Roman" w:cs="Times New Roman" w:eastAsia="Times New Roman" w:hAnsi="Times New Roman"/>
          <w:sz w:val="14"/>
          <w:szCs w:val="14"/>
          <w:b w:val="1"/>
          <w:bCs w:val="1"/>
          <w:color w:val="auto"/>
        </w:rPr>
        <w:t>Warrants</w:t>
      </w:r>
      <w:r>
        <w:rPr>
          <w:rFonts w:ascii="Times New Roman" w:cs="Times New Roman" w:eastAsia="Times New Roman" w:hAnsi="Times New Roman"/>
          <w:sz w:val="14"/>
          <w:szCs w:val="14"/>
          <w:color w:val="auto"/>
        </w:rPr>
        <w:t xml:space="preserve">) issuable pursuant to the terms of a warrant agreement to be entered into between the Company and a warrant agent for such Warrants thereunder (the </w:t>
      </w:r>
      <w:r>
        <w:rPr>
          <w:rFonts w:ascii="Times New Roman" w:cs="Times New Roman" w:eastAsia="Times New Roman" w:hAnsi="Times New Roman"/>
          <w:sz w:val="14"/>
          <w:szCs w:val="14"/>
          <w:b w:val="1"/>
          <w:bCs w:val="1"/>
          <w:color w:val="auto"/>
        </w:rPr>
        <w:t>Warrant Document</w:t>
      </w:r>
      <w:r>
        <w:rPr>
          <w:rFonts w:ascii="Times New Roman" w:cs="Times New Roman" w:eastAsia="Times New Roman" w:hAnsi="Times New Roman"/>
          <w:sz w:val="14"/>
          <w:szCs w:val="14"/>
          <w:color w:val="auto"/>
        </w:rPr>
        <w:t>);</w:t>
      </w:r>
    </w:p>
    <w:p>
      <w:pPr>
        <w:spacing w:after="0" w:line="126" w:lineRule="exact"/>
        <w:rPr>
          <w:rFonts w:ascii="Times New Roman" w:cs="Times New Roman" w:eastAsia="Times New Roman" w:hAnsi="Times New Roman"/>
          <w:sz w:val="14"/>
          <w:szCs w:val="14"/>
          <w:color w:val="auto"/>
        </w:rPr>
      </w:pPr>
    </w:p>
    <w:p>
      <w:pPr>
        <w:ind w:left="980" w:hanging="485"/>
        <w:spacing w:after="0" w:line="273" w:lineRule="auto"/>
        <w:tabs>
          <w:tab w:leader="none" w:pos="9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units comprising any combination of Ordinary Shares, Preference Shares, Warrants, and Debt Securities (the </w:t>
      </w: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4"/>
          <w:szCs w:val="14"/>
          <w:color w:val="auto"/>
        </w:rPr>
        <w:t xml:space="preserve">) to be issued under a unit agreement, purchase agreement or similar agreement between the Company and a unit agent to be specified therein, if any (the </w:t>
      </w:r>
      <w:r>
        <w:rPr>
          <w:rFonts w:ascii="Times New Roman" w:cs="Times New Roman" w:eastAsia="Times New Roman" w:hAnsi="Times New Roman"/>
          <w:sz w:val="14"/>
          <w:szCs w:val="14"/>
          <w:b w:val="1"/>
          <w:bCs w:val="1"/>
          <w:color w:val="auto"/>
        </w:rPr>
        <w:t>Unit Document</w:t>
      </w:r>
      <w:r>
        <w:rPr>
          <w:rFonts w:ascii="Times New Roman" w:cs="Times New Roman" w:eastAsia="Times New Roman" w:hAnsi="Times New Roman"/>
          <w:sz w:val="14"/>
          <w:szCs w:val="14"/>
          <w:color w:val="auto"/>
        </w:rPr>
        <w:t>); and</w:t>
      </w:r>
    </w:p>
    <w:p>
      <w:pPr>
        <w:spacing w:after="0" w:line="127" w:lineRule="exact"/>
        <w:rPr>
          <w:sz w:val="20"/>
          <w:szCs w:val="20"/>
          <w:color w:val="auto"/>
        </w:rPr>
      </w:pPr>
    </w:p>
    <w:p>
      <w:pPr>
        <w:jc w:val="both"/>
        <w:ind w:left="500" w:hanging="498"/>
        <w:spacing w:after="0" w:line="259" w:lineRule="auto"/>
        <w:tabs>
          <w:tab w:leader="none" w:pos="5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sales agreement prospectus (the </w:t>
      </w:r>
      <w:r>
        <w:rPr>
          <w:rFonts w:ascii="Times New Roman" w:cs="Times New Roman" w:eastAsia="Times New Roman" w:hAnsi="Times New Roman"/>
          <w:sz w:val="14"/>
          <w:szCs w:val="14"/>
          <w:b w:val="1"/>
          <w:bCs w:val="1"/>
          <w:color w:val="auto"/>
        </w:rPr>
        <w:t>ATM Prospectus</w:t>
      </w:r>
      <w:r>
        <w:rPr>
          <w:rFonts w:ascii="Times New Roman" w:cs="Times New Roman" w:eastAsia="Times New Roman" w:hAnsi="Times New Roman"/>
          <w:sz w:val="14"/>
          <w:szCs w:val="14"/>
          <w:color w:val="auto"/>
        </w:rPr>
        <w:t xml:space="preserve">) included with the base prospectus (the </w:t>
      </w:r>
      <w:r>
        <w:rPr>
          <w:rFonts w:ascii="Times New Roman" w:cs="Times New Roman" w:eastAsia="Times New Roman" w:hAnsi="Times New Roman"/>
          <w:sz w:val="14"/>
          <w:szCs w:val="14"/>
          <w:b w:val="1"/>
          <w:bCs w:val="1"/>
          <w:color w:val="auto"/>
        </w:rPr>
        <w:t>Base Prospectus</w:t>
      </w:r>
      <w:r>
        <w:rPr>
          <w:rFonts w:ascii="Times New Roman" w:cs="Times New Roman" w:eastAsia="Times New Roman" w:hAnsi="Times New Roman"/>
          <w:sz w:val="14"/>
          <w:szCs w:val="14"/>
          <w:color w:val="auto"/>
        </w:rPr>
        <w:t xml:space="preserve">) filed in connection with the Registration Statement related to offering and sale of up to US$114,044,900 worth of Class A ordinary shares of a par value of US$0.0001 each (the </w:t>
      </w:r>
      <w:r>
        <w:rPr>
          <w:rFonts w:ascii="Times New Roman" w:cs="Times New Roman" w:eastAsia="Times New Roman" w:hAnsi="Times New Roman"/>
          <w:sz w:val="14"/>
          <w:szCs w:val="14"/>
          <w:b w:val="1"/>
          <w:bCs w:val="1"/>
          <w:color w:val="auto"/>
        </w:rPr>
        <w:t>ATM Shares</w:t>
      </w:r>
      <w:r>
        <w:rPr>
          <w:rFonts w:ascii="Times New Roman" w:cs="Times New Roman" w:eastAsia="Times New Roman" w:hAnsi="Times New Roman"/>
          <w:sz w:val="14"/>
          <w:szCs w:val="14"/>
          <w:color w:val="auto"/>
        </w:rPr>
        <w:t xml:space="preserve"> and, together with the Shelf Shares, the </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pursuant to the terms of the ATM Documents (as defined in Schedule 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Ordinary Shares Document, Preference Shares Document, Debt Document, Warrant Document, and Unit Document are referred to herein collectively as </w:t>
      </w:r>
      <w:r>
        <w:rPr>
          <w:rFonts w:ascii="Times New Roman" w:cs="Times New Roman" w:eastAsia="Times New Roman" w:hAnsi="Times New Roman"/>
          <w:sz w:val="14"/>
          <w:szCs w:val="14"/>
          <w:b w:val="1"/>
          <w:bCs w:val="1"/>
          <w:color w:val="auto"/>
        </w:rPr>
        <w:t>Transaction Documents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opinion is given in accordance with the terms of the Legal Matters section of the Registration Statement and ATM Prospectus.</w:t>
      </w:r>
    </w:p>
    <w:p>
      <w:pPr>
        <w:spacing w:after="0" w:line="16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Unless a contrary intention appears, all capitalised terms used in this opinion have the respective meanings set forth in Schedule 1. A reference to a Schedule is a reference to a schedule to this opinion and the headings herein are for convenience only and do not affect the construction of this opinion.</w:t>
      </w:r>
    </w:p>
    <w:p>
      <w:pPr>
        <w:spacing w:after="0" w:line="131" w:lineRule="exact"/>
        <w:rPr>
          <w:sz w:val="20"/>
          <w:szCs w:val="20"/>
          <w:color w:val="auto"/>
        </w:rPr>
      </w:pPr>
    </w:p>
    <w:p>
      <w:pPr>
        <w:ind w:left="480" w:hanging="478"/>
        <w:spacing w:after="0"/>
        <w:tabs>
          <w:tab w:leader="none" w:pos="480"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examined</w:t>
      </w:r>
    </w:p>
    <w:p>
      <w:pPr>
        <w:spacing w:after="0" w:line="168" w:lineRule="exact"/>
        <w:rPr>
          <w:sz w:val="20"/>
          <w:szCs w:val="20"/>
          <w:color w:val="auto"/>
        </w:rPr>
      </w:pPr>
    </w:p>
    <w:p>
      <w:pPr>
        <w:jc w:val="both"/>
        <w:ind w:left="500"/>
        <w:spacing w:after="0" w:line="259" w:lineRule="auto"/>
        <w:rPr>
          <w:sz w:val="20"/>
          <w:szCs w:val="20"/>
          <w:color w:val="auto"/>
        </w:rPr>
      </w:pPr>
      <w:r>
        <w:rPr>
          <w:rFonts w:ascii="Times New Roman" w:cs="Times New Roman" w:eastAsia="Times New Roman" w:hAnsi="Times New Roman"/>
          <w:sz w:val="14"/>
          <w:szCs w:val="14"/>
          <w:color w:val="auto"/>
        </w:rPr>
        <w:t xml:space="preserve">For the purposes of giving this opinion, we have examined copies of the documents listed in Part B of Schedule 1 (the </w:t>
      </w:r>
      <w:r>
        <w:rPr>
          <w:rFonts w:ascii="Times New Roman" w:cs="Times New Roman" w:eastAsia="Times New Roman" w:hAnsi="Times New Roman"/>
          <w:sz w:val="14"/>
          <w:szCs w:val="14"/>
          <w:b w:val="1"/>
          <w:bCs w:val="1"/>
          <w:color w:val="auto"/>
        </w:rPr>
        <w:t>ATM Documents</w:t>
      </w:r>
      <w:r>
        <w:rPr>
          <w:rFonts w:ascii="Times New Roman" w:cs="Times New Roman" w:eastAsia="Times New Roman" w:hAnsi="Times New Roman"/>
          <w:sz w:val="14"/>
          <w:szCs w:val="14"/>
          <w:color w:val="auto"/>
        </w:rPr>
        <w:t>). In addition, we have examined the corporate and other documents and conducted the searches listed in Part A of Schedule 1. We have not made any searches or enquiries concerning, and have not examined any documents entered into by or affecting the Company or any other person, save for the searches, enquiries and examinations expressly referred to in Schedule 1.</w:t>
      </w:r>
    </w:p>
    <w:p>
      <w:pPr>
        <w:spacing w:after="0" w:line="136" w:lineRule="exact"/>
        <w:rPr>
          <w:sz w:val="20"/>
          <w:szCs w:val="20"/>
          <w:color w:val="auto"/>
        </w:rPr>
      </w:pPr>
    </w:p>
    <w:p>
      <w:pPr>
        <w:ind w:left="480" w:hanging="478"/>
        <w:spacing w:after="0"/>
        <w:tabs>
          <w:tab w:leader="none" w:pos="48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Assumptions</w:t>
      </w:r>
    </w:p>
    <w:p>
      <w:pPr>
        <w:spacing w:after="0" w:line="171" w:lineRule="exact"/>
        <w:rPr>
          <w:rFonts w:ascii="Times New Roman" w:cs="Times New Roman" w:eastAsia="Times New Roman" w:hAnsi="Times New Roman"/>
          <w:sz w:val="14"/>
          <w:szCs w:val="14"/>
          <w:b w:val="1"/>
          <w:bCs w:val="1"/>
          <w:color w:val="auto"/>
        </w:rPr>
      </w:pPr>
    </w:p>
    <w:p>
      <w:pPr>
        <w:ind w:left="5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giving this opinion we have relied upon the assumptions set forth in Schedule 2 without having carried out any independent investigation or verification in respect of those assumptions.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16" w:lineRule="exact"/>
        <w:rPr>
          <w:sz w:val="20"/>
          <w:szCs w:val="20"/>
          <w:color w:val="auto"/>
        </w:rPr>
      </w:pPr>
    </w:p>
    <w:p>
      <w:pPr>
        <w:ind w:left="480" w:hanging="478"/>
        <w:spacing w:after="0"/>
        <w:tabs>
          <w:tab w:leader="none" w:pos="48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Opinions</w:t>
      </w:r>
    </w:p>
    <w:p>
      <w:pPr>
        <w:spacing w:after="0" w:line="171" w:lineRule="exact"/>
        <w:rPr>
          <w:rFonts w:ascii="Times New Roman" w:cs="Times New Roman" w:eastAsia="Times New Roman" w:hAnsi="Times New Roman"/>
          <w:sz w:val="14"/>
          <w:szCs w:val="14"/>
          <w:b w:val="1"/>
          <w:bCs w:val="1"/>
          <w:color w:val="auto"/>
        </w:rPr>
      </w:pPr>
    </w:p>
    <w:p>
      <w:pPr>
        <w:ind w:left="5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the basis of the examinations and assumptions referred to above and subject to the qualifications set forth in Schedule 3 and the limitations set forth below, we are of the opinion that:</w:t>
      </w:r>
    </w:p>
    <w:p>
      <w:pPr>
        <w:spacing w:after="0" w:line="163" w:lineRule="exact"/>
        <w:rPr>
          <w:rFonts w:ascii="Times New Roman" w:cs="Times New Roman" w:eastAsia="Times New Roman" w:hAnsi="Times New Roman"/>
          <w:sz w:val="14"/>
          <w:szCs w:val="14"/>
          <w:b w:val="1"/>
          <w:bCs w:val="1"/>
          <w:color w:val="auto"/>
        </w:rPr>
      </w:pPr>
    </w:p>
    <w:p>
      <w:pPr>
        <w:ind w:left="5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Corporate status</w:t>
      </w:r>
    </w:p>
    <w:p>
      <w:pPr>
        <w:spacing w:after="0" w:line="172" w:lineRule="exact"/>
        <w:rPr>
          <w:sz w:val="20"/>
          <w:szCs w:val="20"/>
          <w:color w:val="auto"/>
        </w:rPr>
      </w:pPr>
    </w:p>
    <w:p>
      <w:pPr>
        <w:ind w:left="960" w:hanging="465"/>
        <w:spacing w:after="0" w:line="267" w:lineRule="auto"/>
        <w:tabs>
          <w:tab w:leader="none" w:pos="9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has been duly incorporated as an exempted company with limited liability and is validly existing and in good standing with the Registrar of Companies of the Cayman Islands (the </w:t>
      </w:r>
      <w:r>
        <w:rPr>
          <w:rFonts w:ascii="Times New Roman" w:cs="Times New Roman" w:eastAsia="Times New Roman" w:hAnsi="Times New Roman"/>
          <w:sz w:val="14"/>
          <w:szCs w:val="14"/>
          <w:b w:val="1"/>
          <w:bCs w:val="1"/>
          <w:color w:val="auto"/>
        </w:rPr>
        <w:t>Registrar</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Issuance of Shelf Shares</w:t>
      </w:r>
    </w:p>
    <w:p>
      <w:pPr>
        <w:spacing w:after="0" w:line="172" w:lineRule="exact"/>
        <w:rPr>
          <w:sz w:val="20"/>
          <w:szCs w:val="20"/>
          <w:color w:val="auto"/>
        </w:rPr>
      </w:pPr>
    </w:p>
    <w:p>
      <w:pPr>
        <w:ind w:left="960" w:hanging="465"/>
        <w:spacing w:after="0" w:line="267" w:lineRule="auto"/>
        <w:tabs>
          <w:tab w:leader="none" w:pos="9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Shelf Shares to be offered and issued by the Company as contemplated by the Registration Statement (including the issuance of the Shelf Shares upon the conversion, exchange, redemption, repurchase or exercise of any Shelf Security) shall be validly issued, fully paid and non-assessable when:</w:t>
      </w:r>
    </w:p>
    <w:p>
      <w:pPr>
        <w:spacing w:after="0" w:line="130" w:lineRule="exact"/>
        <w:rPr>
          <w:rFonts w:ascii="Times New Roman" w:cs="Times New Roman" w:eastAsia="Times New Roman" w:hAnsi="Times New Roman"/>
          <w:sz w:val="14"/>
          <w:szCs w:val="14"/>
          <w:color w:val="auto"/>
        </w:rPr>
      </w:pPr>
    </w:p>
    <w:p>
      <w:pPr>
        <w:ind w:left="1480" w:hanging="492"/>
        <w:spacing w:after="0"/>
        <w:tabs>
          <w:tab w:leader="none" w:pos="148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board of directors of the Company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has taken all necessary corporate actions to approve:</w:t>
      </w:r>
    </w:p>
    <w:p>
      <w:pPr>
        <w:spacing w:after="0" w:line="171" w:lineRule="exact"/>
        <w:rPr>
          <w:rFonts w:ascii="Times New Roman" w:cs="Times New Roman" w:eastAsia="Times New Roman" w:hAnsi="Times New Roman"/>
          <w:sz w:val="14"/>
          <w:szCs w:val="14"/>
          <w:color w:val="auto"/>
        </w:rPr>
      </w:pPr>
    </w:p>
    <w:p>
      <w:pPr>
        <w:ind w:left="1980" w:hanging="499"/>
        <w:spacing w:after="0"/>
        <w:tabs>
          <w:tab w:leader="none" w:pos="1980" w:val="left"/>
        </w:tabs>
        <w:numPr>
          <w:ilvl w:val="2"/>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terms, execution and delivery of the relevant Transaction Document;</w:t>
      </w:r>
    </w:p>
    <w:p>
      <w:pPr>
        <w:spacing w:after="0" w:line="167" w:lineRule="exact"/>
        <w:rPr>
          <w:rFonts w:ascii="Times New Roman" w:cs="Times New Roman" w:eastAsia="Times New Roman" w:hAnsi="Times New Roman"/>
          <w:sz w:val="14"/>
          <w:szCs w:val="14"/>
          <w:color w:val="auto"/>
        </w:rPr>
      </w:pPr>
    </w:p>
    <w:p>
      <w:pPr>
        <w:ind w:left="1980" w:hanging="499"/>
        <w:spacing w:after="0" w:line="267" w:lineRule="auto"/>
        <w:tabs>
          <w:tab w:leader="none" w:pos="1980" w:val="left"/>
        </w:tabs>
        <w:numPr>
          <w:ilvl w:val="2"/>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and allotment of the Shelf Shares (including the issuance and allotment of the Shelf Shares upon conversion, exchange, redemption, repurchase or exercise of any Shelf Security) in accordance with the Transaction Document; and</w:t>
      </w:r>
    </w:p>
    <w:p>
      <w:pPr>
        <w:spacing w:after="0" w:line="134" w:lineRule="exact"/>
        <w:rPr>
          <w:rFonts w:ascii="Times New Roman" w:cs="Times New Roman" w:eastAsia="Times New Roman" w:hAnsi="Times New Roman"/>
          <w:sz w:val="14"/>
          <w:szCs w:val="14"/>
          <w:color w:val="auto"/>
        </w:rPr>
      </w:pPr>
    </w:p>
    <w:p>
      <w:pPr>
        <w:ind w:left="1980" w:hanging="499"/>
        <w:spacing w:after="0"/>
        <w:tabs>
          <w:tab w:leader="none" w:pos="1980" w:val="left"/>
        </w:tabs>
        <w:numPr>
          <w:ilvl w:val="2"/>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related matters;</w:t>
      </w:r>
    </w:p>
    <w:p>
      <w:pPr>
        <w:spacing w:after="0" w:line="167" w:lineRule="exact"/>
        <w:rPr>
          <w:rFonts w:ascii="Times New Roman" w:cs="Times New Roman" w:eastAsia="Times New Roman" w:hAnsi="Times New Roman"/>
          <w:sz w:val="14"/>
          <w:szCs w:val="14"/>
          <w:color w:val="auto"/>
        </w:rPr>
      </w:pPr>
    </w:p>
    <w:p>
      <w:pPr>
        <w:ind w:left="1480" w:hanging="492"/>
        <w:spacing w:after="0"/>
        <w:tabs>
          <w:tab w:leader="none" w:pos="148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the relevant Transaction Document approved by the Board have been satisfied and payment of the consideration specified therein has been made;</w:t>
      </w:r>
    </w:p>
    <w:p>
      <w:pPr>
        <w:spacing w:after="0" w:line="167" w:lineRule="exact"/>
        <w:rPr>
          <w:rFonts w:ascii="Times New Roman" w:cs="Times New Roman" w:eastAsia="Times New Roman" w:hAnsi="Times New Roman"/>
          <w:sz w:val="14"/>
          <w:szCs w:val="14"/>
          <w:color w:val="auto"/>
        </w:rPr>
      </w:pPr>
    </w:p>
    <w:p>
      <w:pPr>
        <w:ind w:left="1480" w:hanging="492"/>
        <w:spacing w:after="0" w:line="267" w:lineRule="auto"/>
        <w:tabs>
          <w:tab w:leader="none" w:pos="148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Shelf Shares are issuable upon conversion, exchange, redemption, repurchase or exercise of any Shelf Security, the terms of such Shelf Security, as approved by the Board, have been satisfied and payment of the consideration specified thereby has been made; and</w:t>
      </w:r>
    </w:p>
    <w:p>
      <w:pPr>
        <w:spacing w:after="0" w:line="134" w:lineRule="exact"/>
        <w:rPr>
          <w:rFonts w:ascii="Times New Roman" w:cs="Times New Roman" w:eastAsia="Times New Roman" w:hAnsi="Times New Roman"/>
          <w:sz w:val="14"/>
          <w:szCs w:val="14"/>
          <w:color w:val="auto"/>
        </w:rPr>
      </w:pPr>
    </w:p>
    <w:p>
      <w:pPr>
        <w:ind w:left="1480" w:hanging="492"/>
        <w:spacing w:after="0"/>
        <w:tabs>
          <w:tab w:leader="none" w:pos="148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Shelf Shares have been entered on the register of members of the Company as fully paid.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Issuance of ATM Shares</w:t>
      </w:r>
    </w:p>
    <w:p>
      <w:pPr>
        <w:spacing w:after="0" w:line="172" w:lineRule="exact"/>
        <w:rPr>
          <w:sz w:val="20"/>
          <w:szCs w:val="20"/>
          <w:color w:val="auto"/>
        </w:rPr>
      </w:pPr>
    </w:p>
    <w:p>
      <w:pPr>
        <w:ind w:left="960" w:hanging="465"/>
        <w:spacing w:after="0"/>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ATM Shares to be offered and issued by the Company as contemplated by the ATM Prospectus, when issued by the Company:</w:t>
      </w:r>
    </w:p>
    <w:p>
      <w:pPr>
        <w:spacing w:after="0" w:line="167" w:lineRule="exact"/>
        <w:rPr>
          <w:rFonts w:ascii="Times New Roman" w:cs="Times New Roman" w:eastAsia="Times New Roman" w:hAnsi="Times New Roman"/>
          <w:sz w:val="14"/>
          <w:szCs w:val="14"/>
          <w:color w:val="auto"/>
        </w:rPr>
      </w:pPr>
    </w:p>
    <w:p>
      <w:pPr>
        <w:ind w:left="1480" w:hanging="492"/>
        <w:spacing w:after="0"/>
        <w:tabs>
          <w:tab w:leader="none" w:pos="148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payment in full of the consideration as set out in the ATM Prospectus and the ATM Documents;</w:t>
      </w:r>
    </w:p>
    <w:p>
      <w:pPr>
        <w:spacing w:after="0" w:line="167" w:lineRule="exact"/>
        <w:rPr>
          <w:rFonts w:ascii="Times New Roman" w:cs="Times New Roman" w:eastAsia="Times New Roman" w:hAnsi="Times New Roman"/>
          <w:sz w:val="14"/>
          <w:szCs w:val="14"/>
          <w:color w:val="auto"/>
        </w:rPr>
      </w:pPr>
    </w:p>
    <w:p>
      <w:pPr>
        <w:ind w:left="1480" w:hanging="492"/>
        <w:spacing w:after="0"/>
        <w:tabs>
          <w:tab w:leader="none" w:pos="148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ATM Prospectus, the ATM Documents, the Resolutions and the Memorandum and Articles of Association; and</w:t>
      </w:r>
    </w:p>
    <w:p>
      <w:pPr>
        <w:spacing w:after="0" w:line="167" w:lineRule="exact"/>
        <w:rPr>
          <w:rFonts w:ascii="Times New Roman" w:cs="Times New Roman" w:eastAsia="Times New Roman" w:hAnsi="Times New Roman"/>
          <w:sz w:val="14"/>
          <w:szCs w:val="14"/>
          <w:color w:val="auto"/>
        </w:rPr>
      </w:pPr>
    </w:p>
    <w:p>
      <w:pPr>
        <w:ind w:left="1480" w:hanging="492"/>
        <w:spacing w:after="0"/>
        <w:tabs>
          <w:tab w:leader="none" w:pos="1480"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entry of those ATM Shares as fully paid on the register of members of the Company,</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shall be validly issued, fully paid and non-assessable.</w:t>
      </w:r>
    </w:p>
    <w:p>
      <w:pPr>
        <w:spacing w:after="0" w:line="164" w:lineRule="exact"/>
        <w:rPr>
          <w:sz w:val="20"/>
          <w:szCs w:val="20"/>
          <w:color w:val="auto"/>
        </w:rPr>
      </w:pPr>
    </w:p>
    <w:p>
      <w:pPr>
        <w:jc w:val="both"/>
        <w:ind w:left="500" w:right="9620" w:hanging="498"/>
        <w:spacing w:after="0" w:line="530" w:lineRule="auto"/>
        <w:tabs>
          <w:tab w:leader="none" w:pos="490" w:val="left"/>
        </w:tabs>
        <w:numPr>
          <w:ilvl w:val="0"/>
          <w:numId w:val="6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Matters not covered </w:t>
      </w:r>
      <w:r>
        <w:rPr>
          <w:rFonts w:ascii="Times New Roman" w:cs="Times New Roman" w:eastAsia="Times New Roman" w:hAnsi="Times New Roman"/>
          <w:sz w:val="13"/>
          <w:szCs w:val="13"/>
          <w:color w:val="auto"/>
        </w:rPr>
        <w:t>We offer no opinion:</w:t>
      </w:r>
    </w:p>
    <w:p>
      <w:pPr>
        <w:ind w:left="960" w:hanging="465"/>
        <w:spacing w:after="0" w:line="306" w:lineRule="auto"/>
        <w:tabs>
          <w:tab w:leader="none" w:pos="960"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to any laws other than the laws of the Cayman Islands, and we have not, for the purposes of this opinion, made any investigation of the laws of any other jurisdiction, and we express no opinion as to the meaning, validity, or effect of references in any document to statutes, rules, regulations, codes or judicial authority of any jurisdiction other than the Cayman Islands;</w:t>
      </w:r>
    </w:p>
    <w:p>
      <w:pPr>
        <w:spacing w:after="0" w:line="111" w:lineRule="exact"/>
        <w:rPr>
          <w:rFonts w:ascii="Times New Roman" w:cs="Times New Roman" w:eastAsia="Times New Roman" w:hAnsi="Times New Roman"/>
          <w:sz w:val="13"/>
          <w:szCs w:val="13"/>
          <w:color w:val="auto"/>
        </w:rPr>
      </w:pPr>
    </w:p>
    <w:p>
      <w:pPr>
        <w:jc w:val="both"/>
        <w:ind w:left="960" w:hanging="465"/>
        <w:spacing w:after="0" w:line="252" w:lineRule="auto"/>
        <w:tabs>
          <w:tab w:leader="none" w:pos="96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p>
      <w:pPr>
        <w:spacing w:after="0" w:line="145" w:lineRule="exact"/>
        <w:rPr>
          <w:rFonts w:ascii="Times New Roman" w:cs="Times New Roman" w:eastAsia="Times New Roman" w:hAnsi="Times New Roman"/>
          <w:sz w:val="14"/>
          <w:szCs w:val="14"/>
          <w:color w:val="auto"/>
        </w:rPr>
      </w:pPr>
    </w:p>
    <w:p>
      <w:pPr>
        <w:ind w:left="960" w:hanging="465"/>
        <w:spacing w:after="0" w:line="267" w:lineRule="auto"/>
        <w:tabs>
          <w:tab w:leader="none" w:pos="96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to whether the acceptance, execution or performance of the Company’s obligations under the documents reviewed by us will result in the breach of or infringe any other agreement, deed or document (other than, to the extent expressly provided herein, the Memorandum and Articles of Association) entered into by or binding on the Company.</w:t>
      </w:r>
    </w:p>
    <w:p>
      <w:pPr>
        <w:spacing w:after="0" w:line="131" w:lineRule="exact"/>
        <w:rPr>
          <w:sz w:val="20"/>
          <w:szCs w:val="20"/>
          <w:color w:val="auto"/>
        </w:rPr>
      </w:pPr>
    </w:p>
    <w:p>
      <w:pPr>
        <w:ind w:left="480" w:hanging="478"/>
        <w:spacing w:after="0"/>
        <w:tabs>
          <w:tab w:leader="none" w:pos="48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Governing law of this opinion</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3"/>
          <w:szCs w:val="13"/>
          <w:color w:val="auto"/>
        </w:rPr>
        <w:t>This opinion is:</w:t>
      </w:r>
    </w:p>
    <w:p>
      <w:pPr>
        <w:spacing w:after="0" w:line="168" w:lineRule="exact"/>
        <w:rPr>
          <w:sz w:val="20"/>
          <w:szCs w:val="20"/>
          <w:color w:val="auto"/>
        </w:rPr>
      </w:pPr>
    </w:p>
    <w:p>
      <w:pPr>
        <w:ind w:left="960" w:hanging="465"/>
        <w:spacing w:after="0"/>
        <w:tabs>
          <w:tab w:leader="none" w:pos="9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governed by, and shall be construed in accordance with, the laws of the Cayman Islands;</w:t>
      </w:r>
    </w:p>
    <w:p>
      <w:pPr>
        <w:spacing w:after="0" w:line="167" w:lineRule="exact"/>
        <w:rPr>
          <w:rFonts w:ascii="Times New Roman" w:cs="Times New Roman" w:eastAsia="Times New Roman" w:hAnsi="Times New Roman"/>
          <w:sz w:val="14"/>
          <w:szCs w:val="14"/>
          <w:color w:val="auto"/>
        </w:rPr>
      </w:pPr>
    </w:p>
    <w:p>
      <w:pPr>
        <w:ind w:left="960" w:hanging="465"/>
        <w:spacing w:after="0"/>
        <w:tabs>
          <w:tab w:leader="none" w:pos="9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to the matters expressly stated in it; and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20" w:lineRule="exact"/>
        <w:rPr>
          <w:sz w:val="20"/>
          <w:szCs w:val="20"/>
          <w:color w:val="auto"/>
        </w:rPr>
      </w:pPr>
    </w:p>
    <w:p>
      <w:pPr>
        <w:ind w:left="960" w:hanging="465"/>
        <w:spacing w:after="0"/>
        <w:tabs>
          <w:tab w:leader="none" w:pos="9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confined to, and given on the basis of, the laws and practice in the Cayman Islands at the date of this opinion.</w:t>
      </w:r>
    </w:p>
    <w:p>
      <w:pPr>
        <w:spacing w:after="0" w:line="1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3"/>
          <w:szCs w:val="13"/>
          <w:color w:val="auto"/>
        </w:rPr>
        <w:t>Unless otherwise indicated, a reference to any specific Cayman Islands legislation is a reference to that legislation as amended to, and as in force at, the date of this opinion.</w:t>
      </w:r>
    </w:p>
    <w:p>
      <w:pPr>
        <w:spacing w:after="0" w:line="164" w:lineRule="exact"/>
        <w:rPr>
          <w:sz w:val="20"/>
          <w:szCs w:val="20"/>
          <w:color w:val="auto"/>
        </w:rPr>
      </w:pPr>
    </w:p>
    <w:p>
      <w:pPr>
        <w:ind w:left="480" w:hanging="478"/>
        <w:spacing w:after="0"/>
        <w:tabs>
          <w:tab w:leader="none" w:pos="48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Consent</w:t>
      </w:r>
    </w:p>
    <w:p>
      <w:pPr>
        <w:spacing w:after="0" w:line="171" w:lineRule="exact"/>
        <w:rPr>
          <w:rFonts w:ascii="Times New Roman" w:cs="Times New Roman" w:eastAsia="Times New Roman" w:hAnsi="Times New Roman"/>
          <w:sz w:val="14"/>
          <w:szCs w:val="14"/>
          <w:b w:val="1"/>
          <w:bCs w:val="1"/>
          <w:color w:val="auto"/>
        </w:rPr>
      </w:pPr>
    </w:p>
    <w:p>
      <w:pPr>
        <w:jc w:val="both"/>
        <w:ind w:left="500"/>
        <w:spacing w:after="0" w:line="25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hereby consent to the filing of this opinion as an exhibit to the Registration Statement and also consent to the reference to this firm in the Registration Statement under the heading “Legal Matters”. In the giving of our consent, we do not thereby admit that we are in the category of persons whose consent is required under Section 7 of the Act or the Rules and Regulations of the Commission thereunder.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Yours faithfully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Ogier (Cayman) LLP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Ogier (Cayman) LLP</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SCHEDULE 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A – corporate and other documents</w:t>
      </w:r>
    </w:p>
    <w:p>
      <w:pPr>
        <w:spacing w:after="0" w:line="172" w:lineRule="exact"/>
        <w:rPr>
          <w:sz w:val="20"/>
          <w:szCs w:val="20"/>
          <w:color w:val="auto"/>
        </w:rPr>
      </w:pPr>
    </w:p>
    <w:p>
      <w:pPr>
        <w:ind w:left="480" w:hanging="478"/>
        <w:spacing w:after="0" w:line="267" w:lineRule="auto"/>
        <w:tabs>
          <w:tab w:leader="none" w:pos="4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Certificate of Incorporation of the Company dated 10 March 2021 issued by the Registrar and the Certificate of Incorporation on Change of Name of the Company dated 21 March 2023 issued by the Registrar (together, the </w:t>
      </w:r>
      <w:r>
        <w:rPr>
          <w:rFonts w:ascii="Times New Roman" w:cs="Times New Roman" w:eastAsia="Times New Roman" w:hAnsi="Times New Roman"/>
          <w:sz w:val="14"/>
          <w:szCs w:val="14"/>
          <w:b w:val="1"/>
          <w:bCs w:val="1"/>
          <w:color w:val="auto"/>
        </w:rPr>
        <w:t>Certificates of Incorporation</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480" w:hanging="478"/>
        <w:spacing w:after="0" w:line="267" w:lineRule="auto"/>
        <w:tabs>
          <w:tab w:leader="none" w:pos="4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second amended and restated memorandum and articles of association of the Company adopted by special resolution passed on 16 March 2023 and made effective on 20 March 2023 (the </w:t>
      </w:r>
      <w:r>
        <w:rPr>
          <w:rFonts w:ascii="Times New Roman" w:cs="Times New Roman" w:eastAsia="Times New Roman" w:hAnsi="Times New Roman"/>
          <w:sz w:val="14"/>
          <w:szCs w:val="14"/>
          <w:b w:val="1"/>
          <w:bCs w:val="1"/>
          <w:color w:val="auto"/>
        </w:rPr>
        <w:t>Memorandum and Articles of Association</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left="480" w:hanging="478"/>
        <w:spacing w:after="0"/>
        <w:tabs>
          <w:tab w:leader="none" w:pos="4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Certificate of Good Standing dated 28 September 2026 (the </w:t>
      </w:r>
      <w:r>
        <w:rPr>
          <w:rFonts w:ascii="Times New Roman" w:cs="Times New Roman" w:eastAsia="Times New Roman" w:hAnsi="Times New Roman"/>
          <w:sz w:val="14"/>
          <w:szCs w:val="14"/>
          <w:b w:val="1"/>
          <w:bCs w:val="1"/>
          <w:color w:val="auto"/>
        </w:rPr>
        <w:t>Good Standing Certificate</w:t>
      </w:r>
      <w:r>
        <w:rPr>
          <w:rFonts w:ascii="Times New Roman" w:cs="Times New Roman" w:eastAsia="Times New Roman" w:hAnsi="Times New Roman"/>
          <w:sz w:val="14"/>
          <w:szCs w:val="14"/>
          <w:color w:val="auto"/>
        </w:rPr>
        <w:t>) issued by the Registrar in respect of the Company.</w:t>
      </w:r>
    </w:p>
    <w:p>
      <w:pPr>
        <w:spacing w:after="0" w:line="168" w:lineRule="exact"/>
        <w:rPr>
          <w:sz w:val="20"/>
          <w:szCs w:val="20"/>
          <w:color w:val="auto"/>
        </w:rPr>
      </w:pPr>
    </w:p>
    <w:p>
      <w:pPr>
        <w:ind w:left="480" w:hanging="478"/>
        <w:spacing w:after="0" w:line="273" w:lineRule="auto"/>
        <w:tabs>
          <w:tab w:leader="none" w:pos="4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certificate dated on the date hereof as to certain matters of fact signed by a director of the Company in the form annexed hereto (the </w:t>
      </w:r>
      <w:r>
        <w:rPr>
          <w:rFonts w:ascii="Times New Roman" w:cs="Times New Roman" w:eastAsia="Times New Roman" w:hAnsi="Times New Roman"/>
          <w:sz w:val="14"/>
          <w:szCs w:val="14"/>
          <w:b w:val="1"/>
          <w:bCs w:val="1"/>
          <w:color w:val="auto"/>
        </w:rPr>
        <w:t>Director’s Certificate</w:t>
      </w:r>
      <w:r>
        <w:rPr>
          <w:rFonts w:ascii="Times New Roman" w:cs="Times New Roman" w:eastAsia="Times New Roman" w:hAnsi="Times New Roman"/>
          <w:sz w:val="14"/>
          <w:szCs w:val="14"/>
          <w:color w:val="auto"/>
        </w:rPr>
        <w:t xml:space="preserve">), having attached to it a copy of the written resolutions of the directors of the Company passed on 31 August 2024, 17 September 2024 and 27 October 2026 (the </w:t>
      </w:r>
      <w:r>
        <w:rPr>
          <w:rFonts w:ascii="Times New Roman" w:cs="Times New Roman" w:eastAsia="Times New Roman" w:hAnsi="Times New Roman"/>
          <w:sz w:val="14"/>
          <w:szCs w:val="14"/>
          <w:b w:val="1"/>
          <w:bCs w:val="1"/>
          <w:color w:val="auto"/>
        </w:rPr>
        <w:t>Resolutions</w:t>
      </w: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480" w:hanging="478"/>
        <w:spacing w:after="0"/>
        <w:tabs>
          <w:tab w:leader="none" w:pos="4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Register of Writs maintained by the office of the Clerk of Courts in the Cayman Islands as inspected by us on 27 October 2026 (the </w:t>
      </w:r>
      <w:r>
        <w:rPr>
          <w:rFonts w:ascii="Times New Roman" w:cs="Times New Roman" w:eastAsia="Times New Roman" w:hAnsi="Times New Roman"/>
          <w:sz w:val="14"/>
          <w:szCs w:val="14"/>
          <w:b w:val="1"/>
          <w:bCs w:val="1"/>
          <w:color w:val="auto"/>
        </w:rPr>
        <w:t>Register of Writs</w:t>
      </w:r>
      <w:r>
        <w:rPr>
          <w:rFonts w:ascii="Times New Roman" w:cs="Times New Roman" w:eastAsia="Times New Roman" w:hAnsi="Times New Roman"/>
          <w:sz w:val="14"/>
          <w:szCs w:val="14"/>
          <w:color w:val="auto"/>
        </w:rPr>
        <w:t>).</w:t>
      </w:r>
    </w:p>
    <w:p>
      <w:pPr>
        <w:spacing w:after="0" w:line="17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w:t>
      </w:r>
      <w:r>
        <w:rPr>
          <w:rFonts w:ascii="Times New Roman" w:cs="Times New Roman" w:eastAsia="Times New Roman" w:hAnsi="Times New Roman"/>
          <w:sz w:val="13"/>
          <w:szCs w:val="13"/>
          <w:color w:val="auto"/>
        </w:rPr>
        <w:t>The Registration Statement, including the Base Prospectus.</w:t>
      </w:r>
    </w:p>
    <w:p>
      <w:pPr>
        <w:spacing w:after="0" w:line="16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w:t>
      </w:r>
      <w:r>
        <w:rPr>
          <w:rFonts w:ascii="Times New Roman" w:cs="Times New Roman" w:eastAsia="Times New Roman" w:hAnsi="Times New Roman"/>
          <w:sz w:val="13"/>
          <w:szCs w:val="13"/>
          <w:color w:val="auto"/>
        </w:rPr>
        <w:t>The ATM Prospectus.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B – the ATM Documents</w:t>
      </w:r>
    </w:p>
    <w:p>
      <w:pPr>
        <w:spacing w:after="0" w:line="168" w:lineRule="exact"/>
        <w:rPr>
          <w:sz w:val="20"/>
          <w:szCs w:val="20"/>
          <w:color w:val="auto"/>
        </w:rPr>
      </w:pPr>
    </w:p>
    <w:p>
      <w:pPr>
        <w:ind w:left="480" w:hanging="478"/>
        <w:spacing w:after="0" w:line="273" w:lineRule="auto"/>
        <w:tabs>
          <w:tab w:leader="none" w:pos="4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sales agreement dated 3 September 2024 related to the issue and sale of up to US$125,000,000 in the aggregate of the Class A Ordinary Shares through Leerink Partners LLC (the </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 xml:space="preserve">) by and between the Company and the Agent, and the amendment to the sales agreement by and between the Company and the Agent, dated 27 October 2026 (the </w:t>
      </w:r>
      <w:r>
        <w:rPr>
          <w:rFonts w:ascii="Times New Roman" w:cs="Times New Roman" w:eastAsia="Times New Roman" w:hAnsi="Times New Roman"/>
          <w:sz w:val="14"/>
          <w:szCs w:val="14"/>
          <w:b w:val="1"/>
          <w:bCs w:val="1"/>
          <w:color w:val="auto"/>
        </w:rPr>
        <w:t>Sales Agreement</w:t>
      </w:r>
      <w:r>
        <w:rPr>
          <w:rFonts w:ascii="Times New Roman" w:cs="Times New Roman" w:eastAsia="Times New Roman" w:hAnsi="Times New Roman"/>
          <w:sz w:val="14"/>
          <w:szCs w:val="14"/>
          <w:color w:val="auto"/>
        </w:rPr>
        <w:t>).</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SCHEDULE 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Assumptions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Assumptions of general application</w:t>
      </w:r>
    </w:p>
    <w:p>
      <w:pPr>
        <w:spacing w:after="0" w:line="172" w:lineRule="exact"/>
        <w:rPr>
          <w:sz w:val="20"/>
          <w:szCs w:val="20"/>
          <w:color w:val="auto"/>
        </w:rPr>
      </w:pPr>
    </w:p>
    <w:p>
      <w:pPr>
        <w:ind w:left="480" w:hanging="478"/>
        <w:spacing w:after="0"/>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original documents examined by us are authentic and complete.</w:t>
      </w:r>
    </w:p>
    <w:p>
      <w:pPr>
        <w:spacing w:after="0" w:line="168" w:lineRule="exact"/>
        <w:rPr>
          <w:sz w:val="20"/>
          <w:szCs w:val="20"/>
          <w:color w:val="auto"/>
        </w:rPr>
      </w:pPr>
    </w:p>
    <w:p>
      <w:pPr>
        <w:ind w:left="480" w:hanging="478"/>
        <w:spacing w:after="0"/>
        <w:tabs>
          <w:tab w:leader="none" w:pos="4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copy documents examined by us (whether in facsimile, electronic or other form) conform to the originals and those originals are authentic and complete.</w:t>
      </w:r>
    </w:p>
    <w:p>
      <w:pPr>
        <w:spacing w:after="0" w:line="16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13"/>
          <w:szCs w:val="13"/>
          <w:color w:val="auto"/>
        </w:rPr>
        <w:t>All signatures, seals, dates, stamps and markings (whether on original or copy documents) are genuine.</w:t>
      </w:r>
    </w:p>
    <w:p>
      <w:pPr>
        <w:spacing w:after="0" w:line="168" w:lineRule="exact"/>
        <w:rPr>
          <w:sz w:val="20"/>
          <w:szCs w:val="20"/>
          <w:color w:val="auto"/>
        </w:rPr>
      </w:pPr>
    </w:p>
    <w:p>
      <w:pPr>
        <w:jc w:val="both"/>
        <w:ind w:left="480" w:hanging="478"/>
        <w:spacing w:after="0" w:line="306" w:lineRule="auto"/>
        <w:tabs>
          <w:tab w:leader="none" w:pos="4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Certificate of Incorporation, the Memorandum and Articles of Association and the Resolutions is in full force and effect and is accurate and complete as at the date of this opinion. Without limiting the foregoing, all corporate authorisations in fore on the date hereof in respect of the Company will remain in full force on the date of the issuance or resale of any Ordinary Shares.</w:t>
      </w:r>
    </w:p>
    <w:p>
      <w:pPr>
        <w:spacing w:after="0" w:line="112" w:lineRule="exact"/>
        <w:rPr>
          <w:sz w:val="20"/>
          <w:szCs w:val="20"/>
          <w:color w:val="auto"/>
        </w:rPr>
      </w:pPr>
    </w:p>
    <w:p>
      <w:pPr>
        <w:ind w:left="480" w:hanging="478"/>
        <w:spacing w:after="0"/>
        <w:tabs>
          <w:tab w:leader="none" w:pos="4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Memorandum and Articles of Association has not been amended, varied, supplemented or revoked in any respect.</w:t>
      </w:r>
    </w:p>
    <w:p>
      <w:pPr>
        <w:spacing w:after="0" w:line="168" w:lineRule="exact"/>
        <w:rPr>
          <w:sz w:val="20"/>
          <w:szCs w:val="20"/>
          <w:color w:val="auto"/>
        </w:rPr>
      </w:pPr>
    </w:p>
    <w:p>
      <w:pPr>
        <w:ind w:left="480" w:hanging="478"/>
        <w:spacing w:after="0" w:line="267" w:lineRule="auto"/>
        <w:tabs>
          <w:tab w:leader="none" w:pos="4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powers and authority of the directors set out in the Memorandum and Articles of Association have not been varied or restricted in any way by resolution or direction of the shareholders of the Company.</w:t>
      </w:r>
    </w:p>
    <w:p>
      <w:pPr>
        <w:spacing w:after="0" w:line="135" w:lineRule="exact"/>
        <w:rPr>
          <w:sz w:val="20"/>
          <w:szCs w:val="20"/>
          <w:color w:val="auto"/>
        </w:rPr>
      </w:pPr>
    </w:p>
    <w:p>
      <w:pPr>
        <w:ind w:left="480" w:hanging="478"/>
        <w:spacing w:after="0"/>
        <w:tabs>
          <w:tab w:leader="none" w:pos="4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Good Standing Certificate and the Director’s Certificate is accurate and complete as at the date of this opinion.</w:t>
      </w:r>
    </w:p>
    <w:p>
      <w:pPr>
        <w:spacing w:after="0" w:line="168" w:lineRule="exact"/>
        <w:rPr>
          <w:sz w:val="20"/>
          <w:szCs w:val="20"/>
          <w:color w:val="auto"/>
        </w:rPr>
      </w:pPr>
    </w:p>
    <w:p>
      <w:pPr>
        <w:ind w:left="480" w:hanging="478"/>
        <w:spacing w:after="0" w:line="267" w:lineRule="auto"/>
        <w:tabs>
          <w:tab w:leader="none" w:pos="4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any ATM Document has been provided to us in draft or undated form, that ATM Document has been executed by all parties in materially the form provided to us and, where we have been provided with successive drafts of a ATM Document marked to show changes from a previous draft, all such changes have been accurately marked.</w:t>
      </w:r>
    </w:p>
    <w:p>
      <w:pPr>
        <w:spacing w:after="0" w:line="135" w:lineRule="exact"/>
        <w:rPr>
          <w:sz w:val="20"/>
          <w:szCs w:val="20"/>
          <w:color w:val="auto"/>
        </w:rPr>
      </w:pPr>
    </w:p>
    <w:p>
      <w:pPr>
        <w:ind w:left="480" w:hanging="478"/>
        <w:spacing w:after="0"/>
        <w:tabs>
          <w:tab w:leader="none" w:pos="4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will be no intervening circumstance relevant to this opinion between the date hereof and the date upon which the Shares are issued.</w:t>
      </w:r>
    </w:p>
    <w:p>
      <w:pPr>
        <w:spacing w:after="0" w:line="16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w:t>
      </w:r>
      <w:r>
        <w:rPr>
          <w:rFonts w:ascii="Times New Roman" w:cs="Times New Roman" w:eastAsia="Times New Roman" w:hAnsi="Times New Roman"/>
          <w:sz w:val="13"/>
          <w:szCs w:val="13"/>
          <w:color w:val="auto"/>
        </w:rPr>
        <w:t>There is nothing in any law (other than the laws of the Cayman Islands) that would or might affect the opinions herein.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Status, authorisation and execution</w:t>
      </w:r>
    </w:p>
    <w:p>
      <w:pPr>
        <w:spacing w:after="0" w:line="168" w:lineRule="exact"/>
        <w:rPr>
          <w:sz w:val="20"/>
          <w:szCs w:val="20"/>
          <w:color w:val="auto"/>
        </w:rPr>
      </w:pPr>
    </w:p>
    <w:p>
      <w:pPr>
        <w:ind w:left="480" w:hanging="478"/>
        <w:spacing w:after="0" w:line="273" w:lineRule="auto"/>
        <w:tabs>
          <w:tab w:leader="none" w:pos="4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of the parties to the ATM Documents and the Transaction Documents (together, the </w:t>
      </w:r>
      <w:r>
        <w:rPr>
          <w:rFonts w:ascii="Times New Roman" w:cs="Times New Roman" w:eastAsia="Times New Roman" w:hAnsi="Times New Roman"/>
          <w:sz w:val="14"/>
          <w:szCs w:val="14"/>
          <w:b w:val="1"/>
          <w:bCs w:val="1"/>
          <w:color w:val="auto"/>
        </w:rPr>
        <w:t>Documents</w:t>
      </w:r>
      <w:r>
        <w:rPr>
          <w:rFonts w:ascii="Times New Roman" w:cs="Times New Roman" w:eastAsia="Times New Roman" w:hAnsi="Times New Roman"/>
          <w:sz w:val="14"/>
          <w:szCs w:val="14"/>
          <w:color w:val="auto"/>
        </w:rPr>
        <w:t>) is and will be duly incorporated, formed or organised (as applicable), validly existing and in good standing under all relevant laws.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20" w:lineRule="exact"/>
        <w:rPr>
          <w:sz w:val="20"/>
          <w:szCs w:val="20"/>
          <w:color w:val="auto"/>
        </w:rPr>
      </w:pPr>
    </w:p>
    <w:p>
      <w:pPr>
        <w:ind w:left="480" w:hanging="478"/>
        <w:spacing w:after="0" w:line="267" w:lineRule="auto"/>
        <w:tabs>
          <w:tab w:leader="none" w:pos="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individuals who are parties to the documents or who sign or have signed documents or who give or have given information on which we rely, have the legal capacity under all relevant laws (including the laws of the Cayman Islands) to enter into and perform their obligations under such documents, sign such documents and give such information.</w:t>
      </w:r>
    </w:p>
    <w:p>
      <w:pPr>
        <w:spacing w:after="0" w:line="134" w:lineRule="exact"/>
        <w:rPr>
          <w:rFonts w:ascii="Times New Roman" w:cs="Times New Roman" w:eastAsia="Times New Roman" w:hAnsi="Times New Roman"/>
          <w:sz w:val="14"/>
          <w:szCs w:val="14"/>
          <w:color w:val="auto"/>
        </w:rPr>
      </w:pPr>
    </w:p>
    <w:p>
      <w:pPr>
        <w:ind w:left="480" w:hanging="478"/>
        <w:spacing w:after="0" w:line="267" w:lineRule="auto"/>
        <w:tabs>
          <w:tab w:leader="none" w:pos="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Document, ATM Share and Shelf Security will be, duly authorised, executed and unconditionally delivered by or on behalf of all parties to it in accordance with all applicable laws and, in respect of the Company, in the manner authorised by the Board.</w:t>
      </w:r>
    </w:p>
    <w:p>
      <w:pPr>
        <w:spacing w:after="0" w:line="134" w:lineRule="exact"/>
        <w:rPr>
          <w:rFonts w:ascii="Times New Roman" w:cs="Times New Roman" w:eastAsia="Times New Roman" w:hAnsi="Times New Roman"/>
          <w:sz w:val="14"/>
          <w:szCs w:val="14"/>
          <w:color w:val="auto"/>
        </w:rPr>
      </w:pPr>
    </w:p>
    <w:p>
      <w:pPr>
        <w:jc w:val="both"/>
        <w:ind w:left="480" w:hanging="478"/>
        <w:spacing w:after="0" w:line="252" w:lineRule="auto"/>
        <w:tabs>
          <w:tab w:leader="none" w:pos="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authorising the execution and delivery of any Documents by the Company, the issue and allotment of any ATM Shares and Shelf Securities (including the issuance and allotment of the Shelf Shares upon conversion, exchange, redemption, repurchase or exercise of any Security) and the exercise of the Company's rights and performance of its obligations under such documents, each of the directors of the Company has acted and will act in good faith with a view to the best interests of the Company and has exercised the standard of care, diligence and skill that is required of him or her.</w:t>
      </w:r>
    </w:p>
    <w:p>
      <w:pPr>
        <w:spacing w:after="0" w:line="145" w:lineRule="exact"/>
        <w:rPr>
          <w:rFonts w:ascii="Times New Roman" w:cs="Times New Roman" w:eastAsia="Times New Roman" w:hAnsi="Times New Roman"/>
          <w:sz w:val="14"/>
          <w:szCs w:val="14"/>
          <w:color w:val="auto"/>
        </w:rPr>
      </w:pPr>
    </w:p>
    <w:p>
      <w:pPr>
        <w:ind w:left="480" w:hanging="478"/>
        <w:spacing w:after="0"/>
        <w:tabs>
          <w:tab w:leader="none" w:pos="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document has been duly executed and unconditionally delivered by the Company in the manner authorised in the Resolutions.</w:t>
      </w:r>
    </w:p>
    <w:p>
      <w:pPr>
        <w:spacing w:after="0" w:line="167" w:lineRule="exact"/>
        <w:rPr>
          <w:rFonts w:ascii="Times New Roman" w:cs="Times New Roman" w:eastAsia="Times New Roman" w:hAnsi="Times New Roman"/>
          <w:sz w:val="14"/>
          <w:szCs w:val="14"/>
          <w:color w:val="auto"/>
        </w:rPr>
      </w:pPr>
    </w:p>
    <w:p>
      <w:pPr>
        <w:ind w:left="480" w:hanging="478"/>
        <w:spacing w:after="0"/>
        <w:tabs>
          <w:tab w:leader="none" w:pos="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named in the Resolutions as authorised to execute the documents on behalf of the Company in fact executed such documents with the intention to bind the Company.</w:t>
      </w:r>
    </w:p>
    <w:p>
      <w:pPr>
        <w:spacing w:after="0" w:line="167" w:lineRule="exact"/>
        <w:rPr>
          <w:rFonts w:ascii="Times New Roman" w:cs="Times New Roman" w:eastAsia="Times New Roman" w:hAnsi="Times New Roman"/>
          <w:sz w:val="14"/>
          <w:szCs w:val="14"/>
          <w:color w:val="auto"/>
        </w:rPr>
      </w:pPr>
    </w:p>
    <w:p>
      <w:pPr>
        <w:jc w:val="both"/>
        <w:ind w:left="480" w:hanging="478"/>
        <w:spacing w:after="0" w:line="256" w:lineRule="auto"/>
        <w:tabs>
          <w:tab w:leader="none" w:pos="4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Resolutions remain in full force and effect and each of the directors of the Company has acted in good faith with a view to the best interests of the Company and has exercised the standard of care, diligence and skill that is required of him or her in approving the documents and no director has a financial interest in or other relationship to a party of the transactions contemplated by the documents which has not been properly disclosed in the Resolutions.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Enforceability</w:t>
      </w:r>
    </w:p>
    <w:p>
      <w:pPr>
        <w:spacing w:after="0" w:line="172" w:lineRule="exact"/>
        <w:rPr>
          <w:sz w:val="20"/>
          <w:szCs w:val="20"/>
          <w:color w:val="auto"/>
        </w:rPr>
      </w:pPr>
    </w:p>
    <w:p>
      <w:pPr>
        <w:ind w:left="480" w:hanging="478"/>
        <w:spacing w:after="0" w:line="267" w:lineRule="auto"/>
        <w:tabs>
          <w:tab w:leader="none" w:pos="4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Documents is legal, valid, binding and enforceable against all relevant parties in accordance with its terms under its governing law and all other relevant laws (other than, in the case of the Company, the laws of the Cayman Islands).</w:t>
      </w:r>
    </w:p>
    <w:p>
      <w:pPr>
        <w:spacing w:after="0" w:line="134" w:lineRule="exact"/>
        <w:rPr>
          <w:rFonts w:ascii="Times New Roman" w:cs="Times New Roman" w:eastAsia="Times New Roman" w:hAnsi="Times New Roman"/>
          <w:sz w:val="14"/>
          <w:szCs w:val="14"/>
          <w:color w:val="auto"/>
        </w:rPr>
      </w:pPr>
    </w:p>
    <w:p>
      <w:pPr>
        <w:ind w:left="480" w:hanging="478"/>
        <w:spacing w:after="0"/>
        <w:tabs>
          <w:tab w:leader="none" w:pos="4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 obligation is to be performed in a jurisdiction outside the Cayman Islands, its performance will not be contrary to an official directive, impossible or illegal under the laws of that jurisdiction.</w:t>
      </w:r>
    </w:p>
    <w:p>
      <w:pPr>
        <w:spacing w:after="0" w:line="179" w:lineRule="exact"/>
        <w:rPr>
          <w:rFonts w:ascii="Times New Roman" w:cs="Times New Roman" w:eastAsia="Times New Roman" w:hAnsi="Times New Roman"/>
          <w:sz w:val="13"/>
          <w:szCs w:val="13"/>
          <w:color w:val="auto"/>
        </w:rPr>
      </w:pPr>
    </w:p>
    <w:p>
      <w:pPr>
        <w:ind w:left="480" w:hanging="478"/>
        <w:spacing w:after="0" w:line="267" w:lineRule="auto"/>
        <w:tabs>
          <w:tab w:leader="none" w:pos="4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 of the opinions expressed herein will be adversely affected by the laws or public policies of any jurisdiction other than the Cayman Islands. In particular, but without limitation to the previous sentence:</w:t>
      </w:r>
    </w:p>
    <w:p>
      <w:pPr>
        <w:spacing w:after="0" w:line="134" w:lineRule="exact"/>
        <w:rPr>
          <w:rFonts w:ascii="Times New Roman" w:cs="Times New Roman" w:eastAsia="Times New Roman" w:hAnsi="Times New Roman"/>
          <w:sz w:val="14"/>
          <w:szCs w:val="14"/>
          <w:color w:val="auto"/>
        </w:rPr>
      </w:pPr>
    </w:p>
    <w:p>
      <w:pPr>
        <w:ind w:left="960" w:hanging="465"/>
        <w:spacing w:after="0"/>
        <w:tabs>
          <w:tab w:leader="none" w:pos="96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laws or public policies of any jurisdiction other than the Cayman Islands will not adversely affect the capacity or authority of the Company; and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20" w:lineRule="exact"/>
        <w:rPr>
          <w:sz w:val="20"/>
          <w:szCs w:val="20"/>
          <w:color w:val="auto"/>
        </w:rPr>
      </w:pPr>
    </w:p>
    <w:p>
      <w:pPr>
        <w:ind w:left="960" w:hanging="465"/>
        <w:spacing w:after="0" w:line="267" w:lineRule="auto"/>
        <w:tabs>
          <w:tab w:leader="none" w:pos="9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execution or delivery of the Documents nor the exercise by any party to the Documents of its rights or the performance of its obligations under them contravene those laws or public policies.</w:t>
      </w:r>
    </w:p>
    <w:p>
      <w:pPr>
        <w:spacing w:after="0" w:line="135" w:lineRule="exact"/>
        <w:rPr>
          <w:sz w:val="20"/>
          <w:szCs w:val="20"/>
          <w:color w:val="auto"/>
        </w:rPr>
      </w:pPr>
    </w:p>
    <w:p>
      <w:pPr>
        <w:ind w:left="480" w:hanging="478"/>
        <w:spacing w:after="0" w:line="267" w:lineRule="auto"/>
        <w:tabs>
          <w:tab w:leader="none" w:pos="4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agreements, documents or arrangements (other than the documents expressly referred to in this opinion as having been examined by us) that materially affect or modify the documents or the transactions contemplated by them or restrict the powers and authority of the Company in any way.</w:t>
      </w:r>
    </w:p>
    <w:p>
      <w:pPr>
        <w:spacing w:after="0" w:line="134" w:lineRule="exact"/>
        <w:rPr>
          <w:rFonts w:ascii="Times New Roman" w:cs="Times New Roman" w:eastAsia="Times New Roman" w:hAnsi="Times New Roman"/>
          <w:sz w:val="14"/>
          <w:szCs w:val="14"/>
          <w:color w:val="auto"/>
        </w:rPr>
      </w:pPr>
    </w:p>
    <w:p>
      <w:pPr>
        <w:jc w:val="both"/>
        <w:ind w:left="480" w:hanging="478"/>
        <w:spacing w:after="0" w:line="252" w:lineRule="auto"/>
        <w:tabs>
          <w:tab w:leader="none" w:pos="4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moneys paid to or for the account of any party under a Document represent, or will represent, criminal property or terrorist property (as defined in the Proceeds of Crime Act (Revised) of the Cayman Islands and the Terrorism Act (Revised) of the Cayman Islands respectively). None of the parties to the Documents is acting or will act in relation to the transactions contemplated by the Documents, in a manner inconsistent with sanctions imposed by Cayman Islands authorities, the European Union, the United Nations or United Kingdom sanctions or measures extended by statutory instrument to the Cayman Islands by order of His Majesty in Council.</w:t>
      </w:r>
    </w:p>
    <w:p>
      <w:pPr>
        <w:spacing w:after="0" w:line="145" w:lineRule="exact"/>
        <w:rPr>
          <w:rFonts w:ascii="Times New Roman" w:cs="Times New Roman" w:eastAsia="Times New Roman" w:hAnsi="Times New Roman"/>
          <w:sz w:val="14"/>
          <w:szCs w:val="14"/>
          <w:color w:val="auto"/>
        </w:rPr>
      </w:pPr>
    </w:p>
    <w:p>
      <w:pPr>
        <w:jc w:val="both"/>
        <w:ind w:left="480" w:hanging="478"/>
        <w:spacing w:after="0" w:line="252" w:lineRule="auto"/>
        <w:tabs>
          <w:tab w:leader="none" w:pos="4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None of the transactions contemplated by the documents relate to any partnership interests, shares, voting rights in a Cayman Islands company, limited liability company, limited liability partnership, foundation company, exempted limited partnership, or any other person that may be prescribed in regulations from time to time (a </w:t>
      </w:r>
      <w:r>
        <w:rPr>
          <w:rFonts w:ascii="Times New Roman" w:cs="Times New Roman" w:eastAsia="Times New Roman" w:hAnsi="Times New Roman"/>
          <w:sz w:val="14"/>
          <w:szCs w:val="14"/>
          <w:b w:val="1"/>
          <w:bCs w:val="1"/>
          <w:color w:val="auto"/>
        </w:rPr>
        <w:t>Legal Person</w:t>
      </w:r>
      <w:r>
        <w:rPr>
          <w:rFonts w:ascii="Times New Roman" w:cs="Times New Roman" w:eastAsia="Times New Roman" w:hAnsi="Times New Roman"/>
          <w:sz w:val="14"/>
          <w:szCs w:val="14"/>
          <w:color w:val="auto"/>
        </w:rPr>
        <w:t xml:space="preserve">) or to the ultimate effective control over the management of a Legal Person (the </w:t>
      </w:r>
      <w:r>
        <w:rPr>
          <w:rFonts w:ascii="Times New Roman" w:cs="Times New Roman" w:eastAsia="Times New Roman" w:hAnsi="Times New Roman"/>
          <w:sz w:val="14"/>
          <w:szCs w:val="14"/>
          <w:b w:val="1"/>
          <w:bCs w:val="1"/>
          <w:color w:val="auto"/>
        </w:rPr>
        <w:t>Relevant Interests</w:t>
      </w:r>
      <w:r>
        <w:rPr>
          <w:rFonts w:ascii="Times New Roman" w:cs="Times New Roman" w:eastAsia="Times New Roman" w:hAnsi="Times New Roman"/>
          <w:sz w:val="14"/>
          <w:szCs w:val="14"/>
          <w:color w:val="auto"/>
        </w:rPr>
        <w:t xml:space="preserve">) that are subject to a restrictions notice issued pursuant to the Beneficial Ownership Transparency Act (Revised) of the Cayman Islands (a </w:t>
      </w:r>
      <w:r>
        <w:rPr>
          <w:rFonts w:ascii="Times New Roman" w:cs="Times New Roman" w:eastAsia="Times New Roman" w:hAnsi="Times New Roman"/>
          <w:sz w:val="14"/>
          <w:szCs w:val="14"/>
          <w:b w:val="1"/>
          <w:bCs w:val="1"/>
          <w:color w:val="auto"/>
        </w:rPr>
        <w:t>Restrictions Notice</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Approvals, consents and filings</w:t>
      </w:r>
    </w:p>
    <w:p>
      <w:pPr>
        <w:spacing w:after="0" w:line="172" w:lineRule="exact"/>
        <w:rPr>
          <w:sz w:val="20"/>
          <w:szCs w:val="20"/>
          <w:color w:val="auto"/>
        </w:rPr>
      </w:pPr>
    </w:p>
    <w:p>
      <w:pPr>
        <w:jc w:val="both"/>
        <w:ind w:left="480" w:hanging="478"/>
        <w:spacing w:after="0" w:line="284" w:lineRule="auto"/>
        <w:tabs>
          <w:tab w:leader="none" w:pos="4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obtained all consents, licences, approvals and authorisations of any governmental or regulatory authority or agency or of any other person that it is required to obtain pursuant to the laws of all relevant jurisdictions (other than those of the Cayman Islands) to ensure the legality, validity, enforceability, proper performance and admissibility in evidence of the Documents. Any conditions to which such consents, licences, approvals and authorisations are subject have been, and will continue to be, satisfied or waived by the parties entitled to the benefit of them.</w:t>
      </w:r>
    </w:p>
    <w:p>
      <w:pPr>
        <w:spacing w:after="0" w:line="126" w:lineRule="exact"/>
        <w:rPr>
          <w:rFonts w:ascii="Times New Roman" w:cs="Times New Roman" w:eastAsia="Times New Roman" w:hAnsi="Times New Roman"/>
          <w:sz w:val="13"/>
          <w:szCs w:val="13"/>
          <w:color w:val="auto"/>
        </w:rPr>
      </w:pPr>
    </w:p>
    <w:p>
      <w:pPr>
        <w:ind w:left="480" w:hanging="478"/>
        <w:spacing w:after="0"/>
        <w:tabs>
          <w:tab w:leader="none" w:pos="4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following that are necessary to ensure the validity, legality, enforceability or admissibility in evidence of the Documents have been made or paid:</w:t>
      </w:r>
    </w:p>
    <w:p>
      <w:pPr>
        <w:spacing w:after="0" w:line="167" w:lineRule="exact"/>
        <w:rPr>
          <w:rFonts w:ascii="Times New Roman" w:cs="Times New Roman" w:eastAsia="Times New Roman" w:hAnsi="Times New Roman"/>
          <w:sz w:val="14"/>
          <w:szCs w:val="14"/>
          <w:color w:val="auto"/>
        </w:rPr>
      </w:pPr>
    </w:p>
    <w:p>
      <w:pPr>
        <w:ind w:left="960" w:hanging="465"/>
        <w:spacing w:after="0"/>
        <w:tabs>
          <w:tab w:leader="none" w:pos="960"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notarisations, apostillings and consularisations required pursuant to the laws of all relevant jurisdictions (other than those of the Cayman Islands);</w:t>
      </w:r>
    </w:p>
    <w:p>
      <w:pPr>
        <w:spacing w:after="0" w:line="167" w:lineRule="exact"/>
        <w:rPr>
          <w:rFonts w:ascii="Times New Roman" w:cs="Times New Roman" w:eastAsia="Times New Roman" w:hAnsi="Times New Roman"/>
          <w:sz w:val="14"/>
          <w:szCs w:val="14"/>
          <w:color w:val="auto"/>
        </w:rPr>
      </w:pPr>
    </w:p>
    <w:p>
      <w:pPr>
        <w:ind w:left="960" w:hanging="465"/>
        <w:spacing w:after="0"/>
        <w:tabs>
          <w:tab w:leader="none" w:pos="960"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filings, recordings, registrations and enrolments of the Documents with any court, public office or elsewhere in any jurisdiction outside the Cayman Islands; and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20" w:lineRule="exact"/>
        <w:rPr>
          <w:sz w:val="20"/>
          <w:szCs w:val="20"/>
          <w:color w:val="auto"/>
        </w:rPr>
      </w:pPr>
    </w:p>
    <w:p>
      <w:pPr>
        <w:ind w:left="960" w:hanging="465"/>
        <w:spacing w:after="0"/>
        <w:tabs>
          <w:tab w:leader="none" w:pos="9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payments outside the Cayman Islands of stamp duty, registration or other tax on or in relation to the Documents.</w:t>
      </w:r>
    </w:p>
    <w:p>
      <w:pPr>
        <w:spacing w:after="0" w:line="168" w:lineRule="exact"/>
        <w:rPr>
          <w:sz w:val="20"/>
          <w:szCs w:val="20"/>
          <w:color w:val="auto"/>
        </w:rPr>
      </w:pPr>
    </w:p>
    <w:p>
      <w:pPr>
        <w:ind w:left="480" w:hanging="478"/>
        <w:spacing w:after="0" w:line="267" w:lineRule="auto"/>
        <w:tabs>
          <w:tab w:leader="none" w:pos="4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Shelf Security will be issued or resold unless and until all required Nasdaq approvals and shareholder approvals required by the rules and regulations of Nasdaq (if any) have been obtained. Any conditions to which such approvals are subject have been, and will continue to be, satisfied or waived by the parties entitled to the benefit of them.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Issuance</w:t>
      </w:r>
    </w:p>
    <w:p>
      <w:pPr>
        <w:spacing w:after="0" w:line="172" w:lineRule="exact"/>
        <w:rPr>
          <w:sz w:val="20"/>
          <w:szCs w:val="20"/>
          <w:color w:val="auto"/>
        </w:rPr>
      </w:pPr>
    </w:p>
    <w:p>
      <w:pPr>
        <w:ind w:left="480" w:hanging="478"/>
        <w:spacing w:after="0" w:line="267" w:lineRule="auto"/>
        <w:tabs>
          <w:tab w:leader="none" w:pos="4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(including Shares issued upon conversion, exchange, redemption, repurchase or exercise of any Shelf Security) shall be issued at an issue price in excess of the par value thereof and shall be entered on the register of members of the Company as fully paid.</w:t>
      </w:r>
    </w:p>
    <w:p>
      <w:pPr>
        <w:spacing w:after="0" w:line="134" w:lineRule="exact"/>
        <w:rPr>
          <w:rFonts w:ascii="Times New Roman" w:cs="Times New Roman" w:eastAsia="Times New Roman" w:hAnsi="Times New Roman"/>
          <w:sz w:val="14"/>
          <w:szCs w:val="14"/>
          <w:color w:val="auto"/>
        </w:rPr>
      </w:pPr>
    </w:p>
    <w:p>
      <w:pPr>
        <w:ind w:left="480" w:hanging="478"/>
        <w:spacing w:after="0"/>
        <w:tabs>
          <w:tab w:leader="none" w:pos="4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not issue Shares in excess of its authorised share capital.</w:t>
      </w:r>
    </w:p>
    <w:p>
      <w:pPr>
        <w:spacing w:after="0" w:line="167" w:lineRule="exact"/>
        <w:rPr>
          <w:rFonts w:ascii="Times New Roman" w:cs="Times New Roman" w:eastAsia="Times New Roman" w:hAnsi="Times New Roman"/>
          <w:sz w:val="14"/>
          <w:szCs w:val="14"/>
          <w:color w:val="auto"/>
        </w:rPr>
      </w:pPr>
    </w:p>
    <w:p>
      <w:pPr>
        <w:ind w:left="480" w:hanging="478"/>
        <w:spacing w:after="0"/>
        <w:tabs>
          <w:tab w:leader="none" w:pos="4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circumstances or matters of fact existing which may properly form the basis for an application for an order for rectification of the register of members of the Company.</w:t>
      </w:r>
    </w:p>
    <w:p>
      <w:pPr>
        <w:spacing w:after="0" w:line="167" w:lineRule="exact"/>
        <w:rPr>
          <w:rFonts w:ascii="Times New Roman" w:cs="Times New Roman" w:eastAsia="Times New Roman" w:hAnsi="Times New Roman"/>
          <w:sz w:val="14"/>
          <w:szCs w:val="14"/>
          <w:color w:val="auto"/>
        </w:rPr>
      </w:pPr>
    </w:p>
    <w:p>
      <w:pPr>
        <w:ind w:left="480" w:hanging="478"/>
        <w:spacing w:after="0"/>
        <w:tabs>
          <w:tab w:leader="none" w:pos="4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invitation has been or will be made by or on behalf of the Company to the public in the Cayman Islands to subscribe for any of the Shelf Securities.</w:t>
      </w:r>
    </w:p>
    <w:p>
      <w:pPr>
        <w:spacing w:after="0" w:line="167" w:lineRule="exact"/>
        <w:rPr>
          <w:rFonts w:ascii="Times New Roman" w:cs="Times New Roman" w:eastAsia="Times New Roman" w:hAnsi="Times New Roman"/>
          <w:sz w:val="14"/>
          <w:szCs w:val="14"/>
          <w:color w:val="auto"/>
        </w:rPr>
      </w:pPr>
    </w:p>
    <w:p>
      <w:pPr>
        <w:ind w:left="480" w:hanging="478"/>
        <w:spacing w:after="0" w:line="267" w:lineRule="auto"/>
        <w:tabs>
          <w:tab w:leader="none" w:pos="4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necessary corporate action will be taken to authorise and approve any issuance of Shelf Securities, the terms of the offering of such Shelf Securities and other related matters and the applicable definitive purchase, underwriting or similar agreement will be duly approved, executed and delivered by or on behalf of the Company and all other parties thereto.</w:t>
      </w:r>
    </w:p>
    <w:p>
      <w:pPr>
        <w:spacing w:after="0" w:line="134" w:lineRule="exact"/>
        <w:rPr>
          <w:rFonts w:ascii="Times New Roman" w:cs="Times New Roman" w:eastAsia="Times New Roman" w:hAnsi="Times New Roman"/>
          <w:sz w:val="14"/>
          <w:szCs w:val="14"/>
          <w:color w:val="auto"/>
        </w:rPr>
      </w:pPr>
    </w:p>
    <w:p>
      <w:pPr>
        <w:ind w:left="480" w:hanging="478"/>
        <w:spacing w:after="0" w:line="267" w:lineRule="auto"/>
        <w:tabs>
          <w:tab w:leader="none" w:pos="48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directors nor the shareholders of the Company have taken any steps to appoint a liquidator of the Company and no receiver or restructuring officer has been appointed over any of the Company's property or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Sovereign immunity</w:t>
      </w:r>
    </w:p>
    <w:p>
      <w:pPr>
        <w:spacing w:after="0" w:line="172" w:lineRule="exact"/>
        <w:rPr>
          <w:sz w:val="20"/>
          <w:szCs w:val="20"/>
          <w:color w:val="auto"/>
        </w:rPr>
      </w:pPr>
    </w:p>
    <w:p>
      <w:pPr>
        <w:ind w:left="480" w:hanging="478"/>
        <w:spacing w:after="0" w:line="267" w:lineRule="auto"/>
        <w:tabs>
          <w:tab w:leader="none" w:pos="4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not a sovereign entity of any state and does not have sovereign immunity for the purposes of the UK State Immunity Act 1978 (which has been extended by statutory instrument to the Cayman Islands).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Register of Writs</w:t>
      </w:r>
    </w:p>
    <w:p>
      <w:pPr>
        <w:spacing w:after="0" w:line="172" w:lineRule="exact"/>
        <w:rPr>
          <w:sz w:val="20"/>
          <w:szCs w:val="20"/>
          <w:color w:val="auto"/>
        </w:rPr>
      </w:pPr>
    </w:p>
    <w:p>
      <w:pPr>
        <w:ind w:left="480" w:hanging="478"/>
        <w:spacing w:after="0" w:line="267" w:lineRule="auto"/>
        <w:tabs>
          <w:tab w:leader="none" w:pos="4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 of Writs constitutes a complete and accurate record of the proceedings affecting the Company before the Grand Court of the Cayman Islands as at the time we conducted our investigation of such register.</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SCHEDULE 3</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Qualifications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 Standing</w:t>
      </w:r>
    </w:p>
    <w:p>
      <w:pPr>
        <w:spacing w:after="0" w:line="168" w:lineRule="exact"/>
        <w:rPr>
          <w:sz w:val="20"/>
          <w:szCs w:val="20"/>
          <w:color w:val="auto"/>
        </w:rPr>
      </w:pPr>
    </w:p>
    <w:p>
      <w:pPr>
        <w:jc w:val="both"/>
        <w:ind w:left="480" w:hanging="478"/>
        <w:spacing w:after="0" w:line="259" w:lineRule="auto"/>
        <w:tabs>
          <w:tab w:leader="none" w:pos="4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Companies Act (Revised) of the Cayman Islands (</w:t>
      </w:r>
      <w:r>
        <w:rPr>
          <w:rFonts w:ascii="Times New Roman" w:cs="Times New Roman" w:eastAsia="Times New Roman" w:hAnsi="Times New Roman"/>
          <w:sz w:val="14"/>
          <w:szCs w:val="14"/>
          <w:b w:val="1"/>
          <w:bCs w:val="1"/>
          <w:color w:val="auto"/>
        </w:rPr>
        <w:t>Companies Act</w:t>
      </w:r>
      <w:r>
        <w:rPr>
          <w:rFonts w:ascii="Times New Roman" w:cs="Times New Roman" w:eastAsia="Times New Roman" w:hAnsi="Times New Roman"/>
          <w:sz w:val="14"/>
          <w:szCs w:val="14"/>
          <w:color w:val="auto"/>
        </w:rPr>
        <w: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36" w:lineRule="exact"/>
        <w:rPr>
          <w:sz w:val="20"/>
          <w:szCs w:val="20"/>
          <w:color w:val="auto"/>
        </w:rPr>
      </w:pPr>
    </w:p>
    <w:p>
      <w:pPr>
        <w:jc w:val="both"/>
        <w:ind w:left="480" w:hanging="478"/>
        <w:spacing w:after="0" w:line="259" w:lineRule="auto"/>
        <w:tabs>
          <w:tab w:leader="none" w:pos="4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 good standing </w:t>
      </w:r>
      <w:r>
        <w:rPr>
          <w:rFonts w:ascii="Times New Roman" w:cs="Times New Roman" w:eastAsia="Times New Roman" w:hAnsi="Times New Roman"/>
          <w:sz w:val="14"/>
          <w:szCs w:val="14"/>
          <w:color w:val="auto"/>
        </w:rPr>
        <w:t>means only that as of the date of the Good Standing Certificate the Company is up-to-date with the filing of its annual returns and payment of annual fees with the Registrar. We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have made no enquiries into the Company's good standing with respect to any filings or payment of fees, or both, that it may be required to make under the laws of the Cayman Islands other than the Companies Act.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Limited Liability</w:t>
      </w:r>
    </w:p>
    <w:p>
      <w:pPr>
        <w:spacing w:after="0" w:line="172" w:lineRule="exact"/>
        <w:rPr>
          <w:sz w:val="20"/>
          <w:szCs w:val="20"/>
          <w:color w:val="auto"/>
        </w:rPr>
      </w:pPr>
    </w:p>
    <w:p>
      <w:pPr>
        <w:jc w:val="both"/>
        <w:ind w:left="480" w:hanging="478"/>
        <w:spacing w:after="0" w:line="249" w:lineRule="auto"/>
        <w:tabs>
          <w:tab w:leader="none" w:pos="4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and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Non-Assessable</w:t>
      </w:r>
    </w:p>
    <w:p>
      <w:pPr>
        <w:spacing w:after="0" w:line="172" w:lineRule="exact"/>
        <w:rPr>
          <w:sz w:val="20"/>
          <w:szCs w:val="20"/>
          <w:color w:val="auto"/>
        </w:rPr>
      </w:pPr>
    </w:p>
    <w:p>
      <w:pPr>
        <w:jc w:val="both"/>
        <w:ind w:left="480" w:hanging="478"/>
        <w:spacing w:after="0" w:line="256" w:lineRule="auto"/>
        <w:tabs>
          <w:tab w:leader="none" w:pos="4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this opinion, the phrase “non-assessable” means, with respect to the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Register of Writs</w:t>
      </w:r>
    </w:p>
    <w:p>
      <w:pPr>
        <w:spacing w:after="0" w:line="172" w:lineRule="exact"/>
        <w:rPr>
          <w:sz w:val="20"/>
          <w:szCs w:val="20"/>
          <w:color w:val="auto"/>
        </w:rPr>
      </w:pPr>
    </w:p>
    <w:p>
      <w:pPr>
        <w:ind w:left="480" w:hanging="478"/>
        <w:spacing w:after="0"/>
        <w:tabs>
          <w:tab w:leader="none" w:pos="4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examination of the Register of Writs cannot conclusively reveal whether or not there is:</w:t>
      </w:r>
    </w:p>
    <w:p>
      <w:pPr>
        <w:spacing w:after="0" w:line="167" w:lineRule="exact"/>
        <w:rPr>
          <w:rFonts w:ascii="Times New Roman" w:cs="Times New Roman" w:eastAsia="Times New Roman" w:hAnsi="Times New Roman"/>
          <w:sz w:val="14"/>
          <w:szCs w:val="14"/>
          <w:color w:val="auto"/>
        </w:rPr>
      </w:pPr>
    </w:p>
    <w:p>
      <w:pPr>
        <w:ind w:left="960" w:hanging="465"/>
        <w:spacing w:after="0"/>
        <w:tabs>
          <w:tab w:leader="none" w:pos="960" w:val="left"/>
        </w:tabs>
        <w:numPr>
          <w:ilvl w:val="1"/>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or pending litigation in the Cayman Islands against the Company; or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20" w:lineRule="exact"/>
        <w:rPr>
          <w:sz w:val="20"/>
          <w:szCs w:val="20"/>
          <w:color w:val="auto"/>
        </w:rPr>
      </w:pPr>
    </w:p>
    <w:p>
      <w:pPr>
        <w:ind w:left="960" w:hanging="465"/>
        <w:spacing w:after="0" w:line="267" w:lineRule="auto"/>
        <w:tabs>
          <w:tab w:leader="none" w:pos="9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application for the winding up or dissolution of the Company or the appointment of any liquidator, trustee in bankruptcy or restructuring officer in respect of the Company or any of its assets,</w:t>
      </w:r>
    </w:p>
    <w:p>
      <w:pPr>
        <w:spacing w:after="0" w:line="135"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4"/>
          <w:szCs w:val="14"/>
          <w:color w:val="auto"/>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Enforceability</w:t>
      </w:r>
    </w:p>
    <w:p>
      <w:pPr>
        <w:spacing w:after="0" w:line="172" w:lineRule="exact"/>
        <w:rPr>
          <w:sz w:val="20"/>
          <w:szCs w:val="20"/>
          <w:color w:val="auto"/>
        </w:rPr>
      </w:pPr>
    </w:p>
    <w:p>
      <w:pPr>
        <w:ind w:left="480" w:hanging="478"/>
        <w:spacing w:after="0" w:line="267" w:lineRule="auto"/>
        <w:tabs>
          <w:tab w:leader="none" w:pos="4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this opinion, the term “enforceable” means that the relevant obligations are of a type that the courts of the Cayman Islands will ordinarily enforce, but it does not mean that those obligations will necessarily be enforced in all circumstances in accordance with their terms. In particular, but without limitation:</w:t>
      </w:r>
    </w:p>
    <w:p>
      <w:pPr>
        <w:spacing w:after="0" w:line="134" w:lineRule="exact"/>
        <w:rPr>
          <w:rFonts w:ascii="Times New Roman" w:cs="Times New Roman" w:eastAsia="Times New Roman" w:hAnsi="Times New Roman"/>
          <w:sz w:val="14"/>
          <w:szCs w:val="14"/>
          <w:color w:val="auto"/>
        </w:rPr>
      </w:pPr>
    </w:p>
    <w:p>
      <w:pPr>
        <w:ind w:left="980" w:hanging="485"/>
        <w:spacing w:after="0"/>
        <w:tabs>
          <w:tab w:leader="none" w:pos="9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enforcement may be limited by insolvency or similar laws affecting the rights of creditors;</w:t>
      </w:r>
    </w:p>
    <w:p>
      <w:pPr>
        <w:spacing w:after="0" w:line="167" w:lineRule="exact"/>
        <w:rPr>
          <w:rFonts w:ascii="Times New Roman" w:cs="Times New Roman" w:eastAsia="Times New Roman" w:hAnsi="Times New Roman"/>
          <w:sz w:val="14"/>
          <w:szCs w:val="14"/>
          <w:color w:val="auto"/>
        </w:rPr>
      </w:pPr>
    </w:p>
    <w:p>
      <w:pPr>
        <w:ind w:left="980" w:hanging="485"/>
        <w:spacing w:after="0" w:line="267" w:lineRule="auto"/>
        <w:tabs>
          <w:tab w:leader="none" w:pos="9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enforcement may be limited by general principles of equity. In particular, equitable remedies, such as specific performance and injunction, will only be granted by a court in its discretion and may not be available where the court considers damages to be an adequate remedy;</w:t>
      </w:r>
    </w:p>
    <w:p>
      <w:pPr>
        <w:spacing w:after="0" w:line="134" w:lineRule="exact"/>
        <w:rPr>
          <w:rFonts w:ascii="Times New Roman" w:cs="Times New Roman" w:eastAsia="Times New Roman" w:hAnsi="Times New Roman"/>
          <w:sz w:val="14"/>
          <w:szCs w:val="14"/>
          <w:color w:val="auto"/>
        </w:rPr>
      </w:pPr>
    </w:p>
    <w:p>
      <w:pPr>
        <w:ind w:left="980" w:hanging="485"/>
        <w:spacing w:after="0" w:line="267" w:lineRule="auto"/>
        <w:tabs>
          <w:tab w:leader="none" w:pos="9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claim may be barred by statutes of limitation, or it may be or become subject to defences of set-off, abatement, laches or counterclaim and the doctrines of estoppel, waiver, election, forbearance or abandonment;</w:t>
      </w:r>
    </w:p>
    <w:p>
      <w:pPr>
        <w:spacing w:after="0" w:line="134" w:lineRule="exact"/>
        <w:rPr>
          <w:rFonts w:ascii="Times New Roman" w:cs="Times New Roman" w:eastAsia="Times New Roman" w:hAnsi="Times New Roman"/>
          <w:sz w:val="14"/>
          <w:szCs w:val="14"/>
          <w:color w:val="auto"/>
        </w:rPr>
      </w:pPr>
    </w:p>
    <w:p>
      <w:pPr>
        <w:ind w:left="980" w:hanging="485"/>
        <w:spacing w:after="0"/>
        <w:tabs>
          <w:tab w:leader="none" w:pos="9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may refuse to allow unjust enrichment;</w:t>
      </w:r>
    </w:p>
    <w:p>
      <w:pPr>
        <w:spacing w:after="0" w:line="167" w:lineRule="exact"/>
        <w:rPr>
          <w:rFonts w:ascii="Times New Roman" w:cs="Times New Roman" w:eastAsia="Times New Roman" w:hAnsi="Times New Roman"/>
          <w:sz w:val="14"/>
          <w:szCs w:val="14"/>
          <w:color w:val="auto"/>
        </w:rPr>
      </w:pPr>
    </w:p>
    <w:p>
      <w:pPr>
        <w:ind w:left="980" w:hanging="485"/>
        <w:spacing w:after="0" w:line="267" w:lineRule="auto"/>
        <w:tabs>
          <w:tab w:leader="none" w:pos="9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enforcement of an obligation of a party under a Document may be invalidated or vitiated by reason of fraud, duress, misrepresentation or undue influence or it may be limited by Cayman Islands law dealing with frustration of contracts;</w:t>
      </w:r>
    </w:p>
    <w:p>
      <w:pPr>
        <w:spacing w:after="0" w:line="134" w:lineRule="exact"/>
        <w:rPr>
          <w:rFonts w:ascii="Times New Roman" w:cs="Times New Roman" w:eastAsia="Times New Roman" w:hAnsi="Times New Roman"/>
          <w:sz w:val="14"/>
          <w:szCs w:val="14"/>
          <w:color w:val="auto"/>
        </w:rPr>
      </w:pPr>
    </w:p>
    <w:p>
      <w:pPr>
        <w:ind w:left="980" w:hanging="485"/>
        <w:spacing w:after="0" w:line="267" w:lineRule="auto"/>
        <w:tabs>
          <w:tab w:leader="none" w:pos="9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of a Document that fetters any statutory power of a Cayman Islands’ company, such as a provision restricting the company’s power to commence its winding up, to alter its memorandum and articles of association or to increase its share capital, may not be enforceable;</w:t>
      </w:r>
    </w:p>
    <w:p>
      <w:pPr>
        <w:spacing w:after="0" w:line="134" w:lineRule="exact"/>
        <w:rPr>
          <w:rFonts w:ascii="Times New Roman" w:cs="Times New Roman" w:eastAsia="Times New Roman" w:hAnsi="Times New Roman"/>
          <w:sz w:val="14"/>
          <w:szCs w:val="14"/>
          <w:color w:val="auto"/>
        </w:rPr>
      </w:pPr>
    </w:p>
    <w:p>
      <w:pPr>
        <w:ind w:left="980" w:hanging="485"/>
        <w:spacing w:after="0"/>
        <w:tabs>
          <w:tab w:leader="none" w:pos="9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a provision in a Document releasing a party from a liability or duty otherwise owed may be limited by law;</w:t>
      </w:r>
    </w:p>
    <w:p>
      <w:pPr>
        <w:spacing w:after="0" w:line="167" w:lineRule="exact"/>
        <w:rPr>
          <w:rFonts w:ascii="Times New Roman" w:cs="Times New Roman" w:eastAsia="Times New Roman" w:hAnsi="Times New Roman"/>
          <w:sz w:val="14"/>
          <w:szCs w:val="14"/>
          <w:color w:val="auto"/>
        </w:rPr>
      </w:pPr>
    </w:p>
    <w:p>
      <w:pPr>
        <w:ind w:left="980" w:hanging="485"/>
        <w:spacing w:after="0" w:line="267" w:lineRule="auto"/>
        <w:tabs>
          <w:tab w:leader="none" w:pos="980"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will not enforce a provision of a Document to the extent that it may be illegal or contrary to public policy in the Cayman Islands or purports to bar a party unconditionally from, seeking any relief from the courts of the Cayman Islands or any other court or tribunal chosen by the parties;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20" w:lineRule="exact"/>
        <w:rPr>
          <w:sz w:val="20"/>
          <w:szCs w:val="20"/>
          <w:color w:val="auto"/>
        </w:rPr>
      </w:pPr>
    </w:p>
    <w:p>
      <w:pPr>
        <w:jc w:val="both"/>
        <w:ind w:left="980" w:hanging="485"/>
        <w:spacing w:after="0" w:line="256" w:lineRule="auto"/>
        <w:tabs>
          <w:tab w:leader="none" w:pos="9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of a Document is construed as being penal in nature, in that it provides that a breach of a primary obligation results in a secondary obligation that imposes a detriment on the contract-breaker out of all proportion to any legitimate interest of the innocent party in the enforcement of the primary obligation, will not be enforceable (and we express no opinion as to whether such a provision is proportionate);</w:t>
      </w:r>
    </w:p>
    <w:p>
      <w:pPr>
        <w:spacing w:after="0" w:line="141" w:lineRule="exact"/>
        <w:rPr>
          <w:rFonts w:ascii="Times New Roman" w:cs="Times New Roman" w:eastAsia="Times New Roman" w:hAnsi="Times New Roman"/>
          <w:sz w:val="14"/>
          <w:szCs w:val="14"/>
          <w:color w:val="auto"/>
        </w:rPr>
      </w:pPr>
    </w:p>
    <w:p>
      <w:pPr>
        <w:ind w:left="980" w:hanging="485"/>
        <w:spacing w:after="0"/>
        <w:tabs>
          <w:tab w:leader="none" w:pos="9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may refuse to give effect to a provision in a Document (including a provision that relates to contractual interest on a judgment debt) that it considers usurious;</w:t>
      </w:r>
    </w:p>
    <w:p>
      <w:pPr>
        <w:spacing w:after="0" w:line="167" w:lineRule="exact"/>
        <w:rPr>
          <w:rFonts w:ascii="Times New Roman" w:cs="Times New Roman" w:eastAsia="Times New Roman" w:hAnsi="Times New Roman"/>
          <w:sz w:val="14"/>
          <w:szCs w:val="14"/>
          <w:color w:val="auto"/>
        </w:rPr>
      </w:pPr>
    </w:p>
    <w:p>
      <w:pPr>
        <w:ind w:left="980" w:hanging="485"/>
        <w:spacing w:after="0" w:line="267" w:lineRule="auto"/>
        <w:tabs>
          <w:tab w:leader="none" w:pos="9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may not enforce a provision of a Document to the extent that the transactions contemplated by it contravene economic or other sanctions imposed in respect of certain states or jurisdictions by a treaty, law, order or regulation applicable to the Cayman Islands;</w:t>
      </w:r>
    </w:p>
    <w:p>
      <w:pPr>
        <w:spacing w:after="0" w:line="134" w:lineRule="exact"/>
        <w:rPr>
          <w:rFonts w:ascii="Times New Roman" w:cs="Times New Roman" w:eastAsia="Times New Roman" w:hAnsi="Times New Roman"/>
          <w:sz w:val="14"/>
          <w:szCs w:val="14"/>
          <w:color w:val="auto"/>
        </w:rPr>
      </w:pPr>
    </w:p>
    <w:p>
      <w:pPr>
        <w:ind w:left="980" w:hanging="485"/>
        <w:spacing w:after="0"/>
        <w:tabs>
          <w:tab w:leader="none" w:pos="9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may refuse to give effect to a provision in a Document that involves the enforcement of any foreign revenue or penal laws;</w:t>
      </w:r>
    </w:p>
    <w:p>
      <w:pPr>
        <w:spacing w:after="0" w:line="167" w:lineRule="exact"/>
        <w:rPr>
          <w:rFonts w:ascii="Times New Roman" w:cs="Times New Roman" w:eastAsia="Times New Roman" w:hAnsi="Times New Roman"/>
          <w:sz w:val="14"/>
          <w:szCs w:val="14"/>
          <w:color w:val="auto"/>
        </w:rPr>
      </w:pPr>
    </w:p>
    <w:p>
      <w:pPr>
        <w:jc w:val="both"/>
        <w:ind w:left="980" w:hanging="485"/>
        <w:spacing w:after="0" w:line="256" w:lineRule="auto"/>
        <w:tabs>
          <w:tab w:leader="none" w:pos="9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 contract provides for the payment of legal fees and expenses incurred by a party to that contract in enforcing the contract, a party who succeeds in enforcing the contract is entitled to recover by court judgment the amount of the legal fees and expenses found to be due under the terms of the contract. In all other cases, costs of legal proceedings can only be recovered from another party to the proceedings by a court order, which is a matter for the discretion of the court, and such costs are liable to taxation (assessment by the court); and</w:t>
      </w:r>
    </w:p>
    <w:p>
      <w:pPr>
        <w:spacing w:after="0" w:line="141" w:lineRule="exact"/>
        <w:rPr>
          <w:rFonts w:ascii="Times New Roman" w:cs="Times New Roman" w:eastAsia="Times New Roman" w:hAnsi="Times New Roman"/>
          <w:sz w:val="14"/>
          <w:szCs w:val="14"/>
          <w:color w:val="auto"/>
        </w:rPr>
      </w:pPr>
    </w:p>
    <w:p>
      <w:pPr>
        <w:ind w:left="980" w:hanging="485"/>
        <w:spacing w:after="0" w:line="267" w:lineRule="auto"/>
        <w:tabs>
          <w:tab w:leader="none" w:pos="9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enforcement or performance of any provision in a Document which relates to a Relevant Interest may be prohibited or restricted if any such Relevant Interest is or becomes subject to a Restrictions Notice.</w:t>
      </w:r>
    </w:p>
    <w:p>
      <w:pPr>
        <w:spacing w:after="0" w:line="135" w:lineRule="exact"/>
        <w:rPr>
          <w:sz w:val="20"/>
          <w:szCs w:val="20"/>
          <w:color w:val="auto"/>
        </w:rPr>
      </w:pPr>
    </w:p>
    <w:p>
      <w:pPr>
        <w:ind w:left="480" w:hanging="478"/>
        <w:spacing w:after="0"/>
        <w:tabs>
          <w:tab w:leader="none" w:pos="48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may determine in its discretion the extent of enforceability of a provision of the a Document that provides for or requires, as the case may be:</w:t>
      </w:r>
    </w:p>
    <w:p>
      <w:pPr>
        <w:spacing w:after="0" w:line="167" w:lineRule="exact"/>
        <w:rPr>
          <w:rFonts w:ascii="Times New Roman" w:cs="Times New Roman" w:eastAsia="Times New Roman" w:hAnsi="Times New Roman"/>
          <w:sz w:val="14"/>
          <w:szCs w:val="14"/>
          <w:color w:val="auto"/>
        </w:rPr>
      </w:pPr>
    </w:p>
    <w:p>
      <w:pPr>
        <w:ind w:left="980" w:hanging="485"/>
        <w:spacing w:after="0"/>
        <w:tabs>
          <w:tab w:leader="none" w:pos="98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severability of any provision of the Documents held to be illegal or unenforceable;</w:t>
      </w:r>
    </w:p>
    <w:p>
      <w:pPr>
        <w:spacing w:after="0" w:line="167" w:lineRule="exact"/>
        <w:rPr>
          <w:rFonts w:ascii="Times New Roman" w:cs="Times New Roman" w:eastAsia="Times New Roman" w:hAnsi="Times New Roman"/>
          <w:sz w:val="14"/>
          <w:szCs w:val="14"/>
          <w:color w:val="auto"/>
        </w:rPr>
      </w:pPr>
    </w:p>
    <w:p>
      <w:pPr>
        <w:ind w:left="980" w:hanging="485"/>
        <w:spacing w:after="0" w:line="267" w:lineRule="auto"/>
        <w:tabs>
          <w:tab w:leader="none" w:pos="98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calculation, determination or certificate to be conclusive or binding, including if that calculation, determination or certificate is fraudulent or manifestly inaccurate or has an unreasonable or arbitrary basis;</w:t>
      </w:r>
    </w:p>
    <w:p>
      <w:pPr>
        <w:spacing w:after="0" w:line="134" w:lineRule="exact"/>
        <w:rPr>
          <w:rFonts w:ascii="Times New Roman" w:cs="Times New Roman" w:eastAsia="Times New Roman" w:hAnsi="Times New Roman"/>
          <w:sz w:val="14"/>
          <w:szCs w:val="14"/>
          <w:color w:val="auto"/>
        </w:rPr>
      </w:pPr>
    </w:p>
    <w:p>
      <w:pPr>
        <w:ind w:left="980" w:hanging="485"/>
        <w:spacing w:after="0"/>
        <w:tabs>
          <w:tab w:leader="none" w:pos="98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vesting in a party of a discretion or of a power to determine a matter in its opinion, if that discretion is exercised unreasonably or the opinion is not based on reasonable grounds; or</w:t>
      </w:r>
    </w:p>
    <w:p>
      <w:pPr>
        <w:spacing w:after="0" w:line="167" w:lineRule="exact"/>
        <w:rPr>
          <w:rFonts w:ascii="Times New Roman" w:cs="Times New Roman" w:eastAsia="Times New Roman" w:hAnsi="Times New Roman"/>
          <w:sz w:val="14"/>
          <w:szCs w:val="14"/>
          <w:color w:val="auto"/>
        </w:rPr>
      </w:pPr>
    </w:p>
    <w:p>
      <w:pPr>
        <w:ind w:left="980" w:hanging="485"/>
        <w:spacing w:after="0" w:line="267" w:lineRule="auto"/>
        <w:tabs>
          <w:tab w:leader="none" w:pos="98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written amendments or waivers of the Documents if a purported amendment or waiver is effected by oral agreement or course of conduct, and we express no opinion on any provisions of that type.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6534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 October 2026</w:t>
      </w:r>
    </w:p>
    <w:p>
      <w:pPr>
        <w:spacing w:after="0" w:line="320" w:lineRule="exact"/>
        <w:rPr>
          <w:sz w:val="20"/>
          <w:szCs w:val="20"/>
          <w:color w:val="auto"/>
        </w:rPr>
      </w:pPr>
    </w:p>
    <w:p>
      <w:pPr>
        <w:ind w:left="480" w:hanging="478"/>
        <w:spacing w:after="0"/>
        <w:tabs>
          <w:tab w:leader="none" w:pos="4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law of the Cayman Islands may not recognise a difference between negligence and gross negligence.</w:t>
      </w:r>
    </w:p>
    <w:p>
      <w:pPr>
        <w:spacing w:after="0" w:line="168" w:lineRule="exact"/>
        <w:rPr>
          <w:sz w:val="20"/>
          <w:szCs w:val="20"/>
          <w:color w:val="auto"/>
        </w:rPr>
      </w:pPr>
    </w:p>
    <w:p>
      <w:pPr>
        <w:jc w:val="both"/>
        <w:ind w:left="480" w:hanging="478"/>
        <w:spacing w:after="0" w:line="256" w:lineRule="auto"/>
        <w:tabs>
          <w:tab w:leader="none" w:pos="4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any Document is dated “as of” a specific date, although the parties to that Document have agreed between themselves that, as a matter of contract and to the extent possible, their rights and obligations under it take effect from a date prior to the date of execution and delivery, that Document still comes into effect on the date it is actually executed and delivered. Rights of third parties under that Document also take effect from the date that Document is actually executed and delivered, rather than the “as of” date.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offering in the Cayman Islands</w:t>
      </w:r>
    </w:p>
    <w:p>
      <w:pPr>
        <w:spacing w:after="0" w:line="172" w:lineRule="exact"/>
        <w:rPr>
          <w:sz w:val="20"/>
          <w:szCs w:val="20"/>
          <w:color w:val="auto"/>
        </w:rPr>
      </w:pPr>
    </w:p>
    <w:p>
      <w:pPr>
        <w:ind w:left="5580" w:right="1700" w:hanging="5578"/>
        <w:spacing w:after="0" w:line="757" w:lineRule="auto"/>
        <w:tabs>
          <w:tab w:leader="none" w:pos="489"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prohibited by section 175 of the Companies Act from making any invitation to the public in the Cayman Islands to subscribe for any of its securities.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-219075</wp:posOffset>
            </wp:positionV>
            <wp:extent cx="716534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6"/>
          <w:szCs w:val="16"/>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133350</wp:posOffset>
            </wp:positionV>
            <wp:extent cx="854075" cy="280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854075"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 D. Ballantyne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+1 703 456 8084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mballantyne@cooley.com</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27,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1489 W. Warm Springs Rd., #110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Henderson, NV 89014</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have acted as special U.S. counsel to Zura Bio Limited, a Cayman Islands exempted company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filing by the Company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of a Registration Statement on Form S-3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Securities Act</w:t>
      </w:r>
      <w:r>
        <w:rPr>
          <w:rFonts w:ascii="Times New Roman" w:cs="Times New Roman" w:eastAsia="Times New Roman" w:hAnsi="Times New Roman"/>
          <w:sz w:val="14"/>
          <w:szCs w:val="14"/>
          <w:color w:val="auto"/>
        </w:rPr>
        <w:t>”). The Registration Statement includes two prospectuses, (i) a base prospectus (the “</w:t>
      </w:r>
      <w:r>
        <w:rPr>
          <w:rFonts w:ascii="Times New Roman" w:cs="Times New Roman" w:eastAsia="Times New Roman" w:hAnsi="Times New Roman"/>
          <w:sz w:val="14"/>
          <w:szCs w:val="14"/>
          <w:b w:val="1"/>
          <w:bCs w:val="1"/>
          <w:i w:val="1"/>
          <w:iCs w:val="1"/>
          <w:color w:val="auto"/>
        </w:rPr>
        <w:t>Base Prospectus</w:t>
      </w:r>
      <w:r>
        <w:rPr>
          <w:rFonts w:ascii="Times New Roman" w:cs="Times New Roman" w:eastAsia="Times New Roman" w:hAnsi="Times New Roman"/>
          <w:sz w:val="14"/>
          <w:szCs w:val="14"/>
          <w:color w:val="auto"/>
        </w:rPr>
        <w:t>”), and (ii) a sales agreement prospectus (the “</w:t>
      </w:r>
      <w:r>
        <w:rPr>
          <w:rFonts w:ascii="Times New Roman" w:cs="Times New Roman" w:eastAsia="Times New Roman" w:hAnsi="Times New Roman"/>
          <w:sz w:val="14"/>
          <w:szCs w:val="14"/>
          <w:b w:val="1"/>
          <w:bCs w:val="1"/>
          <w:i w:val="1"/>
          <w:iCs w:val="1"/>
          <w:color w:val="auto"/>
        </w:rPr>
        <w:t>Sales Agreement Prospectus</w:t>
      </w:r>
      <w:r>
        <w:rPr>
          <w:rFonts w:ascii="Times New Roman" w:cs="Times New Roman" w:eastAsia="Times New Roman" w:hAnsi="Times New Roman"/>
          <w:sz w:val="14"/>
          <w:szCs w:val="14"/>
          <w:color w:val="auto"/>
        </w:rPr>
        <w:t>”) covering up to $114,044,900 of the Company’s Class A Ordinary Shares (as defined below) that may be sold under the Sales Agreement, dated September 3, 2024 (as amended on October 27, 2026), between the Company and Leerink Partners LLC (such agreement, the “</w:t>
      </w:r>
      <w:r>
        <w:rPr>
          <w:rFonts w:ascii="Times New Roman" w:cs="Times New Roman" w:eastAsia="Times New Roman" w:hAnsi="Times New Roman"/>
          <w:sz w:val="14"/>
          <w:szCs w:val="14"/>
          <w:b w:val="1"/>
          <w:bCs w:val="1"/>
          <w:i w:val="1"/>
          <w:iCs w:val="1"/>
          <w:color w:val="auto"/>
        </w:rPr>
        <w:t>Sales Agreement</w:t>
      </w:r>
      <w:r>
        <w:rPr>
          <w:rFonts w:ascii="Times New Roman" w:cs="Times New Roman" w:eastAsia="Times New Roman" w:hAnsi="Times New Roman"/>
          <w:sz w:val="14"/>
          <w:szCs w:val="14"/>
          <w:color w:val="auto"/>
        </w:rPr>
        <w:t>”, and such shares, the “</w:t>
      </w:r>
      <w:r>
        <w:rPr>
          <w:rFonts w:ascii="Times New Roman" w:cs="Times New Roman" w:eastAsia="Times New Roman" w:hAnsi="Times New Roman"/>
          <w:sz w:val="14"/>
          <w:szCs w:val="14"/>
          <w:b w:val="1"/>
          <w:bCs w:val="1"/>
          <w:i w:val="1"/>
          <w:iCs w:val="1"/>
          <w:color w:val="auto"/>
        </w:rPr>
        <w:t>Placement Shares</w:t>
      </w:r>
      <w:r>
        <w:rPr>
          <w:rFonts w:ascii="Times New Roman" w:cs="Times New Roman" w:eastAsia="Times New Roman" w:hAnsi="Times New Roman"/>
          <w:sz w:val="14"/>
          <w:szCs w:val="14"/>
          <w:color w:val="auto"/>
        </w:rPr>
        <w:t>”). The Base Prospectus provides that it will be supplemented in the future by one or more prospectus supplements (each, a “</w:t>
      </w:r>
      <w:r>
        <w:rPr>
          <w:rFonts w:ascii="Times New Roman" w:cs="Times New Roman" w:eastAsia="Times New Roman" w:hAnsi="Times New Roman"/>
          <w:sz w:val="14"/>
          <w:szCs w:val="14"/>
          <w:b w:val="1"/>
          <w:bCs w:val="1"/>
          <w:i w:val="1"/>
          <w:iCs w:val="1"/>
          <w:color w:val="auto"/>
        </w:rPr>
        <w:t>Prospectus Supplement</w:t>
      </w:r>
      <w:r>
        <w:rPr>
          <w:rFonts w:ascii="Times New Roman" w:cs="Times New Roman" w:eastAsia="Times New Roman" w:hAnsi="Times New Roman"/>
          <w:sz w:val="14"/>
          <w:szCs w:val="14"/>
          <w:color w:val="auto"/>
        </w:rPr>
        <w:t>”). The Registration Statement, including the Base Prospectus (as supplemented from time to time by one or more Prospectus Supplements), and the Sales Agreement Prospectus, will provide for the registration by the Company of the sale of the following securities:</w:t>
      </w:r>
    </w:p>
    <w:p>
      <w:pPr>
        <w:spacing w:after="0" w:line="145" w:lineRule="exact"/>
        <w:rPr>
          <w:sz w:val="20"/>
          <w:szCs w:val="20"/>
          <w:color w:val="auto"/>
        </w:rPr>
      </w:pPr>
    </w:p>
    <w:p>
      <w:pPr>
        <w:ind w:left="220" w:hanging="218"/>
        <w:spacing w:after="0"/>
        <w:tabs>
          <w:tab w:leader="none" w:pos="220" w:val="left"/>
        </w:tabs>
        <w:numPr>
          <w:ilvl w:val="0"/>
          <w:numId w:val="10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Class A ordinary shares, par value of US$0.0001 per share, of the Company (the “</w:t>
      </w:r>
      <w:r>
        <w:rPr>
          <w:rFonts w:ascii="Times New Roman" w:cs="Times New Roman" w:eastAsia="Times New Roman" w:hAnsi="Times New Roman"/>
          <w:sz w:val="14"/>
          <w:szCs w:val="14"/>
          <w:b w:val="1"/>
          <w:bCs w:val="1"/>
          <w:i w:val="1"/>
          <w:iCs w:val="1"/>
          <w:color w:val="auto"/>
        </w:rPr>
        <w:t>Class A Ordinary Shares</w:t>
      </w:r>
      <w:r>
        <w:rPr>
          <w:rFonts w:ascii="Times New Roman" w:cs="Times New Roman" w:eastAsia="Times New Roman" w:hAnsi="Times New Roman"/>
          <w:sz w:val="14"/>
          <w:szCs w:val="14"/>
          <w:color w:val="auto"/>
        </w:rPr>
        <w:t>”);</w:t>
      </w:r>
    </w:p>
    <w:p>
      <w:pPr>
        <w:spacing w:after="0" w:line="166" w:lineRule="exact"/>
        <w:rPr>
          <w:rFonts w:ascii="Arial" w:cs="Arial" w:eastAsia="Arial" w:hAnsi="Arial"/>
          <w:sz w:val="14"/>
          <w:szCs w:val="14"/>
          <w:b w:val="1"/>
          <w:bCs w:val="1"/>
          <w:color w:val="auto"/>
        </w:rPr>
      </w:pPr>
    </w:p>
    <w:p>
      <w:pPr>
        <w:ind w:left="220" w:hanging="218"/>
        <w:spacing w:after="0"/>
        <w:tabs>
          <w:tab w:leader="none" w:pos="220" w:val="left"/>
        </w:tabs>
        <w:numPr>
          <w:ilvl w:val="0"/>
          <w:numId w:val="10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preference shares, par value of US$0.0001 per share, of the Company (the “</w:t>
      </w:r>
      <w:r>
        <w:rPr>
          <w:rFonts w:ascii="Times New Roman" w:cs="Times New Roman" w:eastAsia="Times New Roman" w:hAnsi="Times New Roman"/>
          <w:sz w:val="14"/>
          <w:szCs w:val="14"/>
          <w:b w:val="1"/>
          <w:bCs w:val="1"/>
          <w:i w:val="1"/>
          <w:iCs w:val="1"/>
          <w:color w:val="auto"/>
        </w:rPr>
        <w:t>Preference Shares</w:t>
      </w:r>
      <w:r>
        <w:rPr>
          <w:rFonts w:ascii="Times New Roman" w:cs="Times New Roman" w:eastAsia="Times New Roman" w:hAnsi="Times New Roman"/>
          <w:sz w:val="14"/>
          <w:szCs w:val="14"/>
          <w:color w:val="auto"/>
        </w:rPr>
        <w:t>”);</w:t>
      </w:r>
    </w:p>
    <w:p>
      <w:pPr>
        <w:spacing w:after="0" w:line="166" w:lineRule="exact"/>
        <w:rPr>
          <w:rFonts w:ascii="Arial" w:cs="Arial" w:eastAsia="Arial" w:hAnsi="Arial"/>
          <w:sz w:val="14"/>
          <w:szCs w:val="14"/>
          <w:b w:val="1"/>
          <w:bCs w:val="1"/>
          <w:color w:val="auto"/>
        </w:rPr>
      </w:pPr>
    </w:p>
    <w:p>
      <w:pPr>
        <w:jc w:val="both"/>
        <w:ind w:left="220" w:hanging="218"/>
        <w:spacing w:after="0" w:line="258" w:lineRule="auto"/>
        <w:tabs>
          <w:tab w:leader="none" w:pos="220" w:val="left"/>
        </w:tabs>
        <w:numPr>
          <w:ilvl w:val="0"/>
          <w:numId w:val="10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debt securities, in one or more series (the “</w:t>
      </w:r>
      <w:r>
        <w:rPr>
          <w:rFonts w:ascii="Times New Roman" w:cs="Times New Roman" w:eastAsia="Times New Roman" w:hAnsi="Times New Roman"/>
          <w:sz w:val="14"/>
          <w:szCs w:val="14"/>
          <w:b w:val="1"/>
          <w:bCs w:val="1"/>
          <w:i w:val="1"/>
          <w:iCs w:val="1"/>
          <w:color w:val="auto"/>
        </w:rPr>
        <w:t>Debt Securities</w:t>
      </w:r>
      <w:r>
        <w:rPr>
          <w:rFonts w:ascii="Times New Roman" w:cs="Times New Roman" w:eastAsia="Times New Roman" w:hAnsi="Times New Roman"/>
          <w:sz w:val="14"/>
          <w:szCs w:val="14"/>
          <w:color w:val="auto"/>
        </w:rPr>
        <w:t>”), which may be issued pursuant to an indenture to be dated on or about the date of the first issuance of Debt Securities thereunder, by and between a trustee to be selected by the Company (the “</w:t>
      </w:r>
      <w:r>
        <w:rPr>
          <w:rFonts w:ascii="Times New Roman" w:cs="Times New Roman" w:eastAsia="Times New Roman" w:hAnsi="Times New Roman"/>
          <w:sz w:val="14"/>
          <w:szCs w:val="14"/>
          <w:b w:val="1"/>
          <w:bCs w:val="1"/>
          <w:i w:val="1"/>
          <w:iCs w:val="1"/>
          <w:color w:val="auto"/>
        </w:rPr>
        <w:t>Trustee</w:t>
      </w:r>
      <w:r>
        <w:rPr>
          <w:rFonts w:ascii="Times New Roman" w:cs="Times New Roman" w:eastAsia="Times New Roman" w:hAnsi="Times New Roman"/>
          <w:sz w:val="14"/>
          <w:szCs w:val="14"/>
          <w:color w:val="auto"/>
        </w:rPr>
        <w:t>”) and the Company, in the form filed as Exhibit 4.3 to the Registration Statement and one or more indentures supplemental thereto with respect to any particular series of Debt Securities (the “</w:t>
      </w:r>
      <w:r>
        <w:rPr>
          <w:rFonts w:ascii="Times New Roman" w:cs="Times New Roman" w:eastAsia="Times New Roman" w:hAnsi="Times New Roman"/>
          <w:sz w:val="14"/>
          <w:szCs w:val="14"/>
          <w:b w:val="1"/>
          <w:bCs w:val="1"/>
          <w:i w:val="1"/>
          <w:iCs w:val="1"/>
          <w:color w:val="auto"/>
        </w:rPr>
        <w:t>Indenture</w:t>
      </w:r>
      <w:r>
        <w:rPr>
          <w:rFonts w:ascii="Times New Roman" w:cs="Times New Roman" w:eastAsia="Times New Roman" w:hAnsi="Times New Roman"/>
          <w:sz w:val="14"/>
          <w:szCs w:val="14"/>
          <w:color w:val="auto"/>
        </w:rPr>
        <w:t>”);</w:t>
      </w:r>
    </w:p>
    <w:p>
      <w:pPr>
        <w:spacing w:after="0" w:line="137" w:lineRule="exact"/>
        <w:rPr>
          <w:rFonts w:ascii="Arial" w:cs="Arial" w:eastAsia="Arial" w:hAnsi="Arial"/>
          <w:sz w:val="14"/>
          <w:szCs w:val="14"/>
          <w:b w:val="1"/>
          <w:bCs w:val="1"/>
          <w:color w:val="auto"/>
        </w:rPr>
      </w:pPr>
    </w:p>
    <w:p>
      <w:pPr>
        <w:jc w:val="both"/>
        <w:ind w:left="240" w:hanging="238"/>
        <w:spacing w:after="0" w:line="258" w:lineRule="auto"/>
        <w:tabs>
          <w:tab w:leader="none" w:pos="240" w:val="left"/>
        </w:tabs>
        <w:numPr>
          <w:ilvl w:val="0"/>
          <w:numId w:val="10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warrants to purchase Class A Ordinary Shares, Preference Shares or Debt Securities (the “</w:t>
      </w:r>
      <w:r>
        <w:rPr>
          <w:rFonts w:ascii="Times New Roman" w:cs="Times New Roman" w:eastAsia="Times New Roman" w:hAnsi="Times New Roman"/>
          <w:sz w:val="14"/>
          <w:szCs w:val="14"/>
          <w:b w:val="1"/>
          <w:bCs w:val="1"/>
          <w:i w:val="1"/>
          <w:iCs w:val="1"/>
          <w:color w:val="auto"/>
        </w:rPr>
        <w:t>Warrants</w:t>
      </w:r>
      <w:r>
        <w:rPr>
          <w:rFonts w:ascii="Times New Roman" w:cs="Times New Roman" w:eastAsia="Times New Roman" w:hAnsi="Times New Roman"/>
          <w:sz w:val="14"/>
          <w:szCs w:val="14"/>
          <w:color w:val="auto"/>
        </w:rPr>
        <w:t>”), which may be issued under one or more warrant agreements, to be dated on or about the date of the first issuance of the applicable Warrants thereunder, by and between a warrant agent to be selected by the Company (the “</w:t>
      </w:r>
      <w:r>
        <w:rPr>
          <w:rFonts w:ascii="Times New Roman" w:cs="Times New Roman" w:eastAsia="Times New Roman" w:hAnsi="Times New Roman"/>
          <w:sz w:val="14"/>
          <w:szCs w:val="14"/>
          <w:b w:val="1"/>
          <w:bCs w:val="1"/>
          <w:i w:val="1"/>
          <w:iCs w:val="1"/>
          <w:color w:val="auto"/>
        </w:rPr>
        <w:t>Warrant Agent</w:t>
      </w:r>
      <w:r>
        <w:rPr>
          <w:rFonts w:ascii="Times New Roman" w:cs="Times New Roman" w:eastAsia="Times New Roman" w:hAnsi="Times New Roman"/>
          <w:sz w:val="14"/>
          <w:szCs w:val="14"/>
          <w:color w:val="auto"/>
        </w:rPr>
        <w:t>”) and the Company, in the forms to be incorporated by reference as an exhibit to the Registration Statement (each a “</w:t>
      </w:r>
      <w:r>
        <w:rPr>
          <w:rFonts w:ascii="Times New Roman" w:cs="Times New Roman" w:eastAsia="Times New Roman" w:hAnsi="Times New Roman"/>
          <w:sz w:val="14"/>
          <w:szCs w:val="14"/>
          <w:b w:val="1"/>
          <w:bCs w:val="1"/>
          <w:i w:val="1"/>
          <w:iCs w:val="1"/>
          <w:color w:val="auto"/>
        </w:rPr>
        <w:t>Warrant Agreement</w:t>
      </w:r>
      <w:r>
        <w:rPr>
          <w:rFonts w:ascii="Times New Roman" w:cs="Times New Roman" w:eastAsia="Times New Roman" w:hAnsi="Times New Roman"/>
          <w:sz w:val="14"/>
          <w:szCs w:val="14"/>
          <w:color w:val="auto"/>
        </w:rPr>
        <w:t>”);</w:t>
      </w:r>
    </w:p>
    <w:p>
      <w:pPr>
        <w:spacing w:after="0" w:line="137" w:lineRule="exact"/>
        <w:rPr>
          <w:rFonts w:ascii="Arial" w:cs="Arial" w:eastAsia="Arial" w:hAnsi="Arial"/>
          <w:sz w:val="14"/>
          <w:szCs w:val="14"/>
          <w:b w:val="1"/>
          <w:bCs w:val="1"/>
          <w:color w:val="auto"/>
        </w:rPr>
      </w:pPr>
    </w:p>
    <w:p>
      <w:pPr>
        <w:jc w:val="both"/>
        <w:ind w:left="240" w:hanging="238"/>
        <w:spacing w:after="0" w:line="258" w:lineRule="auto"/>
        <w:tabs>
          <w:tab w:leader="none" w:pos="240" w:val="left"/>
        </w:tabs>
        <w:numPr>
          <w:ilvl w:val="0"/>
          <w:numId w:val="10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units consisting of any combination of Class A Ordinary Shares, Preference Shares, Debt Securities or Warrants in one or more series (the “</w:t>
      </w:r>
      <w:r>
        <w:rPr>
          <w:rFonts w:ascii="Times New Roman" w:cs="Times New Roman" w:eastAsia="Times New Roman" w:hAnsi="Times New Roman"/>
          <w:sz w:val="14"/>
          <w:szCs w:val="14"/>
          <w:b w:val="1"/>
          <w:bCs w:val="1"/>
          <w:i w:val="1"/>
          <w:iCs w:val="1"/>
          <w:color w:val="auto"/>
        </w:rPr>
        <w:t>Units</w:t>
      </w:r>
      <w:r>
        <w:rPr>
          <w:rFonts w:ascii="Times New Roman" w:cs="Times New Roman" w:eastAsia="Times New Roman" w:hAnsi="Times New Roman"/>
          <w:sz w:val="14"/>
          <w:szCs w:val="14"/>
          <w:color w:val="auto"/>
        </w:rPr>
        <w:t>”), which may be issued under unit agreements, to be dated on or about the date of the first issuance of the applicable Units thereunder, by and between a unit agent to be selected by the Company (the “</w:t>
      </w:r>
      <w:r>
        <w:rPr>
          <w:rFonts w:ascii="Times New Roman" w:cs="Times New Roman" w:eastAsia="Times New Roman" w:hAnsi="Times New Roman"/>
          <w:sz w:val="14"/>
          <w:szCs w:val="14"/>
          <w:b w:val="1"/>
          <w:bCs w:val="1"/>
          <w:i w:val="1"/>
          <w:iCs w:val="1"/>
          <w:color w:val="auto"/>
        </w:rPr>
        <w:t>Unit Agent</w:t>
      </w:r>
      <w:r>
        <w:rPr>
          <w:rFonts w:ascii="Times New Roman" w:cs="Times New Roman" w:eastAsia="Times New Roman" w:hAnsi="Times New Roman"/>
          <w:sz w:val="14"/>
          <w:szCs w:val="14"/>
          <w:color w:val="auto"/>
        </w:rPr>
        <w:t>”) and the Company, in the form to be incorporated by reference as an exhibit to the Registration Statement (the “</w:t>
      </w:r>
      <w:r>
        <w:rPr>
          <w:rFonts w:ascii="Times New Roman" w:cs="Times New Roman" w:eastAsia="Times New Roman" w:hAnsi="Times New Roman"/>
          <w:sz w:val="14"/>
          <w:szCs w:val="14"/>
          <w:b w:val="1"/>
          <w:bCs w:val="1"/>
          <w:i w:val="1"/>
          <w:iCs w:val="1"/>
          <w:color w:val="auto"/>
        </w:rPr>
        <w:t>Unit Agreement</w:t>
      </w:r>
      <w:r>
        <w:rPr>
          <w:rFonts w:ascii="Times New Roman" w:cs="Times New Roman" w:eastAsia="Times New Roman" w:hAnsi="Times New Roman"/>
          <w:sz w:val="14"/>
          <w:szCs w:val="14"/>
          <w:color w:val="auto"/>
        </w:rPr>
        <w:t>”); and</w:t>
      </w:r>
    </w:p>
    <w:p>
      <w:pPr>
        <w:spacing w:after="0" w:line="141" w:lineRule="exact"/>
        <w:rPr>
          <w:rFonts w:ascii="Arial" w:cs="Arial" w:eastAsia="Arial" w:hAnsi="Arial"/>
          <w:sz w:val="14"/>
          <w:szCs w:val="14"/>
          <w:b w:val="1"/>
          <w:bCs w:val="1"/>
          <w:color w:val="auto"/>
        </w:rPr>
      </w:pPr>
    </w:p>
    <w:p>
      <w:pPr>
        <w:ind w:left="240" w:hanging="238"/>
        <w:spacing w:after="0"/>
        <w:tabs>
          <w:tab w:leader="none" w:pos="240" w:val="left"/>
        </w:tabs>
        <w:numPr>
          <w:ilvl w:val="0"/>
          <w:numId w:val="10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Placement Shares.</w:t>
      </w:r>
    </w:p>
    <w:p>
      <w:pPr>
        <w:spacing w:after="0" w:line="3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Cooley LLP Reston Town Center 11951 Freedom Drive 14th Floor Reston, VA 20190-5656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 +1 703 456 8000 f: +1 703 456 8100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16534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27,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Two</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Class A Ordinary Shares, the Preference Shares, the Debt Securities, the Warrants, the Units and the Placement Shares, plus any additional Class A Ordinary Shares, Preference Shares, Debt Securities, Warrants or Units that may be registered pursuant to any registration statement that the Company may hereafter file with the Commission pursuant to Rule 462(b) under the Securities Act in connection with an offering by the Company pursuant to the Registration Statement, are collectively referred to herein as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The Securities are being registered for offer and sale from time to time pursuant to Rule 415 under the Securities Act.</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connection with this opinion, we have examined and relied upon the Registration Statement, the Base Prospectus, the Sales Agreement Prospectus and such other records, documents, certificates, opinions, memoranda and instruments as in our judgment are necessary or appropriate to enable us to render the opinion expressed below. As to certain factual matters, we have relied upon a certificate of an officer of the Company and have not independently verified such matters.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rendering this opinion,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opinion herein is expressed solely with respect to the laws of the State of New York. Our opinion is based on these laws as in effect on the date hereof. We express no opinion as to whether any particular laws are applicable to the subject matter hereof and express no opinion and provide no assurance as to any federal or state law, rule or regulation relating to securities, or to the sale or issuance thereof.</w:t>
      </w:r>
    </w:p>
    <w:p>
      <w:pPr>
        <w:spacing w:after="0" w:line="1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are not hereby rendering any opinion with respect to any Class A Ordinary Shares or Preference Shares issuable upon the conversion or exercise, as applicable, of any Debt Securities, any Warrants or any securities that are the components of Units. We have assumed that with respect to any Debt Securities issuable upon the exercise of any Warrants, the applicable Warrants will be valid and legally binding obligations of the Company. We have also assumed that (i) the Company is validly existing under the laws of the Cayman Islands, has the corporate power to enter into and perform its obligations under the Debt Securities, the Indenture, the Warrants and the Units in accordance with their terms, (ii) upon issuance, the Company will have duly authorized, executed and delivered the Debt Securities, the Indenture, the Warrants and the Units in accordance with its organizational documents and the laws of the Cayman Islands, (iii) any Class A Ordinary Shares or Preference Shares issued upon conversion of the Debt Securities, upon exercise of the Warrants or are components of the Units will be duly authorized, validly issued, fully paid and nonassessable, and (iv) the execution, delivery and performance by the Company of its obligations under the Debt Securities, the Indenture, the Warrants or the Units will not violate the laws of the Cayman Islands or any other applicable laws (excepting from such assumption the laws of the State of New York). We have also assumed that any Debt Securities, any Warrants and any Units offered under the Registration Statement and the related Indenture, Warrant Agreement or Unit Agreement, as applicable, will be executed in the forms filed as exhibits to the Registration Statement or incorporated by reference therein.</w:t>
      </w: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Cooley LLP Reston Town Center 11951 Freedom Drive 14th Floor Reston, VA 20190-5656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 +1 703 456 8000 f: +1 703 456 8100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16534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27,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Three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the basis of the foregoing and in reliance thereon, and subject to the qualifications herein stated, we are of the opinion that:</w:t>
      </w:r>
    </w:p>
    <w:p>
      <w:pPr>
        <w:spacing w:after="0" w:line="168" w:lineRule="exact"/>
        <w:rPr>
          <w:sz w:val="20"/>
          <w:szCs w:val="20"/>
          <w:color w:val="auto"/>
        </w:rPr>
      </w:pPr>
    </w:p>
    <w:p>
      <w:pPr>
        <w:jc w:val="both"/>
        <w:ind w:firstLine="495"/>
        <w:spacing w:after="0" w:line="267" w:lineRule="auto"/>
        <w:tabs>
          <w:tab w:leader="none" w:pos="1102" w:val="left"/>
        </w:tabs>
        <w:numPr>
          <w:ilvl w:val="0"/>
          <w:numId w:val="10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With respect to any series of the Debt Securities issued under the Indenture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Indenture has been duly authorized by the Company and the Trustee by all necessary corporate action; (iii) the Indenture has been duly executed and delivered by the Company and the Trustee and has been qualified under the Trust Indenture Act of 1939, as amended; (iv) the issuance and terms of the Debt Securities, including as to any Class A Ordinary Shares or Preference Shares to be issued on the conversion thereof, have been duly authorized by the Company by all necessary corporate action; (v)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Company’s then operative memorandum and articles of association (the “</w:t>
      </w:r>
      <w:r>
        <w:rPr>
          <w:rFonts w:ascii="Times New Roman" w:cs="Times New Roman" w:eastAsia="Times New Roman" w:hAnsi="Times New Roman"/>
          <w:sz w:val="13"/>
          <w:szCs w:val="13"/>
          <w:b w:val="1"/>
          <w:bCs w:val="1"/>
          <w:i w:val="1"/>
          <w:iCs w:val="1"/>
          <w:color w:val="auto"/>
        </w:rPr>
        <w:t>Articles</w:t>
      </w:r>
      <w:r>
        <w:rPr>
          <w:rFonts w:ascii="Times New Roman" w:cs="Times New Roman" w:eastAsia="Times New Roman" w:hAnsi="Times New Roman"/>
          <w:sz w:val="13"/>
          <w:szCs w:val="13"/>
          <w:color w:val="auto"/>
        </w:rPr>
        <w:t>”), and so as to comply with any requirement or restriction imposed by any court or governmental body having jurisdiction over the Company; and (vi)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41" w:lineRule="exact"/>
        <w:rPr>
          <w:rFonts w:ascii="Times New Roman" w:cs="Times New Roman" w:eastAsia="Times New Roman" w:hAnsi="Times New Roman"/>
          <w:sz w:val="13"/>
          <w:szCs w:val="13"/>
          <w:b w:val="1"/>
          <w:bCs w:val="1"/>
          <w:color w:val="auto"/>
        </w:rPr>
      </w:pPr>
    </w:p>
    <w:p>
      <w:pPr>
        <w:jc w:val="both"/>
        <w:ind w:firstLine="495"/>
        <w:spacing w:after="0" w:line="267" w:lineRule="auto"/>
        <w:tabs>
          <w:tab w:leader="none" w:pos="1173" w:val="left"/>
        </w:tabs>
        <w:numPr>
          <w:ilvl w:val="0"/>
          <w:numId w:val="10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With respect to the Warrants issued under the Warrant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Warrant Agreement has been duly authorized by the Company and the Warrant Agent by all necessary corporate action; (iii) the applicable Warrant Agreement has been duly executed and delivered by the Company and the Warrant Agent; (iv) the issuance and terms of the Warrants, including as to any Class A Ordinary Shares, Preference Shares or Debt Securities to be issued on the exercise thereof, have been duly authorized by the Company by all necessary corporate action; (v) the terms of the Warrants and of their issuance and sale have been duly established in conformity with the applicable Warrant Agreement and as described in the Registration Statement, the Prospectus and the related Prospectus Supplement(s), so as not to violate any applicable law or result in a default under or breach of any agreement or instrument binding upon the Company, so as to be in conformity with the Articles, and so as to comply with any requirement or restriction imposed by any court or governmental body having jurisdiction over the Company; and (vi)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Cooley LLP Reston Town Center 11951 Freedom Drive 14th Floor Reston, VA 20190-5656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 +1 703 456 8000 f: +1 703 456 8100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16534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color w:val="auto"/>
        </w:rPr>
        <w:t>Zura Bio Limited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27, 2026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Four</w:t>
      </w:r>
    </w:p>
    <w:p>
      <w:pPr>
        <w:spacing w:after="0" w:line="156" w:lineRule="exact"/>
        <w:rPr>
          <w:sz w:val="20"/>
          <w:szCs w:val="20"/>
          <w:color w:val="auto"/>
        </w:rPr>
      </w:pPr>
    </w:p>
    <w:p>
      <w:pPr>
        <w:jc w:val="both"/>
        <w:ind w:firstLine="495"/>
        <w:spacing w:after="0" w:line="246" w:lineRule="auto"/>
        <w:tabs>
          <w:tab w:leader="none" w:pos="1143"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the Units issued under the Unit Agreements and offered under the Registration Statement, provided that (i) the Registration Statement and any required post-effective amendment thereto have become effective under the Securities Act and the Base Prospectus and any and all Prospectus Supplement(s) required by applicable laws have been delivered and filed as required by such laws; (ii) the applicable Unit Agreement has been duly authorized by the Company and the Unit Agent by all necessary corporate action; (iii) the applicable Unit Agreement has been duly executed and delivered by the Company and the Unit Agent; (iv) the issuance and terms of the Units, including as to any Class A Ordinary Shares, Preference Shares, Debt Securities or Warrants that are components of such Units, have been duly authorized by the Company by all necessary corporate action; (v) the terms of the Units, including as to any Class A Ordinary Shares, Preference Shares, Debt Securities or Warrants that are components of such Units, and of their issuance and sale have been duly established in conformity with the applicable Unit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Articles, and so as to comply with any requirement or restriction imposed by any court or governmental body having jurisdiction over the Company; and (vi) the Units, including as to any Class A Ordinary Shares, Preference Shares, Debt Securities or Warrants that are components of such Units, have been duly executed and delivered by the Company and authenticated by the Unit Agent pursuant to the applicable Unit Agreement and delivered against payment therefor, then the Units, when issued and sold as contemplated in the Registration Statement, the Base Prospectus and the Prospectus Supplement(s) and in accordance with the applicable Unit Agreement and a duly authorized, executed and delivered purchase, underwriting or similar agreement, will be valid and legally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spacing w:after="0" w:line="154" w:lineRule="exact"/>
        <w:rPr>
          <w:rFonts w:ascii="Times New Roman" w:cs="Times New Roman" w:eastAsia="Times New Roman" w:hAnsi="Times New Roman"/>
          <w:sz w:val="14"/>
          <w:szCs w:val="14"/>
          <w:b w:val="1"/>
          <w:bCs w:val="1"/>
          <w:color w:val="auto"/>
        </w:rPr>
      </w:pPr>
    </w:p>
    <w:p>
      <w:pPr>
        <w:ind w:left="540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 * * *</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 to our firm under the caption “Legal Matters” in the Base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w:t>
      </w:r>
      <w:r>
        <w:rPr>
          <w:rFonts w:ascii="Times New Roman" w:cs="Times New Roman" w:eastAsia="Times New Roman" w:hAnsi="Times New Roman"/>
          <w:sz w:val="9"/>
          <w:szCs w:val="9"/>
          <w:color w:val="auto"/>
        </w:rPr>
        <w:t>ooley</w:t>
      </w:r>
      <w:r>
        <w:rPr>
          <w:rFonts w:ascii="Times New Roman" w:cs="Times New Roman" w:eastAsia="Times New Roman" w:hAnsi="Times New Roman"/>
          <w:sz w:val="14"/>
          <w:szCs w:val="14"/>
          <w:color w:val="auto"/>
        </w:rPr>
        <w:t xml:space="preserve"> LLP</w:t>
      </w:r>
    </w:p>
    <w:p>
      <w:pPr>
        <w:spacing w:after="0" w:line="33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Mark D. Ballantyne</w:t>
      </w:r>
    </w:p>
    <w:p>
      <w:pPr>
        <w:spacing w:after="0" w:line="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Mark D. Ballantyne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-100965</wp:posOffset>
            </wp:positionV>
            <wp:extent cx="215138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2151380" cy="6350"/>
                    </a:xfrm>
                    <a:prstGeom prst="rect">
                      <a:avLst/>
                    </a:prstGeom>
                    <a:noFill/>
                  </pic:spPr>
                </pic:pic>
              </a:graphicData>
            </a:graphic>
          </wp:anchor>
        </w:drawing>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Cooley LLP Reston Town Center 11951 Freedom Drive 14th Floor Reston, VA 20190-5656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 +1 703 456 8000 f: +1 703 456 8100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16534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291" w:right="31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Prospectuses constituting a part of this Registration Statement on Form S-3 of our report dated March 19, 2026, relating to the consolidated financial statements of Zura Bio Limited as of and for the years ended December 31, 2025 and 2024, appearing in the Zura Bio Limited’s Annual Report on Form 10-K for the year ended December 31, 2025. We also consent to the reference to us under the caption “Experts” in the Prospectuses.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WithumSmith+Brown, PC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328930</wp:posOffset>
            </wp:positionV>
            <wp:extent cx="716534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57" w:name="page158"/>
    <w:bookmarkEnd w:id="157"/>
    <w:p>
      <w:pPr>
        <w:spacing w:after="0" w:line="31" w:lineRule="exact"/>
        <w:rPr>
          <w:sz w:val="20"/>
          <w:szCs w:val="20"/>
          <w:color w:val="auto"/>
        </w:rPr>
      </w:pPr>
    </w:p>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Zura Bio Ltd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5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1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1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1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90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7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720" w:type="dxa"/>
            <w:vAlign w:val="bottom"/>
            <w:vMerge w:val="continue"/>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5"/>
        </w:trPr>
        <w:tc>
          <w:tcPr>
            <w:tcW w:w="1860" w:type="dxa"/>
            <w:vAlign w:val="bottom"/>
          </w:tcPr>
          <w:p>
            <w:pPr>
              <w:jc w:val="center"/>
              <w:ind w:left="878"/>
              <w:spacing w:after="0"/>
              <w:rPr>
                <w:sz w:val="20"/>
                <w:szCs w:val="20"/>
                <w:color w:val="auto"/>
              </w:rPr>
            </w:pPr>
            <w:r>
              <w:rPr>
                <w:rFonts w:ascii="Arial" w:cs="Arial" w:eastAsia="Arial" w:hAnsi="Arial"/>
                <w:sz w:val="16"/>
                <w:szCs w:val="16"/>
                <w:b w:val="1"/>
                <w:bCs w:val="1"/>
                <w:color w:val="auto"/>
              </w:rPr>
              <w:t>Security</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Calculation</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760" w:type="dxa"/>
            <w:vAlign w:val="bottom"/>
          </w:tcPr>
          <w:p>
            <w:pPr>
              <w:jc w:val="center"/>
              <w:ind w:left="658"/>
              <w:spacing w:after="0"/>
              <w:rPr>
                <w:sz w:val="20"/>
                <w:szCs w:val="20"/>
                <w:color w:val="auto"/>
              </w:rPr>
            </w:pPr>
            <w:r>
              <w:rPr>
                <w:rFonts w:ascii="Arial" w:cs="Arial" w:eastAsia="Arial" w:hAnsi="Arial"/>
                <w:sz w:val="16"/>
                <w:szCs w:val="16"/>
                <w:b w:val="1"/>
                <w:bCs w:val="1"/>
                <w:color w:val="auto"/>
              </w:rPr>
              <w:t>Amount of</w:t>
            </w: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 Forward</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5"/>
        </w:trPr>
        <w:tc>
          <w:tcPr>
            <w:tcW w:w="1860" w:type="dxa"/>
            <w:vAlign w:val="bottom"/>
          </w:tcPr>
          <w:p>
            <w:pPr>
              <w:jc w:val="center"/>
              <w:ind w:left="878"/>
              <w:spacing w:after="0"/>
              <w:rPr>
                <w:sz w:val="20"/>
                <w:szCs w:val="20"/>
                <w:color w:val="auto"/>
              </w:rPr>
            </w:pPr>
            <w:r>
              <w:rPr>
                <w:rFonts w:ascii="Arial" w:cs="Arial" w:eastAsia="Arial" w:hAnsi="Arial"/>
                <w:sz w:val="16"/>
                <w:szCs w:val="16"/>
                <w:b w:val="1"/>
                <w:bCs w:val="1"/>
                <w:color w:val="auto"/>
              </w:rPr>
              <w:t>Type</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Class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9"/>
              </w:rPr>
              <w:t>or Carry</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Registered</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Offering</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1760" w:type="dxa"/>
            <w:vAlign w:val="bottom"/>
          </w:tcPr>
          <w:p>
            <w:pPr>
              <w:ind w:left="40"/>
              <w:spacing w:after="0"/>
              <w:rPr>
                <w:sz w:val="20"/>
                <w:szCs w:val="20"/>
                <w:color w:val="auto"/>
              </w:rPr>
            </w:pPr>
            <w:r>
              <w:rPr>
                <w:rFonts w:ascii="Arial" w:cs="Arial" w:eastAsia="Arial" w:hAnsi="Arial"/>
                <w:sz w:val="16"/>
                <w:szCs w:val="16"/>
                <w:b w:val="1"/>
                <w:bCs w:val="1"/>
                <w:color w:val="auto"/>
              </w:rPr>
              <w:t>Fee Rate Registration</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Form</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File</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Initial</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85"/>
        </w:trPr>
        <w:tc>
          <w:tcPr>
            <w:tcW w:w="18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Title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9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Price Per</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Offering Price</w:t>
            </w:r>
          </w:p>
        </w:tc>
        <w:tc>
          <w:tcPr>
            <w:tcW w:w="1760" w:type="dxa"/>
            <w:vAlign w:val="bottom"/>
          </w:tcPr>
          <w:p>
            <w:pPr>
              <w:jc w:val="center"/>
              <w:ind w:left="678"/>
              <w:spacing w:after="0"/>
              <w:rPr>
                <w:sz w:val="20"/>
                <w:szCs w:val="20"/>
                <w:color w:val="auto"/>
              </w:rPr>
            </w:pPr>
            <w:r>
              <w:rPr>
                <w:rFonts w:ascii="Arial" w:cs="Arial" w:eastAsia="Arial" w:hAnsi="Arial"/>
                <w:sz w:val="16"/>
                <w:szCs w:val="16"/>
                <w:b w:val="1"/>
                <w:bCs w:val="1"/>
                <w:color w:val="auto"/>
              </w:rPr>
              <w:t>Fee</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Type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Effective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r>
        <w:trPr>
          <w:trHeight w:val="36"/>
        </w:trPr>
        <w:tc>
          <w:tcPr>
            <w:tcW w:w="1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Rule</w:t>
            </w:r>
          </w:p>
        </w:tc>
        <w:tc>
          <w:tcPr>
            <w:tcW w:w="900" w:type="dxa"/>
            <w:vAlign w:val="bottom"/>
          </w:tcPr>
          <w:p>
            <w:pPr>
              <w:spacing w:after="0"/>
              <w:rPr>
                <w:sz w:val="3"/>
                <w:szCs w:val="3"/>
                <w:color w:val="auto"/>
              </w:rPr>
            </w:pPr>
          </w:p>
        </w:tc>
        <w:tc>
          <w:tcPr>
            <w:tcW w:w="80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Unit</w:t>
            </w:r>
          </w:p>
        </w:tc>
        <w:tc>
          <w:tcPr>
            <w:tcW w:w="1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jc w:val="center"/>
              <w:spacing w:after="0" w:line="37" w:lineRule="exact"/>
              <w:rPr>
                <w:sz w:val="20"/>
                <w:szCs w:val="20"/>
                <w:color w:val="auto"/>
              </w:rPr>
            </w:pPr>
            <w:r>
              <w:rPr>
                <w:rFonts w:ascii="Arial" w:cs="Arial" w:eastAsia="Arial" w:hAnsi="Arial"/>
                <w:sz w:val="4"/>
                <w:szCs w:val="4"/>
                <w:b w:val="1"/>
                <w:bCs w:val="1"/>
                <w:color w:val="auto"/>
              </w:rPr>
              <w:t>Date</w:t>
            </w: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-847090</wp:posOffset>
            </wp:positionV>
            <wp:extent cx="7215505" cy="5234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7215505" cy="5234940"/>
                    </a:xfrm>
                    <a:prstGeom prst="rect">
                      <a:avLst/>
                    </a:prstGeom>
                    <a:noFill/>
                  </pic:spPr>
                </pic:pic>
              </a:graphicData>
            </a:graphic>
          </wp:anchor>
        </w:drawing>
      </w:r>
    </w:p>
    <w:p>
      <w:pPr>
        <w:jc w:val="center"/>
        <w:ind w:left="10460"/>
        <w:spacing w:after="0"/>
        <w:rPr>
          <w:sz w:val="20"/>
          <w:szCs w:val="20"/>
          <w:color w:val="auto"/>
        </w:rPr>
      </w:pPr>
      <w:r>
        <w:rPr>
          <w:rFonts w:ascii="Arial" w:cs="Arial" w:eastAsia="Arial" w:hAnsi="Arial"/>
          <w:sz w:val="16"/>
          <w:szCs w:val="16"/>
          <w:b w:val="1"/>
          <w:bCs w:val="1"/>
          <w:color w:val="auto"/>
        </w:rPr>
        <w:t>to be</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Carried</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42"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Class A</w:t>
      </w:r>
    </w:p>
    <w:p>
      <w:pPr>
        <w:spacing w:after="0" w:line="17"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Ordinary</w:t>
      </w:r>
    </w:p>
    <w:p>
      <w:pPr>
        <w:ind w:left="1180"/>
        <w:spacing w:after="0" w:line="189" w:lineRule="auto"/>
        <w:tabs>
          <w:tab w:leader="none" w:pos="1880" w:val="left"/>
          <w:tab w:leader="none" w:pos="2940" w:val="left"/>
        </w:tabs>
        <w:rPr>
          <w:sz w:val="20"/>
          <w:szCs w:val="20"/>
          <w:color w:val="auto"/>
        </w:rPr>
      </w:pPr>
      <w:r>
        <w:rPr>
          <w:rFonts w:ascii="Arial" w:cs="Arial" w:eastAsia="Arial" w:hAnsi="Arial"/>
          <w:sz w:val="13"/>
          <w:szCs w:val="13"/>
          <w:color w:val="auto"/>
        </w:rPr>
        <w:t>Equity</w:t>
      </w:r>
      <w:r>
        <w:rPr>
          <w:sz w:val="20"/>
          <w:szCs w:val="20"/>
          <w:color w:val="auto"/>
        </w:rPr>
        <w:tab/>
      </w:r>
      <w:r>
        <w:rPr>
          <w:rFonts w:ascii="Arial" w:cs="Arial" w:eastAsia="Arial" w:hAnsi="Arial"/>
          <w:sz w:val="21"/>
          <w:szCs w:val="21"/>
          <w:color w:val="auto"/>
          <w:vertAlign w:val="superscript"/>
        </w:rPr>
        <w:t>Shares,</w:t>
      </w:r>
      <w:r>
        <w:rPr>
          <w:sz w:val="20"/>
          <w:szCs w:val="20"/>
          <w:color w:val="auto"/>
        </w:rPr>
        <w:tab/>
      </w:r>
      <w:r>
        <w:rPr>
          <w:rFonts w:ascii="Arial" w:cs="Arial" w:eastAsia="Arial" w:hAnsi="Arial"/>
          <w:sz w:val="12"/>
          <w:szCs w:val="12"/>
          <w:color w:val="auto"/>
        </w:rPr>
        <w:t>457(o)</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$0.0001</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par value</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per share</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Preference</w:t>
      </w:r>
    </w:p>
    <w:p>
      <w:pPr>
        <w:spacing w:after="0" w:line="17"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Shares,</w:t>
      </w:r>
    </w:p>
    <w:p>
      <w:pPr>
        <w:spacing w:after="0" w:line="1" w:lineRule="exact"/>
        <w:rPr>
          <w:sz w:val="20"/>
          <w:szCs w:val="20"/>
          <w:color w:val="auto"/>
        </w:rPr>
      </w:pPr>
    </w:p>
    <w:p>
      <w:pPr>
        <w:ind w:left="1180"/>
        <w:spacing w:after="0"/>
        <w:tabs>
          <w:tab w:leader="none" w:pos="1880" w:val="left"/>
          <w:tab w:leader="none" w:pos="2940" w:val="left"/>
        </w:tabs>
        <w:rPr>
          <w:sz w:val="20"/>
          <w:szCs w:val="20"/>
          <w:color w:val="auto"/>
        </w:rPr>
      </w:pPr>
      <w:r>
        <w:rPr>
          <w:rFonts w:ascii="Arial" w:cs="Arial" w:eastAsia="Arial" w:hAnsi="Arial"/>
          <w:sz w:val="16"/>
          <w:szCs w:val="16"/>
          <w:color w:val="auto"/>
        </w:rPr>
        <w:t>Equity</w:t>
        <w:tab/>
        <w:t>$0.0001</w:t>
      </w:r>
      <w:r>
        <w:rPr>
          <w:sz w:val="20"/>
          <w:szCs w:val="20"/>
          <w:color w:val="auto"/>
        </w:rPr>
        <w:tab/>
      </w:r>
      <w:r>
        <w:rPr>
          <w:rFonts w:ascii="Arial" w:cs="Arial" w:eastAsia="Arial" w:hAnsi="Arial"/>
          <w:sz w:val="15"/>
          <w:szCs w:val="15"/>
          <w:color w:val="auto"/>
        </w:rPr>
        <w:t>457(o)</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par value</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per share</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0.000087</w:t>
            </w:r>
          </w:p>
        </w:tc>
        <w:tc>
          <w:tcPr>
            <w:tcW w:w="20" w:type="dxa"/>
            <w:vAlign w:val="bottom"/>
          </w:tcPr>
          <w:p>
            <w:pPr>
              <w:spacing w:after="0"/>
              <w:rPr>
                <w:sz w:val="8"/>
                <w:szCs w:val="8"/>
                <w:color w:val="auto"/>
              </w:rPr>
            </w:pPr>
          </w:p>
        </w:tc>
        <w:tc>
          <w:tcPr>
            <w:tcW w:w="9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$ 60,900.00</w:t>
            </w:r>
          </w:p>
        </w:tc>
        <w:tc>
          <w:tcPr>
            <w:tcW w:w="0" w:type="dxa"/>
            <w:vAlign w:val="bottom"/>
          </w:tcPr>
          <w:p>
            <w:pPr>
              <w:spacing w:after="0"/>
              <w:rPr>
                <w:sz w:val="1"/>
                <w:szCs w:val="1"/>
                <w:color w:val="auto"/>
              </w:rPr>
            </w:pPr>
          </w:p>
        </w:tc>
      </w:tr>
      <w:tr>
        <w:trPr>
          <w:trHeight w:val="165"/>
        </w:trPr>
        <w:tc>
          <w:tcPr>
            <w:tcW w:w="78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700,000,000.00</w:t>
            </w: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ind w:left="20"/>
              <w:spacing w:after="0" w:line="144"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8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5"/>
          </w:tcPr>
          <w:p>
            <w:pPr>
              <w:jc w:val="right"/>
              <w:ind w:right="51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0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$ 60,900.00</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6"/>
                <w:szCs w:val="16"/>
                <w:color w:val="auto"/>
              </w:rPr>
              <w:t>700,000,000.00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6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$ 21,446.54</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$ 39,453.46</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9" w:lineRule="exact"/>
        <w:rPr>
          <w:sz w:val="20"/>
          <w:szCs w:val="20"/>
          <w:color w:val="auto"/>
        </w:rPr>
      </w:pPr>
    </w:p>
    <w:p>
      <w:pPr>
        <w:ind w:left="200" w:right="180"/>
        <w:spacing w:after="0" w:line="243" w:lineRule="auto"/>
        <w:rPr>
          <w:sz w:val="20"/>
          <w:szCs w:val="20"/>
          <w:color w:val="auto"/>
        </w:rPr>
      </w:pPr>
      <w:r>
        <w:rPr>
          <w:rFonts w:ascii="Arial" w:cs="Arial" w:eastAsia="Arial" w:hAnsi="Arial"/>
          <w:sz w:val="16"/>
          <w:szCs w:val="16"/>
          <w:color w:val="auto"/>
        </w:rPr>
        <w:t>There are being registered hereunder such indeterminate number of Class A Ordinary Shares, such indeterminate number of Preference Shares, such indeterminate principal amount of debt securities and such indeterminate number of warrants to purchase Class A Ordinary Shares, Preference Shares and/or debt securities as may be sold from time to time by the Registrant, which collectively shall have a maximum aggregate offering price not to exceed $700,000,000. Any securities registered hereunder may be sold separately or in combination with other securities registered hereunder. The $700,000,000 of securities registered hereunder includes $114,044,900 of Class A Ordinary Shares that may be offered, issued and sold pursuant to that certain Sales Agreement, dated September 3, 2024 by and between the Registrant and Leerink Partners LLC (as amended on October 27, 2026). The securities registered hereunder also include such indeterminate number of Class A Ordinary Shares and Preference Shares and such indeterminate principal amount of debt securities as may be issued upon conversion or exchange of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Class A Ordinary Shares and Preference Shares as may be issuable with respect to the shares being registered hereunder as a result of share splits, share dividends or similar transactions. The proposed maximum offering price per unit and maximum aggregate offering price per class of securities will be determined from time to time by the Registrant in connection with the issuance by the Registrant of the securities registered hereunder and are not specified as to each class of security pursuant to General Instruction I.D. and Instruction 2.A.iii.c. to the Calculation of Filing Fee Tables and Related Disclosure under Item 16(b) of Form S-3 under the Securities Act. Separate consideration may or may not be received for securities that are issuable upon exercise, conversion or exchange of other securities. The registration fee is calculated in accordance with Rule 457(o) under the Securities Act based on the proposed maximum aggregate offering price of $700,000,000 of securities that may be issued and sold from time to time under the prospectus contained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180340</wp:posOffset>
            </wp:positionV>
            <wp:extent cx="715137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8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gridSpan w:val="2"/>
          </w:tcPr>
          <w:p>
            <w:pPr>
              <w:ind w:left="62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9"/>
              </w:rPr>
              <w:t>Unsold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Security</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9"/>
              </w:rPr>
              <w:t>Unsold</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Aggregate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9"/>
              </w:rPr>
              <w:t>Form</w:t>
            </w:r>
          </w:p>
        </w:tc>
        <w:tc>
          <w:tcPr>
            <w:tcW w:w="820" w:type="dxa"/>
            <w:vAlign w:val="bottom"/>
          </w:tcPr>
          <w:p>
            <w:pPr>
              <w:spacing w:after="0"/>
              <w:rPr>
                <w:sz w:val="16"/>
                <w:szCs w:val="16"/>
                <w:color w:val="auto"/>
              </w:rPr>
            </w:pP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Initial</w:t>
            </w:r>
          </w:p>
        </w:tc>
        <w:tc>
          <w:tcPr>
            <w:tcW w:w="800" w:type="dxa"/>
            <w:vAlign w:val="bottom"/>
          </w:tcPr>
          <w:p>
            <w:pPr>
              <w:spacing w:after="0"/>
              <w:rPr>
                <w:sz w:val="16"/>
                <w:szCs w:val="16"/>
                <w:color w:val="auto"/>
              </w:rPr>
            </w:pPr>
          </w:p>
        </w:tc>
        <w:tc>
          <w:tcPr>
            <w:tcW w:w="840" w:type="dxa"/>
            <w:vAlign w:val="bottom"/>
            <w:vMerge w:val="restart"/>
          </w:tcPr>
          <w:p>
            <w:pPr>
              <w:jc w:val="center"/>
              <w:ind w:left="18"/>
              <w:spacing w:after="0"/>
              <w:rPr>
                <w:sz w:val="20"/>
                <w:szCs w:val="20"/>
                <w:color w:val="auto"/>
              </w:rPr>
            </w:pPr>
            <w:r>
              <w:rPr>
                <w:rFonts w:ascii="Arial" w:cs="Arial" w:eastAsia="Arial" w:hAnsi="Arial"/>
                <w:sz w:val="16"/>
                <w:szCs w:val="16"/>
                <w:b w:val="1"/>
                <w:bCs w:val="1"/>
                <w:color w:val="auto"/>
              </w:rPr>
              <w:t>Fee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6"/>
              </w:rPr>
              <w:t>Type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Title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Offering</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Fee Paid</w:t>
            </w:r>
          </w:p>
        </w:tc>
        <w:tc>
          <w:tcPr>
            <w:tcW w:w="0" w:type="dxa"/>
            <w:vAlign w:val="bottom"/>
          </w:tcPr>
          <w:p>
            <w:pPr>
              <w:spacing w:after="0"/>
              <w:rPr>
                <w:sz w:val="1"/>
                <w:szCs w:val="1"/>
                <w:color w:val="auto"/>
              </w:rPr>
            </w:pPr>
          </w:p>
        </w:tc>
      </w:tr>
      <w:tr>
        <w:trPr>
          <w:trHeight w:val="92"/>
        </w:trPr>
        <w:tc>
          <w:tcPr>
            <w:tcW w:w="2640" w:type="dxa"/>
            <w:vAlign w:val="bottom"/>
            <w:vMerge w:val="restart"/>
          </w:tcPr>
          <w:p>
            <w:pPr>
              <w:jc w:val="center"/>
              <w:ind w:left="1343"/>
              <w:spacing w:after="0"/>
              <w:rPr>
                <w:sz w:val="20"/>
                <w:szCs w:val="20"/>
                <w:color w:val="auto"/>
              </w:rPr>
            </w:pPr>
            <w:r>
              <w:rPr>
                <w:rFonts w:ascii="Arial" w:cs="Arial" w:eastAsia="Arial" w:hAnsi="Arial"/>
                <w:sz w:val="16"/>
                <w:szCs w:val="16"/>
                <w:b w:val="1"/>
                <w:bCs w:val="1"/>
                <w:color w:val="auto"/>
              </w:rPr>
              <w:t>Registrant or</w:t>
            </w:r>
          </w:p>
        </w:tc>
        <w:tc>
          <w:tcPr>
            <w:tcW w:w="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or</w:t>
            </w:r>
          </w:p>
        </w:tc>
        <w:tc>
          <w:tcPr>
            <w:tcW w:w="820" w:type="dxa"/>
            <w:vAlign w:val="bottom"/>
            <w:vMerge w:val="restart"/>
          </w:tcPr>
          <w:p>
            <w:pPr>
              <w:jc w:val="center"/>
              <w:ind w:right="6"/>
              <w:spacing w:after="0"/>
              <w:rPr>
                <w:sz w:val="20"/>
                <w:szCs w:val="20"/>
                <w:color w:val="auto"/>
              </w:rPr>
            </w:pPr>
            <w:r>
              <w:rPr>
                <w:rFonts w:ascii="Arial" w:cs="Arial" w:eastAsia="Arial" w:hAnsi="Arial"/>
                <w:sz w:val="16"/>
                <w:szCs w:val="16"/>
                <w:b w:val="1"/>
                <w:bCs w:val="1"/>
                <w:color w:val="auto"/>
              </w:rPr>
              <w:t>File</w:t>
            </w:r>
          </w:p>
        </w:tc>
        <w:tc>
          <w:tcPr>
            <w:tcW w:w="780" w:type="dxa"/>
            <w:vAlign w:val="bottom"/>
            <w:vMerge w:val="continue"/>
          </w:tcPr>
          <w:p>
            <w:pPr>
              <w:spacing w:after="0"/>
              <w:rPr>
                <w:sz w:val="8"/>
                <w:szCs w:val="8"/>
                <w:color w:val="auto"/>
              </w:rPr>
            </w:pPr>
          </w:p>
        </w:tc>
        <w:tc>
          <w:tcPr>
            <w:tcW w:w="800" w:type="dxa"/>
            <w:vAlign w:val="bottom"/>
            <w:vMerge w:val="restart"/>
          </w:tcPr>
          <w:p>
            <w:pPr>
              <w:jc w:val="center"/>
              <w:ind w:left="6"/>
              <w:spacing w:after="0"/>
              <w:rPr>
                <w:sz w:val="20"/>
                <w:szCs w:val="20"/>
                <w:color w:val="auto"/>
              </w:rPr>
            </w:pPr>
            <w:r>
              <w:rPr>
                <w:rFonts w:ascii="Arial" w:cs="Arial" w:eastAsia="Arial" w:hAnsi="Arial"/>
                <w:sz w:val="16"/>
                <w:szCs w:val="16"/>
                <w:b w:val="1"/>
                <w:bCs w:val="1"/>
                <w:color w:val="auto"/>
              </w:rPr>
              <w:t>Filing</w:t>
            </w:r>
          </w:p>
        </w:tc>
        <w:tc>
          <w:tcPr>
            <w:tcW w:w="840" w:type="dxa"/>
            <w:vAlign w:val="bottom"/>
            <w:vMerge w:val="continue"/>
          </w:tcPr>
          <w:p>
            <w:pPr>
              <w:spacing w:after="0"/>
              <w:rPr>
                <w:sz w:val="8"/>
                <w:szCs w:val="8"/>
                <w:color w:val="auto"/>
              </w:rPr>
            </w:pPr>
          </w:p>
        </w:tc>
        <w:tc>
          <w:tcPr>
            <w:tcW w:w="286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Associated Associated Associated</w:t>
            </w: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Amount</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with Fee</w:t>
            </w:r>
          </w:p>
        </w:tc>
        <w:tc>
          <w:tcPr>
            <w:tcW w:w="0" w:type="dxa"/>
            <w:vAlign w:val="bottom"/>
          </w:tcPr>
          <w:p>
            <w:pPr>
              <w:spacing w:after="0"/>
              <w:rPr>
                <w:sz w:val="1"/>
                <w:szCs w:val="1"/>
                <w:color w:val="auto"/>
              </w:rPr>
            </w:pPr>
          </w:p>
        </w:tc>
      </w:tr>
      <w:tr>
        <w:trPr>
          <w:trHeight w:val="165"/>
        </w:trPr>
        <w:tc>
          <w:tcPr>
            <w:tcW w:w="26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800" w:type="dxa"/>
            <w:vAlign w:val="bottom"/>
            <w:vMerge w:val="continue"/>
          </w:tcPr>
          <w:p>
            <w:pPr>
              <w:spacing w:after="0"/>
              <w:rPr>
                <w:sz w:val="14"/>
                <w:szCs w:val="14"/>
                <w:color w:val="auto"/>
              </w:rPr>
            </w:pPr>
          </w:p>
        </w:tc>
        <w:tc>
          <w:tcPr>
            <w:tcW w:w="840" w:type="dxa"/>
            <w:vAlign w:val="bottom"/>
          </w:tcPr>
          <w:p>
            <w:pPr>
              <w:jc w:val="center"/>
              <w:ind w:left="18"/>
              <w:spacing w:after="0" w:line="165" w:lineRule="exact"/>
              <w:rPr>
                <w:sz w:val="20"/>
                <w:szCs w:val="20"/>
                <w:color w:val="auto"/>
              </w:rPr>
            </w:pPr>
            <w:r>
              <w:rPr>
                <w:rFonts w:ascii="Arial" w:cs="Arial" w:eastAsia="Arial" w:hAnsi="Arial"/>
                <w:sz w:val="16"/>
                <w:szCs w:val="16"/>
                <w:b w:val="1"/>
                <w:bCs w:val="1"/>
                <w:color w:val="auto"/>
                <w:w w:val="99"/>
              </w:rPr>
              <w:t>Offset</w:t>
            </w:r>
          </w:p>
        </w:tc>
        <w:tc>
          <w:tcPr>
            <w:tcW w:w="2860" w:type="dxa"/>
            <w:vAlign w:val="bottom"/>
            <w:gridSpan w:val="3"/>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640" w:type="dxa"/>
            <w:vAlign w:val="bottom"/>
          </w:tcPr>
          <w:p>
            <w:pPr>
              <w:jc w:val="center"/>
              <w:ind w:left="1323"/>
              <w:spacing w:after="0" w:line="113" w:lineRule="exact"/>
              <w:rPr>
                <w:sz w:val="20"/>
                <w:szCs w:val="20"/>
                <w:color w:val="auto"/>
              </w:rPr>
            </w:pPr>
            <w:r>
              <w:rPr>
                <w:rFonts w:ascii="Arial" w:cs="Arial" w:eastAsia="Arial" w:hAnsi="Arial"/>
                <w:sz w:val="13"/>
                <w:szCs w:val="13"/>
                <w:b w:val="1"/>
                <w:bCs w:val="1"/>
                <w:color w:val="auto"/>
              </w:rPr>
              <w:t>Filer Name</w:t>
            </w:r>
          </w:p>
        </w:tc>
        <w:tc>
          <w:tcPr>
            <w:tcW w:w="6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Filing</w:t>
            </w:r>
          </w:p>
        </w:tc>
        <w:tc>
          <w:tcPr>
            <w:tcW w:w="820" w:type="dxa"/>
            <w:vAlign w:val="bottom"/>
          </w:tcPr>
          <w:p>
            <w:pPr>
              <w:jc w:val="center"/>
              <w:ind w:right="6"/>
              <w:spacing w:after="0" w:line="113" w:lineRule="exact"/>
              <w:rPr>
                <w:sz w:val="20"/>
                <w:szCs w:val="20"/>
                <w:color w:val="auto"/>
              </w:rPr>
            </w:pPr>
            <w:r>
              <w:rPr>
                <w:rFonts w:ascii="Arial" w:cs="Arial" w:eastAsia="Arial" w:hAnsi="Arial"/>
                <w:sz w:val="13"/>
                <w:szCs w:val="13"/>
                <w:b w:val="1"/>
                <w:bCs w:val="1"/>
                <w:color w:val="auto"/>
              </w:rPr>
              <w:t>Number</w:t>
            </w:r>
          </w:p>
        </w:tc>
        <w:tc>
          <w:tcPr>
            <w:tcW w:w="7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Date</w:t>
            </w:r>
          </w:p>
        </w:tc>
        <w:tc>
          <w:tcPr>
            <w:tcW w:w="800" w:type="dxa"/>
            <w:vAlign w:val="bottom"/>
          </w:tcPr>
          <w:p>
            <w:pPr>
              <w:jc w:val="center"/>
              <w:ind w:left="6"/>
              <w:spacing w:after="0" w:line="113" w:lineRule="exact"/>
              <w:rPr>
                <w:sz w:val="20"/>
                <w:szCs w:val="20"/>
                <w:color w:val="auto"/>
              </w:rPr>
            </w:pPr>
            <w:r>
              <w:rPr>
                <w:rFonts w:ascii="Arial" w:cs="Arial" w:eastAsia="Arial" w:hAnsi="Arial"/>
                <w:sz w:val="13"/>
                <w:szCs w:val="13"/>
                <w:b w:val="1"/>
                <w:bCs w:val="1"/>
                <w:color w:val="auto"/>
              </w:rPr>
              <w:t>Date</w:t>
            </w:r>
          </w:p>
        </w:tc>
        <w:tc>
          <w:tcPr>
            <w:tcW w:w="840" w:type="dxa"/>
            <w:vAlign w:val="bottom"/>
            <w:vMerge w:val="restart"/>
          </w:tcPr>
          <w:p>
            <w:pPr>
              <w:jc w:val="center"/>
              <w:ind w:left="38"/>
              <w:spacing w:after="0"/>
              <w:rPr>
                <w:sz w:val="20"/>
                <w:szCs w:val="20"/>
                <w:color w:val="auto"/>
              </w:rPr>
            </w:pPr>
            <w:r>
              <w:rPr>
                <w:rFonts w:ascii="Arial" w:cs="Arial" w:eastAsia="Arial" w:hAnsi="Arial"/>
                <w:sz w:val="16"/>
                <w:szCs w:val="16"/>
                <w:b w:val="1"/>
                <w:bCs w:val="1"/>
                <w:color w:val="auto"/>
              </w:rPr>
              <w:t>Claimed</w:t>
            </w:r>
          </w:p>
        </w:tc>
        <w:tc>
          <w:tcPr>
            <w:tcW w:w="9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9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10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with Fee</w:t>
            </w:r>
          </w:p>
        </w:tc>
        <w:tc>
          <w:tcPr>
            <w:tcW w:w="10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Associated</w:t>
            </w:r>
          </w:p>
        </w:tc>
        <w:tc>
          <w:tcPr>
            <w:tcW w:w="8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Offset</w:t>
            </w: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Type</w:t>
            </w:r>
          </w:p>
        </w:tc>
        <w:tc>
          <w:tcPr>
            <w:tcW w:w="8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Offset</w:t>
            </w: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Offset</w:t>
            </w: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Offset</w:t>
            </w: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with Fee</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Source</w:t>
            </w:r>
          </w:p>
        </w:tc>
        <w:tc>
          <w:tcPr>
            <w:tcW w:w="0" w:type="dxa"/>
            <w:vAlign w:val="bottom"/>
          </w:tcPr>
          <w:p>
            <w:pPr>
              <w:spacing w:after="0"/>
              <w:rPr>
                <w:sz w:val="1"/>
                <w:szCs w:val="1"/>
                <w:color w:val="auto"/>
              </w:rPr>
            </w:pPr>
          </w:p>
        </w:tc>
      </w:tr>
      <w:tr>
        <w:trPr>
          <w:trHeight w:val="53"/>
        </w:trPr>
        <w:tc>
          <w:tcPr>
            <w:tcW w:w="26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Claimed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Claimed</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Claimed</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9"/>
              </w:rPr>
              <w:t>Offset</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-847090</wp:posOffset>
            </wp:positionV>
            <wp:extent cx="7171055" cy="12604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171055" cy="1260475"/>
                    </a:xfrm>
                    <a:prstGeom prst="rect">
                      <a:avLst/>
                    </a:prstGeom>
                    <a:noFill/>
                  </pic:spPr>
                </pic:pic>
              </a:graphicData>
            </a:graphic>
          </wp:anchor>
        </w:drawing>
      </w:r>
    </w:p>
    <w:p>
      <w:pPr>
        <w:ind w:left="9540"/>
        <w:spacing w:after="0"/>
        <w:rPr>
          <w:sz w:val="20"/>
          <w:szCs w:val="20"/>
          <w:color w:val="auto"/>
        </w:rPr>
      </w:pPr>
      <w:r>
        <w:rPr>
          <w:rFonts w:ascii="Arial" w:cs="Arial" w:eastAsia="Arial" w:hAnsi="Arial"/>
          <w:sz w:val="16"/>
          <w:szCs w:val="16"/>
          <w:b w:val="1"/>
          <w:bCs w:val="1"/>
          <w:color w:val="auto"/>
        </w:rPr>
        <w:t>Claimed</w:t>
      </w:r>
    </w:p>
    <w:p>
      <w:pPr>
        <w:spacing w:after="0" w:line="2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Rules 457(b) and 0-11(a)(2)</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-109220</wp:posOffset>
            </wp:positionV>
            <wp:extent cx="7113270" cy="1295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7113270" cy="129540"/>
                    </a:xfrm>
                    <a:prstGeom prst="rect">
                      <a:avLst/>
                    </a:prstGeom>
                    <a:noFill/>
                  </pic:spPr>
                </pic:pic>
              </a:graphicData>
            </a:graphic>
          </wp:anchor>
        </w:drawing>
      </w:r>
    </w:p>
    <w:p>
      <w:pPr>
        <w:sectPr>
          <w:pgSz w:w="11900" w:h="16869" w:orient="portrait"/>
          <w:cols w:equalWidth="0" w:num="1">
            <w:col w:w="11360"/>
          </w:cols>
          <w:pgMar w:left="300" w:top="141" w:right="239" w:bottom="0" w:gutter="0" w:footer="0" w:header="0"/>
        </w:sectPr>
      </w:pPr>
    </w:p>
    <w:bookmarkStart w:id="158" w:name="page159"/>
    <w:bookmarkEnd w:id="158"/>
    <w:tbl>
      <w:tblPr>
        <w:tblLayout w:type="fixed"/>
        <w:tblInd w:w="40" w:type="dxa"/>
        <w:tblCellMar>
          <w:top w:w="0" w:type="dxa"/>
          <w:left w:w="0" w:type="dxa"/>
          <w:bottom w:w="0" w:type="dxa"/>
          <w:right w:w="0" w:type="dxa"/>
        </w:tblCellMar>
      </w:tblPr>
      <w:tr>
        <w:trPr>
          <w:trHeight w:val="195"/>
        </w:trPr>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40" w:type="dxa"/>
            <w:vAlign w:val="bottom"/>
            <w:shd w:val="clear" w:color="auto" w:fill="E7E7E2"/>
          </w:tcPr>
          <w:p>
            <w:pPr>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8"/>
                <w:szCs w:val="18"/>
                <w:color w:val="auto"/>
              </w:rPr>
            </w:pPr>
          </w:p>
        </w:tc>
        <w:tc>
          <w:tcPr>
            <w:tcW w:w="4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gridSpan w:val="5"/>
          </w:tcPr>
          <w:p>
            <w:pPr>
              <w:ind w:left="340"/>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20"/>
                <w:szCs w:val="20"/>
                <w:color w:val="auto"/>
              </w:rPr>
            </w:pPr>
            <w:r>
              <w:rPr>
                <w:rFonts w:ascii="Arial" w:cs="Arial" w:eastAsia="Arial" w:hAnsi="Arial"/>
                <w:sz w:val="16"/>
                <w:szCs w:val="16"/>
                <w:color w:val="auto"/>
              </w:rPr>
              <w:t>Ordinary</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460" w:type="dxa"/>
            <w:vAlign w:val="bottom"/>
            <w:vMerge w:val="restart"/>
            <w:shd w:val="clear" w:color="auto" w:fill="E7E7E2"/>
          </w:tcPr>
          <w:p>
            <w:pPr>
              <w:jc w:val="right"/>
              <w:ind w:right="98"/>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12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Zura Bio Ltd</w:t>
            </w:r>
          </w:p>
        </w:tc>
        <w:tc>
          <w:tcPr>
            <w:tcW w:w="20" w:type="dxa"/>
            <w:vAlign w:val="bottom"/>
          </w:tcPr>
          <w:p>
            <w:pPr>
              <w:spacing w:after="0"/>
              <w:rPr>
                <w:sz w:val="16"/>
                <w:szCs w:val="16"/>
                <w:color w:val="auto"/>
              </w:rPr>
            </w:pPr>
          </w:p>
        </w:tc>
        <w:tc>
          <w:tcPr>
            <w:tcW w:w="560" w:type="dxa"/>
            <w:vAlign w:val="bottom"/>
            <w:vMerge w:val="restart"/>
            <w:shd w:val="clear" w:color="auto" w:fill="E7E7E2"/>
          </w:tcPr>
          <w:p>
            <w:pPr>
              <w:ind w:left="16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16"/>
                <w:szCs w:val="16"/>
                <w:color w:val="auto"/>
              </w:rPr>
            </w:pPr>
          </w:p>
        </w:tc>
        <w:tc>
          <w:tcPr>
            <w:tcW w:w="700" w:type="dxa"/>
            <w:vAlign w:val="bottom"/>
            <w:shd w:val="clear" w:color="auto" w:fill="E7E7E2"/>
          </w:tcPr>
          <w:p>
            <w:pPr>
              <w:jc w:val="right"/>
              <w:ind w:right="98"/>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6"/>
                <w:szCs w:val="16"/>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09/03/2024</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20"/>
                <w:szCs w:val="20"/>
                <w:color w:val="auto"/>
              </w:rPr>
            </w:pPr>
            <w:r>
              <w:rPr>
                <w:rFonts w:ascii="Arial" w:cs="Arial" w:eastAsia="Arial" w:hAnsi="Arial"/>
                <w:sz w:val="16"/>
                <w:szCs w:val="16"/>
                <w:color w:val="auto"/>
              </w:rPr>
              <w:t>Shares,</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6"/>
                <w:szCs w:val="16"/>
                <w:color w:val="auto"/>
              </w:rPr>
            </w:pPr>
          </w:p>
        </w:tc>
        <w:tc>
          <w:tcPr>
            <w:tcW w:w="4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jc w:val="right"/>
              <w:spacing w:after="0"/>
              <w:rPr>
                <w:sz w:val="20"/>
                <w:szCs w:val="20"/>
                <w:color w:val="auto"/>
              </w:rPr>
            </w:pPr>
            <w:r>
              <w:rPr>
                <w:rFonts w:ascii="Arial" w:cs="Arial" w:eastAsia="Arial" w:hAnsi="Arial"/>
                <w:sz w:val="16"/>
                <w:szCs w:val="16"/>
                <w:color w:val="auto"/>
              </w:rPr>
              <w:t>281905</w:t>
            </w:r>
          </w:p>
        </w:tc>
        <w:tc>
          <w:tcPr>
            <w:tcW w:w="20" w:type="dxa"/>
            <w:vAlign w:val="bottom"/>
          </w:tcPr>
          <w:p>
            <w:pPr>
              <w:spacing w:after="0"/>
              <w:rPr>
                <w:sz w:val="16"/>
                <w:szCs w:val="16"/>
                <w:color w:val="auto"/>
              </w:rPr>
            </w:pPr>
          </w:p>
        </w:tc>
        <w:tc>
          <w:tcPr>
            <w:tcW w:w="8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jc w:val="right"/>
              <w:spacing w:after="0"/>
              <w:rPr>
                <w:sz w:val="20"/>
                <w:szCs w:val="20"/>
                <w:color w:val="auto"/>
              </w:rPr>
            </w:pPr>
            <w:r>
              <w:rPr>
                <w:rFonts w:ascii="Arial" w:cs="Arial" w:eastAsia="Arial" w:hAnsi="Arial"/>
                <w:sz w:val="16"/>
                <w:szCs w:val="16"/>
                <w:color w:val="auto"/>
              </w:rPr>
              <w:t>21,446.54</w:t>
            </w:r>
          </w:p>
        </w:tc>
        <w:tc>
          <w:tcPr>
            <w:tcW w:w="2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20"/>
                <w:szCs w:val="20"/>
                <w:color w:val="auto"/>
              </w:rPr>
            </w:pPr>
            <w:r>
              <w:rPr>
                <w:rFonts w:ascii="Arial" w:cs="Arial" w:eastAsia="Arial" w:hAnsi="Arial"/>
                <w:sz w:val="16"/>
                <w:szCs w:val="16"/>
                <w:color w:val="auto"/>
              </w:rPr>
              <w:t>$0.0001 par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rPr>
                <w:sz w:val="20"/>
                <w:szCs w:val="20"/>
                <w:color w:val="auto"/>
              </w:rPr>
            </w:pPr>
            <w:r>
              <w:rPr>
                <w:rFonts w:ascii="Arial" w:cs="Arial" w:eastAsia="Arial" w:hAnsi="Arial"/>
                <w:sz w:val="16"/>
                <w:szCs w:val="16"/>
                <w:color w:val="auto"/>
              </w:rPr>
              <w:t>145,301,800.00</w:t>
            </w:r>
          </w:p>
        </w:tc>
        <w:tc>
          <w:tcPr>
            <w:tcW w:w="0" w:type="dxa"/>
            <w:vAlign w:val="bottom"/>
          </w:tcPr>
          <w:p>
            <w:pPr>
              <w:spacing w:after="0"/>
              <w:rPr>
                <w:sz w:val="1"/>
                <w:szCs w:val="1"/>
                <w:color w:val="auto"/>
              </w:rPr>
            </w:pPr>
          </w:p>
        </w:tc>
      </w:tr>
      <w:tr>
        <w:trPr>
          <w:trHeight w:val="185"/>
        </w:trPr>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20"/>
                <w:szCs w:val="20"/>
                <w:color w:val="auto"/>
              </w:rPr>
            </w:pPr>
            <w:r>
              <w:rPr>
                <w:rFonts w:ascii="Arial" w:cs="Arial" w:eastAsia="Arial" w:hAnsi="Arial"/>
                <w:sz w:val="16"/>
                <w:szCs w:val="16"/>
                <w:color w:val="auto"/>
              </w:rPr>
              <w:t>value per</w:t>
            </w: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88900</wp:posOffset>
            </wp:positionV>
            <wp:extent cx="7171055" cy="15417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7171055" cy="154178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84"/>
        </w:trPr>
        <w:tc>
          <w:tcPr>
            <w:tcW w:w="840" w:type="dxa"/>
            <w:vAlign w:val="bottom"/>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460" w:type="dxa"/>
            <w:vAlign w:val="bottom"/>
            <w:vMerge w:val="restart"/>
            <w:shd w:val="clear" w:color="auto" w:fill="E7E7E2"/>
          </w:tcPr>
          <w:p>
            <w:pPr>
              <w:jc w:val="right"/>
              <w:ind w:right="98"/>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c>
          <w:tcPr>
            <w:tcW w:w="12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Zura Bio Ltd</w:t>
            </w:r>
          </w:p>
        </w:tc>
        <w:tc>
          <w:tcPr>
            <w:tcW w:w="20" w:type="dxa"/>
            <w:vAlign w:val="bottom"/>
          </w:tcPr>
          <w:p>
            <w:pPr>
              <w:spacing w:after="0"/>
              <w:rPr>
                <w:sz w:val="16"/>
                <w:szCs w:val="16"/>
                <w:color w:val="auto"/>
              </w:rPr>
            </w:pPr>
          </w:p>
        </w:tc>
        <w:tc>
          <w:tcPr>
            <w:tcW w:w="560" w:type="dxa"/>
            <w:vAlign w:val="bottom"/>
            <w:vMerge w:val="restart"/>
            <w:shd w:val="clear" w:color="auto" w:fill="E7E7E2"/>
          </w:tcPr>
          <w:p>
            <w:pPr>
              <w:ind w:left="160"/>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16"/>
                <w:szCs w:val="16"/>
                <w:color w:val="auto"/>
              </w:rPr>
            </w:pPr>
          </w:p>
        </w:tc>
        <w:tc>
          <w:tcPr>
            <w:tcW w:w="700" w:type="dxa"/>
            <w:vAlign w:val="bottom"/>
            <w:shd w:val="clear" w:color="auto" w:fill="E7E7E2"/>
          </w:tcPr>
          <w:p>
            <w:pPr>
              <w:jc w:val="right"/>
              <w:ind w:right="98"/>
              <w:spacing w:after="0"/>
              <w:rPr>
                <w:sz w:val="20"/>
                <w:szCs w:val="20"/>
                <w:color w:val="auto"/>
              </w:rPr>
            </w:pPr>
            <w:r>
              <w:rPr>
                <w:rFonts w:ascii="Arial" w:cs="Arial" w:eastAsia="Arial" w:hAnsi="Arial"/>
                <w:sz w:val="16"/>
                <w:szCs w:val="16"/>
                <w:color w:val="auto"/>
              </w:rPr>
              <w:t>333-</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09/03/2024</w:t>
            </w: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4"/>
        </w:trPr>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4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281905</w:t>
            </w: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21,446.54</w:t>
            </w:r>
          </w:p>
        </w:tc>
        <w:tc>
          <w:tcPr>
            <w:tcW w:w="0" w:type="dxa"/>
            <w:vAlign w:val="bottom"/>
          </w:tcPr>
          <w:p>
            <w:pPr>
              <w:spacing w:after="0"/>
              <w:rPr>
                <w:sz w:val="1"/>
                <w:szCs w:val="1"/>
                <w:color w:val="auto"/>
              </w:rPr>
            </w:pPr>
          </w:p>
        </w:tc>
      </w:tr>
      <w:tr>
        <w:trPr>
          <w:trHeight w:val="92"/>
        </w:trPr>
        <w:tc>
          <w:tcPr>
            <w:tcW w:w="8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shd w:val="clear" w:color="auto" w:fill="E7E7E2"/>
          </w:tcPr>
          <w:p>
            <w:pPr>
              <w:spacing w:after="0"/>
              <w:rPr>
                <w:sz w:val="7"/>
                <w:szCs w:val="7"/>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Rule 457(p) Statement of Withdrawal, Termination, or Completion: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9" w:lineRule="exact"/>
        <w:rPr>
          <w:sz w:val="20"/>
          <w:szCs w:val="20"/>
          <w:color w:val="auto"/>
        </w:rPr>
      </w:pPr>
    </w:p>
    <w:p>
      <w:pPr>
        <w:ind w:left="200" w:right="80"/>
        <w:spacing w:after="0" w:line="246" w:lineRule="auto"/>
        <w:rPr>
          <w:sz w:val="20"/>
          <w:szCs w:val="20"/>
          <w:color w:val="auto"/>
        </w:rPr>
      </w:pPr>
      <w:r>
        <w:rPr>
          <w:rFonts w:ascii="Arial" w:cs="Arial" w:eastAsia="Arial" w:hAnsi="Arial"/>
          <w:sz w:val="16"/>
          <w:szCs w:val="16"/>
          <w:color w:val="auto"/>
        </w:rPr>
        <w:t>The Registrant previously registered $300,000,000 of an indeterminate amount of securities to be offered from time to time at prices to be determined at the time of each such offering pursuant to a Registration Statement on Form S-3 (File No. 333-281905) filed with the Securities and Exchange Commission (the "SEC"), on September 3, 2024, and declared effective by the SEC on September 17, 2024 (the "Prior Registration Statement"). The Registrant previously paid an aggregate registration fee of $44,280 in connection with the Prior Registration Statement (based on the filing fee rate in effect at the time of the filing of the Prior Registration Statement). As of the date of filing of this Registration Statement, the Registrant has sold an aggregate of $154,698,200 of such securities under the Prior Registration Statement, leaving a balance of $145,301,800 (the "Unsold Securities"), representing $21,446.54 in registration fees attributable to such Unsold Securities under the Prior Registration Statement. Pursuant to Rule 457(p) under the Securities Act, such unutilized filing fees may be applied to the filing fees payable pursuant to this Registration Statement. All offerings under the Prior Registration Statement have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177165</wp:posOffset>
            </wp:positionV>
            <wp:extent cx="715137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Offset Note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0"/>
          <w:szCs w:val="10"/>
          <w:color w:val="auto"/>
        </w:rPr>
        <w:t>2</w:t>
      </w:r>
    </w:p>
    <w:p>
      <w:pPr>
        <w:spacing w:after="0" w:line="59" w:lineRule="exact"/>
        <w:rPr>
          <w:sz w:val="20"/>
          <w:szCs w:val="20"/>
          <w:color w:val="auto"/>
        </w:rPr>
      </w:pPr>
    </w:p>
    <w:p>
      <w:pPr>
        <w:ind w:left="200" w:right="80"/>
        <w:spacing w:after="0" w:line="248" w:lineRule="auto"/>
        <w:rPr>
          <w:sz w:val="20"/>
          <w:szCs w:val="20"/>
          <w:color w:val="auto"/>
        </w:rPr>
      </w:pPr>
      <w:r>
        <w:rPr>
          <w:rFonts w:ascii="Arial" w:cs="Arial" w:eastAsia="Arial" w:hAnsi="Arial"/>
          <w:sz w:val="16"/>
          <w:szCs w:val="16"/>
          <w:color w:val="auto"/>
        </w:rPr>
        <w:t>The Registrant previously registered $300,000,000 of an indeterminate amount of securities to be offered from time to time at prices to be determined at the time of each such offering pursuant to the Prior Registration Statement. The Registrant previously paid an aggregate registration fee of $44,280 in connection with the Prior Registration Statement (based on the filing fee rate in effect at the time of the filing of the Prior Registration Statement). As of the date of filing of this Registration Statement, the Registrant sold an aggregate of $154,698,200 of such securities under the Prior Registration Statement, leaving a balance of $145,301,800, representing $21,446.54 in registration fees attributable to such Unsold Securities under the Prior Registration Statement. Pursuant to Rule 457(p) under the Securities Act, such unutilized filing fees may be applied to the filing fees payable pursuant to this Registration Statement. All offerings under the Prior Registration Statement have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55245</wp:posOffset>
            </wp:positionV>
            <wp:extent cx="715137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3: Combined Prospectuses</w:t>
            </w:r>
          </w:p>
        </w:tc>
        <w:tc>
          <w:tcPr>
            <w:tcW w:w="22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gridSpan w:val="4"/>
          </w:tcPr>
          <w:p>
            <w:pPr>
              <w:ind w:left="74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ind w:left="380"/>
              <w:spacing w:after="0"/>
              <w:rPr>
                <w:sz w:val="20"/>
                <w:szCs w:val="20"/>
                <w:color w:val="auto"/>
              </w:rPr>
            </w:pPr>
            <w:r>
              <w:rPr>
                <w:rFonts w:ascii="Arial" w:cs="Arial" w:eastAsia="Arial" w:hAnsi="Arial"/>
                <w:sz w:val="16"/>
                <w:szCs w:val="16"/>
                <w:b w:val="1"/>
                <w:bCs w:val="1"/>
                <w:color w:val="auto"/>
              </w:rPr>
              <w:t>Amount of</w:t>
            </w:r>
          </w:p>
        </w:tc>
        <w:tc>
          <w:tcPr>
            <w:tcW w:w="20" w:type="dxa"/>
            <w:vAlign w:val="bottom"/>
          </w:tcPr>
          <w:p>
            <w:pPr>
              <w:spacing w:after="0"/>
              <w:rPr>
                <w:sz w:val="16"/>
                <w:szCs w:val="16"/>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400"/>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20"/>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660" w:type="dxa"/>
            <w:vAlign w:val="bottom"/>
            <w:vMerge w:val="restart"/>
            <w:shd w:val="clear" w:color="auto" w:fill="9ADAF6"/>
          </w:tcPr>
          <w:p>
            <w:pPr>
              <w:ind w:left="14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8"/>
                <w:szCs w:val="8"/>
                <w:color w:val="auto"/>
              </w:rPr>
            </w:pPr>
          </w:p>
        </w:tc>
        <w:tc>
          <w:tcPr>
            <w:tcW w:w="11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2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2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E7E7E2"/>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00"/>
      </w:cols>
      <w:pgMar w:left="300" w:top="1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1)"/>
      <w:numFmt w:val="decimal"/>
      <w:start w:val="702"/>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1)"/>
      <w:numFmt w:val="lowerLetter"/>
      <w:start w:val="25"/>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1)"/>
      <w:numFmt w:val="lowerLetter"/>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1)"/>
      <w:numFmt w:val="decimal"/>
      <w:start w:val="702"/>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3">
    <w:nsid w:val="BF72B14"/>
    <w:multiLevelType w:val="hybridMultilevel"/>
    <w:lvl w:ilvl="0">
      <w:lvlJc w:val="left"/>
      <w:lvlText w:val="(%1)"/>
      <w:numFmt w:val="decimal"/>
      <w:start w:val="2"/>
    </w:lvl>
    <w:lvl w:ilvl="1">
      <w:lvlJc w:val="left"/>
      <w:lvlText w:val="(%2)"/>
      <w:numFmt w:val="lowerRoman"/>
      <w:start w:val="1"/>
    </w:lvl>
  </w:abstractNum>
  <w:abstractNum w:abstractNumId="44">
    <w:nsid w:val="11447B73"/>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45">
    <w:nsid w:val="42963E5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6">
    <w:nsid w:val="A0382C5"/>
    <w:multiLevelType w:val="hybridMultilevel"/>
    <w:lvl w:ilvl="0">
      <w:lvlJc w:val="left"/>
      <w:lvlText w:val="(%1)"/>
      <w:numFmt w:val="lowerLetter"/>
      <w:start w:val="8"/>
    </w:lvl>
  </w:abstractNum>
  <w:abstractNum w:abstractNumId="47">
    <w:nsid w:val="8F2B15E"/>
    <w:multiLevelType w:val="hybridMultilevel"/>
    <w:lvl w:ilvl="0">
      <w:lvlJc w:val="left"/>
      <w:lvlText w:val="(%1)"/>
      <w:numFmt w:val="lowerLetter"/>
      <w:start w:val="10"/>
    </w:lvl>
  </w:abstractNum>
  <w:abstractNum w:abstractNumId="48">
    <w:nsid w:val="1A32234B"/>
    <w:multiLevelType w:val="hybridMultilevel"/>
    <w:lvl w:ilvl="0">
      <w:lvlJc w:val="left"/>
      <w:lvlText w:val="%1."/>
      <w:numFmt w:val="decimal"/>
      <w:start w:val="1"/>
    </w:lvl>
  </w:abstractNum>
  <w:abstractNum w:abstractNumId="49">
    <w:nsid w:val="3B0FD379"/>
    <w:multiLevelType w:val="hybridMultilevel"/>
    <w:lvl w:ilvl="0">
      <w:lvlJc w:val="left"/>
      <w:lvlText w:val="%1."/>
      <w:numFmt w:val="decimal"/>
      <w:start w:val="2"/>
    </w:lvl>
  </w:abstractNum>
  <w:abstractNum w:abstractNumId="50">
    <w:nsid w:val="68EB2F63"/>
    <w:multiLevelType w:val="hybridMultilevel"/>
    <w:lvl w:ilvl="0">
      <w:lvlJc w:val="left"/>
      <w:lvlText w:val="%1."/>
      <w:numFmt w:val="decimal"/>
      <w:start w:val="3"/>
    </w:lvl>
  </w:abstractNum>
  <w:abstractNum w:abstractNumId="51">
    <w:nsid w:val="4962813B"/>
    <w:multiLevelType w:val="hybridMultilevel"/>
    <w:lvl w:ilvl="0">
      <w:lvlJc w:val="left"/>
      <w:lvlText w:val="%1."/>
      <w:numFmt w:val="decimal"/>
      <w:start w:val="4"/>
    </w:lvl>
  </w:abstractNum>
  <w:abstractNum w:abstractNumId="52">
    <w:nsid w:val="60B6DF70"/>
    <w:multiLevelType w:val="hybridMultilevel"/>
    <w:lvl w:ilvl="0">
      <w:lvlJc w:val="left"/>
      <w:lvlText w:val="(%1)"/>
      <w:numFmt w:val="lowerRoman"/>
      <w:start w:val="3"/>
    </w:lvl>
  </w:abstractNum>
  <w:abstractNum w:abstractNumId="53">
    <w:nsid w:val="6A5EE64"/>
    <w:multiLevelType w:val="hybridMultilevel"/>
    <w:lvl w:ilvl="0">
      <w:lvlJc w:val="left"/>
      <w:lvlText w:val="(%1)"/>
      <w:numFmt w:val="lowerRoman"/>
      <w:start w:val="3"/>
    </w:lvl>
  </w:abstractNum>
  <w:abstractNum w:abstractNumId="54">
    <w:nsid w:val="14330624"/>
    <w:multiLevelType w:val="hybridMultilevel"/>
    <w:lvl w:ilvl="0">
      <w:lvlJc w:val="left"/>
      <w:lvlText w:val="(%1)"/>
      <w:numFmt w:val="decimal"/>
      <w:start w:val="1"/>
    </w:lvl>
  </w:abstractNum>
  <w:abstractNum w:abstractNumId="55">
    <w:nsid w:val="7FFFCA11"/>
    <w:multiLevelType w:val="hybridMultilevel"/>
    <w:lvl w:ilvl="0">
      <w:lvlJc w:val="left"/>
      <w:lvlText w:val="(%1)"/>
      <w:numFmt w:val="lowerLetter"/>
      <w:start w:val="1"/>
    </w:lvl>
    <w:lvl w:ilvl="1">
      <w:lvlJc w:val="left"/>
      <w:lvlText w:val="(%2)"/>
      <w:numFmt w:val="lowerRoman"/>
      <w:start w:val="1"/>
    </w:lvl>
  </w:abstractNum>
  <w:abstractNum w:abstractNumId="56">
    <w:nsid w:val="1A27709E"/>
    <w:multiLevelType w:val="hybridMultilevel"/>
    <w:lvl w:ilvl="0">
      <w:lvlJc w:val="left"/>
      <w:lvlText w:val="(%1)"/>
      <w:numFmt w:val="lowerRoman"/>
      <w:start w:val="4"/>
    </w:lvl>
  </w:abstractNum>
  <w:abstractNum w:abstractNumId="57">
    <w:nsid w:val="71EA1109"/>
    <w:multiLevelType w:val="hybridMultilevel"/>
    <w:lvl w:ilvl="0">
      <w:lvlJc w:val="left"/>
      <w:lvlText w:val="(%1)"/>
      <w:numFmt w:val="lowerLetter"/>
      <w:start w:val="2"/>
    </w:lvl>
  </w:abstractNum>
  <w:abstractNum w:abstractNumId="58">
    <w:nsid w:val="100F59DC"/>
    <w:multiLevelType w:val="hybridMultilevel"/>
    <w:lvl w:ilvl="0">
      <w:lvlJc w:val="left"/>
      <w:lvlText w:val="1"/>
      <w:numFmt w:val="bullet"/>
      <w:start w:val="1"/>
    </w:lvl>
  </w:abstractNum>
  <w:abstractNum w:abstractNumId="59">
    <w:nsid w:val="7FB7E0AA"/>
    <w:multiLevelType w:val="hybridMultilevel"/>
    <w:lvl w:ilvl="0">
      <w:lvlJc w:val="left"/>
      <w:lvlText w:val="2"/>
      <w:numFmt w:val="bullet"/>
      <w:start w:val="1"/>
    </w:lvl>
  </w:abstractNum>
  <w:abstractNum w:abstractNumId="60">
    <w:nsid w:val="6EB5BD4"/>
    <w:multiLevelType w:val="hybridMultilevel"/>
    <w:lvl w:ilvl="0">
      <w:lvlJc w:val="left"/>
      <w:lvlText w:val="3"/>
      <w:numFmt w:val="bullet"/>
      <w:start w:val="1"/>
    </w:lvl>
  </w:abstractNum>
  <w:abstractNum w:abstractNumId="61">
    <w:nsid w:val="6F6DD9AC"/>
    <w:multiLevelType w:val="hybridMultilevel"/>
    <w:lvl w:ilvl="0">
      <w:lvlJc w:val="left"/>
      <w:lvlText w:val="(%1)"/>
      <w:numFmt w:val="lowerLetter"/>
      <w:start w:val="1"/>
    </w:lvl>
  </w:abstractNum>
  <w:abstractNum w:abstractNumId="62">
    <w:nsid w:val="94211F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3">
    <w:nsid w:val="885E1B"/>
    <w:multiLevelType w:val="hybridMultilevel"/>
    <w:lvl w:ilvl="0">
      <w:lvlJc w:val="left"/>
      <w:lvlText w:val="(%1)"/>
      <w:numFmt w:val="lowerLetter"/>
      <w:start w:val="3"/>
    </w:lvl>
    <w:lvl w:ilvl="1">
      <w:lvlJc w:val="left"/>
      <w:lvlText w:val="(%2)"/>
      <w:numFmt w:val="lowerRoman"/>
      <w:start w:val="1"/>
    </w:lvl>
  </w:abstractNum>
  <w:abstractNum w:abstractNumId="64">
    <w:nsid w:val="76272110"/>
    <w:multiLevelType w:val="hybridMultilevel"/>
    <w:lvl w:ilvl="0">
      <w:lvlJc w:val="left"/>
      <w:lvlText w:val="4"/>
      <w:numFmt w:val="bullet"/>
      <w:start w:val="1"/>
    </w:lvl>
    <w:lvl w:ilvl="1">
      <w:lvlJc w:val="left"/>
      <w:lvlText w:val="(%2)"/>
      <w:numFmt w:val="lowerLetter"/>
      <w:start w:val="1"/>
    </w:lvl>
  </w:abstractNum>
  <w:abstractNum w:abstractNumId="65">
    <w:nsid w:val="4C04A8AF"/>
    <w:multiLevelType w:val="hybridMultilevel"/>
    <w:lvl w:ilvl="0">
      <w:lvlJc w:val="left"/>
      <w:lvlText w:val="5"/>
      <w:numFmt w:val="bullet"/>
      <w:start w:val="1"/>
    </w:lvl>
  </w:abstractNum>
  <w:abstractNum w:abstractNumId="66">
    <w:nsid w:val="1716703B"/>
    <w:multiLevelType w:val="hybridMultilevel"/>
    <w:lvl w:ilvl="0">
      <w:lvlJc w:val="left"/>
      <w:lvlText w:val="(%1)"/>
      <w:numFmt w:val="lowerLetter"/>
      <w:start w:val="1"/>
    </w:lvl>
  </w:abstractNum>
  <w:abstractNum w:abstractNumId="67">
    <w:nsid w:val="14E17E33"/>
    <w:multiLevelType w:val="hybridMultilevel"/>
    <w:lvl w:ilvl="0">
      <w:lvlJc w:val="left"/>
      <w:lvlText w:val="(%1)"/>
      <w:numFmt w:val="lowerLetter"/>
      <w:start w:val="3"/>
    </w:lvl>
  </w:abstractNum>
  <w:abstractNum w:abstractNumId="68">
    <w:nsid w:val="3222E7CD"/>
    <w:multiLevelType w:val="hybridMultilevel"/>
    <w:lvl w:ilvl="0">
      <w:lvlJc w:val="left"/>
      <w:lvlText w:val="6"/>
      <w:numFmt w:val="bullet"/>
      <w:start w:val="1"/>
    </w:lvl>
  </w:abstractNum>
  <w:abstractNum w:abstractNumId="69">
    <w:nsid w:val="74DE0EE3"/>
    <w:multiLevelType w:val="hybridMultilevel"/>
    <w:lvl w:ilvl="0">
      <w:lvlJc w:val="left"/>
      <w:lvlText w:val="1"/>
      <w:numFmt w:val="bullet"/>
      <w:start w:val="1"/>
    </w:lvl>
  </w:abstractNum>
  <w:abstractNum w:abstractNumId="70">
    <w:nsid w:val="68EBC550"/>
    <w:multiLevelType w:val="hybridMultilevel"/>
    <w:lvl w:ilvl="0">
      <w:lvlJc w:val="left"/>
      <w:lvlText w:val="2"/>
      <w:numFmt w:val="bullet"/>
      <w:start w:val="1"/>
    </w:lvl>
  </w:abstractNum>
  <w:abstractNum w:abstractNumId="71">
    <w:nsid w:val="2DF6D648"/>
    <w:multiLevelType w:val="hybridMultilevel"/>
    <w:lvl w:ilvl="0">
      <w:lvlJc w:val="left"/>
      <w:lvlText w:val="3"/>
      <w:numFmt w:val="bullet"/>
      <w:start w:val="1"/>
    </w:lvl>
  </w:abstractNum>
  <w:abstractNum w:abstractNumId="72">
    <w:nsid w:val="46B7D447"/>
    <w:multiLevelType w:val="hybridMultilevel"/>
    <w:lvl w:ilvl="0">
      <w:lvlJc w:val="left"/>
      <w:lvlText w:val="4"/>
      <w:numFmt w:val="bullet"/>
      <w:start w:val="1"/>
    </w:lvl>
  </w:abstractNum>
  <w:abstractNum w:abstractNumId="73">
    <w:nsid w:val="4A2AC315"/>
    <w:multiLevelType w:val="hybridMultilevel"/>
    <w:lvl w:ilvl="0">
      <w:lvlJc w:val="left"/>
      <w:lvlText w:val="5"/>
      <w:numFmt w:val="bullet"/>
      <w:start w:val="1"/>
    </w:lvl>
  </w:abstractNum>
  <w:abstractNum w:abstractNumId="74">
    <w:nsid w:val="39EE015C"/>
    <w:multiLevelType w:val="hybridMultilevel"/>
    <w:lvl w:ilvl="0">
      <w:lvlJc w:val="left"/>
      <w:lvlText w:val="8"/>
      <w:numFmt w:val="bullet"/>
      <w:start w:val="1"/>
    </w:lvl>
  </w:abstractNum>
  <w:abstractNum w:abstractNumId="75">
    <w:nsid w:val="57FC4FBB"/>
    <w:multiLevelType w:val="hybridMultilevel"/>
    <w:lvl w:ilvl="0">
      <w:lvlJc w:val="left"/>
      <w:lvlText w:val="1"/>
      <w:numFmt w:val="bullet"/>
      <w:start w:val="1"/>
    </w:lvl>
  </w:abstractNum>
  <w:abstractNum w:abstractNumId="76">
    <w:nsid w:val="CC1016F"/>
    <w:multiLevelType w:val="hybridMultilevel"/>
    <w:lvl w:ilvl="0">
      <w:lvlJc w:val="left"/>
      <w:lvlText w:val="2"/>
      <w:numFmt w:val="bullet"/>
      <w:start w:val="1"/>
    </w:lvl>
  </w:abstractNum>
  <w:abstractNum w:abstractNumId="77">
    <w:nsid w:val="43F18422"/>
    <w:multiLevelType w:val="hybridMultilevel"/>
    <w:lvl w:ilvl="0">
      <w:lvlJc w:val="left"/>
      <w:lvlText w:val="4"/>
      <w:numFmt w:val="bullet"/>
      <w:start w:val="1"/>
    </w:lvl>
  </w:abstractNum>
  <w:abstractNum w:abstractNumId="78">
    <w:nsid w:val="60EF0119"/>
    <w:multiLevelType w:val="hybridMultilevel"/>
    <w:lvl w:ilvl="0">
      <w:lvlJc w:val="left"/>
      <w:lvlText w:val="5"/>
      <w:numFmt w:val="bullet"/>
      <w:start w:val="1"/>
    </w:lvl>
  </w:abstractNum>
  <w:abstractNum w:abstractNumId="79">
    <w:nsid w:val="26F324BA"/>
    <w:multiLevelType w:val="hybridMultilevel"/>
    <w:lvl w:ilvl="0">
      <w:lvlJc w:val="left"/>
      <w:lvlText w:val="6"/>
      <w:numFmt w:val="bullet"/>
      <w:start w:val="1"/>
    </w:lvl>
  </w:abstractNum>
  <w:abstractNum w:abstractNumId="80">
    <w:nsid w:val="7F01579B"/>
    <w:multiLevelType w:val="hybridMultilevel"/>
    <w:lvl w:ilvl="0">
      <w:lvlJc w:val="left"/>
      <w:lvlText w:val="7"/>
      <w:numFmt w:val="bullet"/>
      <w:start w:val="1"/>
    </w:lvl>
  </w:abstractNum>
  <w:abstractNum w:abstractNumId="81">
    <w:nsid w:val="49DA307D"/>
    <w:multiLevelType w:val="hybridMultilevel"/>
    <w:lvl w:ilvl="0">
      <w:lvlJc w:val="left"/>
      <w:lvlText w:val="8"/>
      <w:numFmt w:val="bullet"/>
      <w:start w:val="1"/>
    </w:lvl>
  </w:abstractNum>
  <w:abstractNum w:abstractNumId="82">
    <w:nsid w:val="7055A5F5"/>
    <w:multiLevelType w:val="hybridMultilevel"/>
    <w:lvl w:ilvl="0">
      <w:lvlJc w:val="left"/>
      <w:lvlText w:val="9"/>
      <w:numFmt w:val="bullet"/>
      <w:start w:val="1"/>
    </w:lvl>
  </w:abstractNum>
  <w:abstractNum w:abstractNumId="83">
    <w:nsid w:val="5FB8370B"/>
    <w:multiLevelType w:val="hybridMultilevel"/>
    <w:lvl w:ilvl="0">
      <w:lvlJc w:val="left"/>
      <w:lvlText w:val="%1"/>
      <w:numFmt w:val="decimal"/>
      <w:start w:val="11"/>
    </w:lvl>
  </w:abstractNum>
  <w:abstractNum w:abstractNumId="84">
    <w:nsid w:val="50801EE1"/>
    <w:multiLevelType w:val="hybridMultilevel"/>
    <w:lvl w:ilvl="0">
      <w:lvlJc w:val="left"/>
      <w:lvlText w:val="%1"/>
      <w:numFmt w:val="decimal"/>
      <w:start w:val="12"/>
    </w:lvl>
  </w:abstractNum>
  <w:abstractNum w:abstractNumId="85">
    <w:nsid w:val="488AC1A"/>
    <w:multiLevelType w:val="hybridMultilevel"/>
    <w:lvl w:ilvl="0">
      <w:lvlJc w:val="left"/>
      <w:lvlText w:val="%1"/>
      <w:numFmt w:val="decimal"/>
      <w:start w:val="18"/>
    </w:lvl>
    <w:lvl w:ilvl="1">
      <w:lvlJc w:val="left"/>
      <w:lvlText w:val="(%2)"/>
      <w:numFmt w:val="lowerLetter"/>
      <w:start w:val="1"/>
    </w:lvl>
  </w:abstractNum>
  <w:abstractNum w:abstractNumId="86">
    <w:nsid w:val="5FB8011C"/>
    <w:multiLevelType w:val="hybridMultilevel"/>
    <w:lvl w:ilvl="0">
      <w:lvlJc w:val="left"/>
      <w:lvlText w:val="(%1)"/>
      <w:numFmt w:val="lowerLetter"/>
      <w:start w:val="2"/>
    </w:lvl>
  </w:abstractNum>
  <w:abstractNum w:abstractNumId="87">
    <w:nsid w:val="6AA78F7F"/>
    <w:multiLevelType w:val="hybridMultilevel"/>
    <w:lvl w:ilvl="0">
      <w:lvlJc w:val="left"/>
      <w:lvlText w:val="%1"/>
      <w:numFmt w:val="decimal"/>
      <w:start w:val="21"/>
    </w:lvl>
  </w:abstractNum>
  <w:abstractNum w:abstractNumId="88">
    <w:nsid w:val="7672BD23"/>
    <w:multiLevelType w:val="hybridMultilevel"/>
    <w:lvl w:ilvl="0">
      <w:lvlJc w:val="left"/>
      <w:lvlText w:val="%1"/>
      <w:numFmt w:val="decimal"/>
      <w:start w:val="24"/>
    </w:lvl>
    <w:lvl w:ilvl="1">
      <w:lvlJc w:val="left"/>
      <w:lvlText w:val="(%2)"/>
      <w:numFmt w:val="lowerLetter"/>
      <w:start w:val="1"/>
    </w:lvl>
  </w:abstractNum>
  <w:abstractNum w:abstractNumId="89">
    <w:nsid w:val="6FC75AF8"/>
    <w:multiLevelType w:val="hybridMultilevel"/>
    <w:lvl w:ilvl="0">
      <w:lvlJc w:val="left"/>
      <w:lvlText w:val="(%1)"/>
      <w:numFmt w:val="lowerLetter"/>
      <w:start w:val="3"/>
    </w:lvl>
  </w:abstractNum>
  <w:abstractNum w:abstractNumId="90">
    <w:nsid w:val="6A5F7029"/>
    <w:multiLevelType w:val="hybridMultilevel"/>
    <w:lvl w:ilvl="0">
      <w:lvlJc w:val="left"/>
      <w:lvlText w:val="%1"/>
      <w:numFmt w:val="decimal"/>
      <w:start w:val="26"/>
    </w:lvl>
  </w:abstractNum>
  <w:abstractNum w:abstractNumId="91">
    <w:nsid w:val="7D5E18F8"/>
    <w:multiLevelType w:val="hybridMultilevel"/>
    <w:lvl w:ilvl="0">
      <w:lvlJc w:val="left"/>
      <w:lvlText w:val="%1"/>
      <w:numFmt w:val="decimal"/>
      <w:start w:val="27"/>
    </w:lvl>
  </w:abstractNum>
  <w:abstractNum w:abstractNumId="92">
    <w:nsid w:val="5F3534A4"/>
    <w:multiLevelType w:val="hybridMultilevel"/>
    <w:lvl w:ilvl="0">
      <w:lvlJc w:val="left"/>
      <w:lvlText w:val="%1"/>
      <w:numFmt w:val="decimal"/>
      <w:start w:val="33"/>
    </w:lvl>
  </w:abstractNum>
  <w:abstractNum w:abstractNumId="93">
    <w:nsid w:val="73A1821B"/>
    <w:multiLevelType w:val="hybridMultilevel"/>
    <w:lvl w:ilvl="0">
      <w:lvlJc w:val="left"/>
      <w:lvlText w:val="%1"/>
      <w:numFmt w:val="decimal"/>
      <w:start w:val="34"/>
    </w:lvl>
  </w:abstractNum>
  <w:abstractNum w:abstractNumId="94">
    <w:nsid w:val="7DE67713"/>
    <w:multiLevelType w:val="hybridMultilevel"/>
    <w:lvl w:ilvl="0">
      <w:lvlJc w:val="left"/>
      <w:lvlText w:val="1"/>
      <w:numFmt w:val="bullet"/>
      <w:start w:val="1"/>
    </w:lvl>
  </w:abstractNum>
  <w:abstractNum w:abstractNumId="95">
    <w:nsid w:val="555C55B5"/>
    <w:multiLevelType w:val="hybridMultilevel"/>
    <w:lvl w:ilvl="0">
      <w:lvlJc w:val="left"/>
      <w:lvlText w:val="2"/>
      <w:numFmt w:val="bullet"/>
      <w:start w:val="1"/>
    </w:lvl>
  </w:abstractNum>
  <w:abstractNum w:abstractNumId="96">
    <w:nsid w:val="3FA62ACA"/>
    <w:multiLevelType w:val="hybridMultilevel"/>
    <w:lvl w:ilvl="0">
      <w:lvlJc w:val="left"/>
      <w:lvlText w:val="3"/>
      <w:numFmt w:val="bullet"/>
      <w:start w:val="1"/>
    </w:lvl>
  </w:abstractNum>
  <w:abstractNum w:abstractNumId="97">
    <w:nsid w:val="14FCE74E"/>
    <w:multiLevelType w:val="hybridMultilevel"/>
    <w:lvl w:ilvl="0">
      <w:lvlJc w:val="left"/>
      <w:lvlText w:val="4"/>
      <w:numFmt w:val="bullet"/>
      <w:start w:val="1"/>
    </w:lvl>
  </w:abstractNum>
  <w:abstractNum w:abstractNumId="98">
    <w:nsid w:val="6A3DD3E8"/>
    <w:multiLevelType w:val="hybridMultilevel"/>
    <w:lvl w:ilvl="0">
      <w:lvlJc w:val="left"/>
      <w:lvlText w:val="5"/>
      <w:numFmt w:val="bullet"/>
      <w:start w:val="1"/>
    </w:lvl>
    <w:lvl w:ilvl="1">
      <w:lvlJc w:val="left"/>
      <w:lvlText w:val="(%2)"/>
      <w:numFmt w:val="lowerLetter"/>
      <w:start w:val="1"/>
    </w:lvl>
  </w:abstractNum>
  <w:abstractNum w:abstractNumId="99">
    <w:nsid w:val="71C91298"/>
    <w:multiLevelType w:val="hybridMultilevel"/>
    <w:lvl w:ilvl="0">
      <w:lvlJc w:val="left"/>
      <w:lvlText w:val="(%1)"/>
      <w:numFmt w:val="lowerLetter"/>
      <w:start w:val="2"/>
    </w:lvl>
  </w:abstractNum>
  <w:abstractNum w:abstractNumId="100">
    <w:nsid w:val="9DAF632"/>
    <w:multiLevelType w:val="hybridMultilevel"/>
    <w:lvl w:ilvl="0">
      <w:lvlJc w:val="left"/>
      <w:lvlText w:val="6"/>
      <w:numFmt w:val="bullet"/>
      <w:start w:val="1"/>
    </w:lvl>
    <w:lvl w:ilvl="1">
      <w:lvlJc w:val="left"/>
      <w:lvlText w:val="(%2)"/>
      <w:numFmt w:val="lowerLetter"/>
      <w:start w:val="1"/>
    </w:lvl>
  </w:abstractNum>
  <w:abstractNum w:abstractNumId="101">
    <w:nsid w:val="53299938"/>
    <w:multiLevelType w:val="hybridMultilevel"/>
    <w:lvl w:ilvl="0">
      <w:lvlJc w:val="left"/>
      <w:lvlText w:val="(%1)"/>
      <w:numFmt w:val="lowerLetter"/>
      <w:start w:val="9"/>
    </w:lvl>
  </w:abstractNum>
  <w:abstractNum w:abstractNumId="102">
    <w:nsid w:val="1FBFE8E0"/>
    <w:multiLevelType w:val="hybridMultilevel"/>
    <w:lvl w:ilvl="0">
      <w:lvlJc w:val="left"/>
      <w:lvlText w:val="7"/>
      <w:numFmt w:val="bullet"/>
      <w:start w:val="1"/>
    </w:lvl>
    <w:lvl w:ilvl="1">
      <w:lvlJc w:val="left"/>
      <w:lvlText w:val="(%2)"/>
      <w:numFmt w:val="lowerLetter"/>
      <w:start w:val="1"/>
    </w:lvl>
  </w:abstractNum>
  <w:abstractNum w:abstractNumId="103">
    <w:nsid w:val="5092CA79"/>
    <w:multiLevelType w:val="hybridMultilevel"/>
    <w:lvl w:ilvl="0">
      <w:lvlJc w:val="left"/>
      <w:lvlText w:val="8"/>
      <w:numFmt w:val="bullet"/>
      <w:start w:val="1"/>
    </w:lvl>
  </w:abstractNum>
  <w:abstractNum w:abstractNumId="104">
    <w:nsid w:val="1D545C4D"/>
    <w:multiLevelType w:val="hybridMultilevel"/>
    <w:lvl w:ilvl="0">
      <w:lvlJc w:val="left"/>
      <w:lvlText w:val="9"/>
      <w:numFmt w:val="bullet"/>
      <w:start w:val="1"/>
    </w:lvl>
  </w:abstractNum>
  <w:abstractNum w:abstractNumId="105">
    <w:nsid w:val="59ADEA3D"/>
    <w:multiLevelType w:val="hybridMultilevel"/>
    <w:lvl w:ilvl="0">
      <w:lvlJc w:val="left"/>
      <w:lvlText w:val="%1"/>
      <w:numFmt w:val="decimal"/>
      <w:start w:val="10"/>
    </w:lvl>
  </w:abstractNum>
  <w:abstractNum w:abstractNumId="106">
    <w:nsid w:val="288F1A34"/>
    <w:multiLevelType w:val="hybridMultilevel"/>
    <w:lvl w:ilvl="0">
      <w:lvlJc w:val="left"/>
      <w:lvlText w:val="·"/>
      <w:numFmt w:val="bullet"/>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jpe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jpe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46" Type="http://schemas.openxmlformats.org/officeDocument/2006/relationships/hyperlink" Target="https://www.sec.gov/ix?doc=/Archives/edgar/data/1855644/000110465926032080/zura-20251231x10k.htm" TargetMode="External"/><Relationship Id="rId49" Type="http://schemas.openxmlformats.org/officeDocument/2006/relationships/hyperlink" Target="https://www.sec.gov/ix?doc=/Archives/edgar/data/1855644/000162828026031696/zura-20260331.htm" TargetMode="External"/><Relationship Id="rId50" Type="http://schemas.openxmlformats.org/officeDocument/2006/relationships/hyperlink" Target="https://www.sec.gov/ix?doc=/Archives/edgar/data/1855644/000185564426000006/zura-20260630.htm" TargetMode="External"/><Relationship Id="rId51" Type="http://schemas.openxmlformats.org/officeDocument/2006/relationships/hyperlink" Target="https://www.sec.gov/ix?doc=/Archives/edgar/data/1855644/000110465926075826/tm2618327d1_8k.htm" TargetMode="External"/><Relationship Id="rId52" Type="http://schemas.openxmlformats.org/officeDocument/2006/relationships/hyperlink" Target="https://www.sec.gov/ix?doc=/Archives/edgar/data/1855644/000110465926052942/tm261622-1_def14a.htm" TargetMode="External"/><Relationship Id="rId53" Type="http://schemas.openxmlformats.org/officeDocument/2006/relationships/hyperlink" Target="https://www.sec.gov/Archives/edgar/data/1855644/000110465921091567/tm2122080d1_8a12b.htm" TargetMode="External"/><Relationship Id="rId54" Type="http://schemas.openxmlformats.org/officeDocument/2006/relationships/hyperlink" Target="https://www.sec.gov/Archives/edgar/data/1855644/000141057824000329/zura-20231231xex4d2.htm" TargetMode="External"/><Relationship Id="rId104" Type="http://schemas.openxmlformats.org/officeDocument/2006/relationships/hyperlink" Target="https://www.sec.gov/Archives/edgar/data/1855644/000110465924096413/tm2422475d1_ex1-2.htm" TargetMode="External"/><Relationship Id="rId105" Type="http://schemas.openxmlformats.org/officeDocument/2006/relationships/hyperlink" Target="https://www.sec.gov/Archives/edgar/data/1855644/000110465922072223/tm2218710d1_ex2-1.htm" TargetMode="External"/><Relationship Id="rId106" Type="http://schemas.openxmlformats.org/officeDocument/2006/relationships/hyperlink" Target="https://www.sec.gov/Archives/edgar/data/1855644/000110465922111238/tm2218919d12_ex2-2.htm" TargetMode="External"/><Relationship Id="rId107" Type="http://schemas.openxmlformats.org/officeDocument/2006/relationships/hyperlink" Target="https://www.sec.gov/Archives/edgar/data/1855644/000110465922119158/tm2230640d1_ex2-2.htm" TargetMode="External"/><Relationship Id="rId108" Type="http://schemas.openxmlformats.org/officeDocument/2006/relationships/hyperlink" Target="https://www.sec.gov/Archives/edgar/data/1855644/000110465923005068/tm233516d1_ex2-1.htm" TargetMode="External"/><Relationship Id="rId109" Type="http://schemas.openxmlformats.org/officeDocument/2006/relationships/hyperlink" Target="https://www.sec.gov/Archives/edgar/data/1855644/000110465923036697/tm2310353d1_ex3-1.htm" TargetMode="External"/><Relationship Id="rId110" Type="http://schemas.openxmlformats.org/officeDocument/2006/relationships/hyperlink" Target="https://www.sec.gov/Archives/edgar/data/1855644/000110465922093035/jatt-20220630xex4d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2026-10-27T16:22:21Z</dcterms:created>
  <dcterms:modified xsi:type="dcterms:W3CDTF">2026-10-27T16:22:21Z</dcterms:modified>
</cp:coreProperties>
</file>