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0"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5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7"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12" w:lineRule="exact"/>
        <w:rPr>
          <w:sz w:val="24"/>
          <w:szCs w:val="24"/>
          <w:color w:val="auto"/>
        </w:rPr>
      </w:pPr>
    </w:p>
    <w:p>
      <w:pPr>
        <w:ind w:left="460"/>
        <w:spacing w:after="0"/>
        <w:tabs>
          <w:tab w:leader="none" w:pos="220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8"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154"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5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2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53"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1489 W. Warm Springs Rd. #110</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98-1725736</w:t>
      </w:r>
    </w:p>
    <w:p>
      <w:pPr>
        <w:spacing w:after="0" w:line="7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250" w:lineRule="exact"/>
        <w:rPr>
          <w:sz w:val="24"/>
          <w:szCs w:val="24"/>
          <w:color w:val="auto"/>
        </w:rPr>
      </w:pPr>
    </w:p>
    <w:p>
      <w:pPr>
        <w:sectPr>
          <w:pgSz w:w="11900" w:h="16838" w:orient="portrait"/>
          <w:cols w:equalWidth="0" w:num="2">
            <w:col w:w="7660" w:space="720"/>
            <w:col w:w="2860"/>
          </w:cols>
          <w:pgMar w:left="320" w:top="229" w:right="339" w:bottom="1440" w:gutter="0" w:footer="0" w:header="0"/>
          <w:type w:val="continuous"/>
        </w:sectPr>
      </w:pPr>
    </w:p>
    <w:tbl>
      <w:tblPr>
        <w:tblLayout w:type="fixed"/>
        <w:tblInd w:w="880" w:type="dxa"/>
        <w:tblCellMar>
          <w:top w:w="0" w:type="dxa"/>
          <w:left w:w="0" w:type="dxa"/>
          <w:bottom w:w="0" w:type="dxa"/>
          <w:right w:w="0" w:type="dxa"/>
        </w:tblCellMar>
      </w:tblPr>
      <w:tr>
        <w:trPr>
          <w:trHeight w:val="216"/>
        </w:trPr>
        <w:tc>
          <w:tcPr>
            <w:tcW w:w="5220" w:type="dxa"/>
            <w:vAlign w:val="bottom"/>
          </w:tcPr>
          <w:p>
            <w:pPr>
              <w:jc w:val="center"/>
              <w:ind w:right="2439"/>
              <w:spacing w:after="0"/>
              <w:rPr>
                <w:sz w:val="20"/>
                <w:szCs w:val="20"/>
                <w:color w:val="auto"/>
              </w:rPr>
            </w:pPr>
            <w:r>
              <w:rPr>
                <w:rFonts w:ascii="Times New Roman" w:cs="Times New Roman" w:eastAsia="Times New Roman" w:hAnsi="Times New Roman"/>
                <w:sz w:val="16"/>
                <w:szCs w:val="16"/>
                <w:b w:val="1"/>
                <w:bCs w:val="1"/>
                <w:color w:val="auto"/>
              </w:rPr>
              <w:t>Henderson, NV</w:t>
            </w:r>
          </w:p>
        </w:tc>
        <w:tc>
          <w:tcPr>
            <w:tcW w:w="3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89014</w:t>
            </w:r>
          </w:p>
        </w:tc>
      </w:tr>
      <w:tr>
        <w:trPr>
          <w:trHeight w:val="243"/>
        </w:trPr>
        <w:tc>
          <w:tcPr>
            <w:tcW w:w="5220" w:type="dxa"/>
            <w:vAlign w:val="bottom"/>
          </w:tcPr>
          <w:p>
            <w:pPr>
              <w:jc w:val="center"/>
              <w:ind w:right="24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280" w:type="dxa"/>
            <w:vAlign w:val="bottom"/>
          </w:tcPr>
          <w:p>
            <w:pPr>
              <w:jc w:val="center"/>
              <w:ind w:left="245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825-9872</w:t>
      </w:r>
    </w:p>
    <w:p>
      <w:pPr>
        <w:spacing w:after="0" w:line="1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309"/>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80" w:type="dxa"/>
            <w:vAlign w:val="bottom"/>
          </w:tcPr>
          <w:p>
            <w:pPr>
              <w:spacing w:after="0"/>
              <w:rPr>
                <w:sz w:val="24"/>
                <w:szCs w:val="24"/>
                <w:color w:val="auto"/>
              </w:rPr>
            </w:pPr>
          </w:p>
        </w:tc>
      </w:tr>
      <w:tr>
        <w:trPr>
          <w:trHeight w:val="204"/>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42"/>
        </w:trPr>
        <w:tc>
          <w:tcPr>
            <w:tcW w:w="47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ZURA</w:t>
            </w:r>
          </w:p>
        </w:tc>
        <w:tc>
          <w:tcPr>
            <w:tcW w:w="44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bl>
    <w:p>
      <w:pPr>
        <w:spacing w:after="0" w:line="59" w:lineRule="exact"/>
        <w:rPr>
          <w:sz w:val="24"/>
          <w:szCs w:val="24"/>
          <w:color w:val="auto"/>
        </w:rPr>
      </w:pPr>
    </w:p>
    <w:p>
      <w:pPr>
        <w:jc w:val="both"/>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8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right="36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4, 2026, the registrant had 94,997,710 Class A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800100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1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40" w:type="dxa"/>
            <w:vAlign w:val="bottom"/>
            <w:gridSpan w:val="5"/>
            <w:vMerge w:val="restart"/>
          </w:tcPr>
          <w:p>
            <w:pPr>
              <w:spacing w:after="0"/>
              <w:rPr>
                <w:sz w:val="15"/>
                <w:szCs w:val="15"/>
                <w:color w:val="auto"/>
              </w:rPr>
            </w:pPr>
          </w:p>
        </w:tc>
        <w:tc>
          <w:tcPr>
            <w:tcW w:w="9160" w:type="dxa"/>
            <w:vAlign w:val="bottom"/>
            <w:gridSpan w:val="18"/>
            <w:vMerge w:val="continue"/>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600" w:type="dxa"/>
            <w:vAlign w:val="bottom"/>
            <w:gridSpan w:val="2"/>
            <w:vMerge w:val="continue"/>
          </w:tcPr>
          <w:p>
            <w:pPr>
              <w:spacing w:after="0"/>
              <w:rPr>
                <w:sz w:val="18"/>
                <w:szCs w:val="18"/>
                <w:color w:val="auto"/>
              </w:rPr>
            </w:pPr>
          </w:p>
        </w:tc>
        <w:tc>
          <w:tcPr>
            <w:tcW w:w="640" w:type="dxa"/>
            <w:vAlign w:val="bottom"/>
            <w:gridSpan w:val="5"/>
            <w:vMerge w:val="continue"/>
          </w:tcPr>
          <w:p>
            <w:pPr>
              <w:spacing w:after="0"/>
              <w:rPr>
                <w:sz w:val="18"/>
                <w:szCs w:val="18"/>
                <w:color w:val="auto"/>
              </w:rPr>
            </w:pPr>
          </w:p>
        </w:tc>
        <w:tc>
          <w:tcPr>
            <w:tcW w:w="41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2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4"/>
          </w:tcPr>
          <w:p>
            <w:pPr>
              <w:spacing w:after="0"/>
              <w:rPr>
                <w:sz w:val="18"/>
                <w:szCs w:val="18"/>
                <w:color w:val="auto"/>
              </w:rPr>
            </w:pPr>
          </w:p>
        </w:tc>
        <w:tc>
          <w:tcPr>
            <w:tcW w:w="1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66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500" w:type="dxa"/>
            <w:vAlign w:val="bottom"/>
            <w:gridSpan w:val="8"/>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Redeemable Noncontrolling Interest and Shareholders’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00" w:type="dxa"/>
            <w:vAlign w:val="bottom"/>
            <w:gridSpan w:val="4"/>
          </w:tcPr>
          <w:p>
            <w:pPr>
              <w:spacing w:after="0"/>
              <w:rPr>
                <w:sz w:val="18"/>
                <w:szCs w:val="18"/>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4"/>
          </w:tcPr>
          <w:p>
            <w:pPr>
              <w:spacing w:after="0"/>
              <w:rPr>
                <w:sz w:val="18"/>
                <w:szCs w:val="18"/>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0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4"/>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80"/>
        </w:trPr>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8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4"/>
          </w:tcPr>
          <w:p>
            <w:pPr>
              <w:spacing w:after="0"/>
              <w:rPr>
                <w:sz w:val="18"/>
                <w:szCs w:val="18"/>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482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4"/>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4"/>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4"/>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78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of Zura Bio Limited (the “Company” or “Zura”) and its management and are inherently subject to uncertainties and changes in circumstances and their potential effects and speak only as of the date of such statements.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77" w:lineRule="exact"/>
        <w:rPr>
          <w:sz w:val="20"/>
          <w:szCs w:val="20"/>
          <w:color w:val="auto"/>
        </w:rPr>
      </w:pPr>
    </w:p>
    <w:p>
      <w:pPr>
        <w:ind w:left="840" w:hanging="328"/>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 and our beliefs regarding competing product candidates or approved products, may not be achieved;</w:t>
      </w:r>
    </w:p>
    <w:p>
      <w:pPr>
        <w:spacing w:after="0" w:line="175"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and strategy may not be successful;</w:t>
      </w:r>
    </w:p>
    <w:p>
      <w:pPr>
        <w:spacing w:after="0" w:line="211" w:lineRule="exact"/>
        <w:rPr>
          <w:rFonts w:ascii="Times New Roman" w:cs="Times New Roman" w:eastAsia="Times New Roman" w:hAnsi="Times New Roman"/>
          <w:sz w:val="18"/>
          <w:szCs w:val="18"/>
          <w:color w:val="auto"/>
        </w:rPr>
      </w:pPr>
    </w:p>
    <w:p>
      <w:pPr>
        <w:ind w:left="840" w:hanging="328"/>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key events and initiation of our studies and release of clinical data may take longer than anticipated or may not be achieved at all;</w:t>
      </w:r>
    </w:p>
    <w:p>
      <w:pPr>
        <w:spacing w:after="0" w:line="175" w:lineRule="exact"/>
        <w:rPr>
          <w:rFonts w:ascii="Times New Roman" w:cs="Times New Roman" w:eastAsia="Times New Roman" w:hAnsi="Times New Roman"/>
          <w:sz w:val="18"/>
          <w:szCs w:val="18"/>
          <w:color w:val="auto"/>
        </w:rPr>
      </w:pPr>
    </w:p>
    <w:p>
      <w:pPr>
        <w:ind w:left="840" w:right="20" w:hanging="328"/>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general acceptability and maintenance of our product candidates by regulatory authorities, payors, physicians, and patients may not be achieved;</w:t>
      </w:r>
    </w:p>
    <w:p>
      <w:pPr>
        <w:spacing w:after="0" w:line="162"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w:t>
      </w:r>
    </w:p>
    <w:p>
      <w:pPr>
        <w:spacing w:after="0" w:line="225"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future operating expenses, capital requirements and needs for additional financing may not be achieved;</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any clinical trials, and have no products approved for commercial sale;</w:t>
      </w:r>
    </w:p>
    <w:p>
      <w:pPr>
        <w:spacing w:after="0" w:line="211" w:lineRule="exact"/>
        <w:rPr>
          <w:rFonts w:ascii="Times New Roman" w:cs="Times New Roman" w:eastAsia="Times New Roman" w:hAnsi="Times New Roman"/>
          <w:sz w:val="18"/>
          <w:szCs w:val="18"/>
          <w:color w:val="auto"/>
        </w:rPr>
      </w:pPr>
    </w:p>
    <w:p>
      <w:pPr>
        <w:ind w:left="840" w:hanging="328"/>
        <w:spacing w:after="0" w:line="282"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w:t>
      </w:r>
    </w:p>
    <w:p>
      <w:pPr>
        <w:spacing w:after="0" w:line="148" w:lineRule="exact"/>
        <w:rPr>
          <w:rFonts w:ascii="Times New Roman" w:cs="Times New Roman" w:eastAsia="Times New Roman" w:hAnsi="Times New Roman"/>
          <w:sz w:val="18"/>
          <w:szCs w:val="18"/>
          <w:color w:val="auto"/>
        </w:rPr>
      </w:pPr>
    </w:p>
    <w:p>
      <w:pPr>
        <w:jc w:val="both"/>
        <w:ind w:left="840" w:hanging="328"/>
        <w:spacing w:after="0" w:line="258"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96" w:lineRule="exact"/>
        <w:rPr>
          <w:rFonts w:ascii="Times New Roman" w:cs="Times New Roman" w:eastAsia="Times New Roman" w:hAnsi="Times New Roman"/>
          <w:sz w:val="18"/>
          <w:szCs w:val="18"/>
          <w:color w:val="auto"/>
        </w:rPr>
      </w:pPr>
    </w:p>
    <w:p>
      <w:pPr>
        <w:ind w:left="840" w:right="280" w:hanging="328"/>
        <w:spacing w:after="0" w:line="234" w:lineRule="auto"/>
        <w:tabs>
          <w:tab w:leader="none" w:pos="834"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renew existing contracts, enter into new contracts, or may experience disputes or other challenges with respect to our vendors or other third parties;</w:t>
      </w:r>
    </w:p>
    <w:p>
      <w:pPr>
        <w:spacing w:after="0" w:line="226" w:lineRule="exact"/>
        <w:rPr>
          <w:rFonts w:ascii="Arial" w:cs="Arial" w:eastAsia="Arial" w:hAnsi="Arial"/>
          <w:sz w:val="22"/>
          <w:szCs w:val="22"/>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development manufacturing organizations for the manufacture of clinical materials;</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research organizations, clinical trial sites, and other third parties to conduct our preclinical studies and clinical trials;</w:t>
      </w:r>
    </w:p>
    <w:p>
      <w:pPr>
        <w:spacing w:after="0" w:line="211" w:lineRule="exact"/>
        <w:rPr>
          <w:rFonts w:ascii="Times New Roman" w:cs="Times New Roman" w:eastAsia="Times New Roman" w:hAnsi="Times New Roman"/>
          <w:sz w:val="18"/>
          <w:szCs w:val="18"/>
          <w:color w:val="auto"/>
        </w:rPr>
      </w:pPr>
    </w:p>
    <w:p>
      <w:pPr>
        <w:ind w:left="840" w:hanging="328"/>
        <w:spacing w:after="0" w:line="282"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and there may be related restrictions or limitations of any approved products;</w:t>
      </w:r>
    </w:p>
    <w:p>
      <w:pPr>
        <w:spacing w:after="0" w:line="148"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respond to general economic and geopolitical conditions;</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achieve or manage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32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companies worldwide;</w:t>
      </w:r>
    </w:p>
    <w:p>
      <w:pPr>
        <w:spacing w:after="0" w:line="211"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rights; and</w:t>
      </w:r>
    </w:p>
    <w:p>
      <w:pPr>
        <w:spacing w:after="0" w:line="225" w:lineRule="exact"/>
        <w:rPr>
          <w:rFonts w:ascii="Times New Roman" w:cs="Times New Roman" w:eastAsia="Times New Roman" w:hAnsi="Times New Roman"/>
          <w:sz w:val="18"/>
          <w:szCs w:val="18"/>
          <w:color w:val="auto"/>
        </w:rPr>
      </w:pPr>
    </w:p>
    <w:p>
      <w:pPr>
        <w:ind w:left="840" w:hanging="328"/>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Securities and Exchange Commission (the “SEC”).</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2025 (the “2025 Annual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81" w:lineRule="exact"/>
        <w:rPr>
          <w:sz w:val="20"/>
          <w:szCs w:val="20"/>
          <w:color w:val="auto"/>
        </w:rPr>
      </w:pPr>
    </w:p>
    <w:p>
      <w:pPr>
        <w:jc w:val="both"/>
        <w:ind w:left="180"/>
        <w:spacing w:after="0" w:line="244"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109,407</w:t>
            </w:r>
          </w:p>
        </w:tc>
      </w:tr>
      <w:tr>
        <w:trPr>
          <w:trHeight w:val="250"/>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57"/>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228,641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5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77"/>
        </w:trPr>
        <w:tc>
          <w:tcPr>
            <w:tcW w:w="8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7"/>
        </w:trPr>
        <w:tc>
          <w:tcPr>
            <w:tcW w:w="8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8"/>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A Ordinary Shares, $0.0001 par value; 300,000,000 shares authorized as of March 31, 2026 and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81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December 31, 2025; 94,880,710 and 73,680,710 shares issued and outstanding as of March 31, 2026 and</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6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326,078</w:t>
            </w:r>
          </w:p>
        </w:tc>
      </w:tr>
      <w:tr>
        <w:trPr>
          <w:trHeight w:val="25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101,538</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25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r>
      <w:tr>
        <w:trPr>
          <w:trHeight w:val="250"/>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50"/>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112,222,789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92,964,048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11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1140" w:type="dxa"/>
            <w:vAlign w:val="bottom"/>
            <w:vMerge w:val="restart"/>
          </w:tcPr>
          <w:p>
            <w:pPr>
              <w:jc w:val="center"/>
              <w:ind w:left="14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30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110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73,680,710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326,078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(224,547)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101,538</w:t>
            </w:r>
          </w:p>
        </w:tc>
        <w:tc>
          <w:tcPr>
            <w:tcW w:w="0" w:type="dxa"/>
            <w:vAlign w:val="bottom"/>
          </w:tcPr>
          <w:p>
            <w:pPr>
              <w:spacing w:after="0"/>
              <w:rPr>
                <w:sz w:val="1"/>
                <w:szCs w:val="1"/>
                <w:color w:val="auto"/>
              </w:rPr>
            </w:pPr>
          </w:p>
        </w:tc>
      </w:tr>
      <w:tr>
        <w:trPr>
          <w:trHeight w:val="16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in</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connection with the February 2026</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Offering, net of $8.5 million of</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underwriters’ fees and discounts and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costs</w:t>
            </w:r>
          </w:p>
        </w:tc>
        <w:tc>
          <w:tcPr>
            <w:tcW w:w="1140" w:type="dxa"/>
            <w:vAlign w:val="bottom"/>
          </w:tcPr>
          <w:p>
            <w:pPr>
              <w:spacing w:after="0"/>
              <w:rPr>
                <w:sz w:val="16"/>
                <w:szCs w:val="16"/>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123,371</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in</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connection with the February 2026</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Offering, net of $0.7 million of</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underwriters’ fees and discounts and</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 costs</w:t>
            </w: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40" w:type="dxa"/>
            <w:vAlign w:val="bottom"/>
          </w:tcPr>
          <w:p>
            <w:pPr>
              <w:spacing w:after="0"/>
              <w:rPr>
                <w:sz w:val="16"/>
                <w:szCs w:val="16"/>
                <w:color w:val="auto"/>
              </w:rPr>
            </w:pPr>
          </w:p>
        </w:tc>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(24,223)</w:t>
            </w:r>
          </w:p>
        </w:tc>
        <w:tc>
          <w:tcPr>
            <w:tcW w:w="0" w:type="dxa"/>
            <w:vAlign w:val="bottom"/>
          </w:tcPr>
          <w:p>
            <w:pPr>
              <w:spacing w:after="0"/>
              <w:rPr>
                <w:sz w:val="1"/>
                <w:szCs w:val="1"/>
                <w:color w:val="auto"/>
              </w:rPr>
            </w:pPr>
          </w:p>
        </w:tc>
      </w:tr>
      <w:tr>
        <w:trPr>
          <w:trHeight w:val="249"/>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94,880,710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465,657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(248,770)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216,896</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4"/>
                <w:szCs w:val="14"/>
                <w:color w:val="auto"/>
              </w:rPr>
            </w:pPr>
          </w:p>
        </w:tc>
        <w:tc>
          <w:tcPr>
            <w:tcW w:w="128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right w:val="single" w:sz="8" w:color="auto"/>
            </w:tcBorders>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110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65,297,530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302,705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(155,897)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148,356</w:t>
            </w:r>
          </w:p>
        </w:tc>
        <w:tc>
          <w:tcPr>
            <w:tcW w:w="0" w:type="dxa"/>
            <w:vAlign w:val="bottom"/>
          </w:tcPr>
          <w:p>
            <w:pPr>
              <w:spacing w:after="0"/>
              <w:rPr>
                <w:sz w:val="1"/>
                <w:szCs w:val="1"/>
                <w:color w:val="auto"/>
              </w:rPr>
            </w:pPr>
          </w:p>
        </w:tc>
      </w:tr>
      <w:tr>
        <w:trPr>
          <w:trHeight w:val="166"/>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Ordinary Shares in</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connection with a sale under the ATM,</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$0.2 million of commissions</w:t>
            </w:r>
          </w:p>
        </w:tc>
        <w:tc>
          <w:tcPr>
            <w:tcW w:w="16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 and restricted stock</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 releases</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(17,442)</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11,663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68,374,998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311,532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(173,339)</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139,741</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96"/>
        </w:trPr>
        <w:tc>
          <w:tcPr>
            <w:tcW w:w="8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(24,223)</w:t>
            </w:r>
          </w:p>
        </w:tc>
        <w:tc>
          <w:tcPr>
            <w:tcW w:w="100" w:type="dxa"/>
            <w:vAlign w:val="bottom"/>
          </w:tcPr>
          <w:p>
            <w:pPr>
              <w:spacing w:after="0"/>
              <w:rPr>
                <w:sz w:val="17"/>
                <w:szCs w:val="17"/>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w:t>
            </w:r>
          </w:p>
        </w:tc>
      </w:tr>
      <w:tr>
        <w:trPr>
          <w:trHeight w:val="209"/>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96"/>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exchange transaction loss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09"/>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w:t>
            </w:r>
          </w:p>
        </w:tc>
      </w:tr>
      <w:tr>
        <w:trPr>
          <w:trHeight w:val="196"/>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(11,063)</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6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Class A Ordinary Shares in connection with February 2026 Equity Offering, net of $8.0 million of underwriters’ fees and</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5"/>
        </w:trPr>
        <w:tc>
          <w:tcPr>
            <w:tcW w:w="8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discounts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Pre-Funded Warrants in connection with February 2026 Equity Offering, net of $0.7 million of underwriters’ fees and</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2"/>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discounts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Class A Ordinary Shares in connection with a sale under the ATM, net of $0.2 million of commissions</w:t>
            </w:r>
          </w:p>
        </w:tc>
        <w:tc>
          <w:tcPr>
            <w:tcW w:w="9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135,123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5,183</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(5,929)</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176,498</w:t>
            </w: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ending of period</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170,569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taxes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 included in accounts payable and accrued expenses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7"/>
                <w:szCs w:val="17"/>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 for February 2026 Equity Offering included in accounts payable and accrued expenses</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figures in tables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Zura Bio Limited, a Cayman Islands exempted company, together with its subsidiaries (collectively, the “Company” or “Zura”), is a clinical-stage biotechnology company developing novel and differentiated medicines for patients with autoimmune and inflammatory diseases, including serious and debilitating conditions with significant unmet medical need. These diseases are often chronic and biologically complex, and many patients do not achieve durable disease control with currently available therapies. The Company’s strategic focus is to identify immune-mediated diseases in which translational and clinical evidence supports the role of specific biological pathways in disease pathogenesis. The Company is currently developing its lead product candidate in ongoing Phase 2 trials while evaluating development opportunities for its clinical-stage assets, focusing on indications with unmet needs and commercial potential.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Company’s unaudited condensed consolidated financial statements (the “condensed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The Company has an accumulated deficit of $248.8 million and $224.5 million as of March 31, 2026 and December 31, 2025, respectively, and a net loss of $24.2 million and $17.4 million for the three months ended March 31, 2026 and 2025, respectively. The Company’s existing sources of liquidity as of March 31, 2026 include $225.6 million in cash and cash equivalents.</w:t>
      </w:r>
    </w:p>
    <w:p>
      <w:pPr>
        <w:spacing w:after="0" w:line="207"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The Company has relied primarily on public and private equity financings to fund operations. The Company’s cash requirements include, but are not limited to, clinical development, product candidate manufacturing costs, and working capital requirements. The Company expects that such operating losses and negative cash flows from operations will continue for the foreseeable future but has sufficient liquidity to fund its operations over the next twelve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(“U.S. GAAP”) and include the accounts of its consolidated subsidiaries. In comparative periods, where applicable,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are presented in accordance with the rules and regulations of the Securities and Exchange Commission (the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2025 (the “audited consolidated financial statements”) that were included in the Company’s Form 10-K filed with the SEC on March 19, 2026 (the “Annual Report”). In management’s opinion, these condensed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have been prepared on the same basis as the audited consolidated financial statements and reflect all adjustments, which include normal recurring adjustments, necessary for the fair statement of the Company’s financial position as of March 31, 2026 and the results of operations for the three months ended March 31, 2026 and 2025. The results of operations for the three months ended March 31, 2026 are not necessarily indicative of the results to be expected for the full year ending December 31, 2026 or any other future interim or annual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from those that were disclosed in Note 2, Summary of Significant Accounting Policies, included in the audited consolidated financial statements in the Company’s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accrued research and development expenses, the fair value of share-based compensation, the fair value of redeemable noncontrolling interest, and the valuation allowance of deferred tax assets resulting from net operating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clinical manufacturing to commercial production of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 candidates will require approvals from the United States Food and Drug Administration (“FDA”) and comparable foreign regulatory agencies prior to commercial sales in their respective jurisdictions. There can be no assurance that any product candidate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 its operations and manage its business in one operating segment, developing novel medicines for immune and inflammatory disorders. The Company has business activities in different regions that are managed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within this footnote. The CODM uses net loss, that is reported in the condensed consolidated statements of operations, to assess performance for the Company’s segment and decide how to allocate resources. The measure of segment assets is reported on the condensed consolidated balance sheet as total consolidated assets. The following tables represent information provided to the CODM:</w:t>
      </w:r>
    </w:p>
    <w:p>
      <w:pPr>
        <w:spacing w:after="0" w:line="26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023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Wages and benefits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6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Tibulizumab SSc program</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50"/>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Tibulizumab HS program</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Tibulizumab general</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57"/>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product candidates (torudokimab and crebankitug)</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Wages and benefits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6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8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segment items include Depreciation and amortization, Interest income, and Other income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9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Incentive Credits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eligible to obtain certain R&amp;D incentive credits (the “R&amp;D Credits”), through participation in the United Kingdom’s (“U.K.”) R&amp;D Small and Medium Enterprise and the Research and Development Expenditure Credit tax relief programs.</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R&amp;D Credits are calculated as a percentage of qualifying R&amp;D expenses incurred as part of research projects. The R&amp;D Credits are used as tax credits for the Company with the resulting amount being payable in cash by the U.K. government (tax authority) to the Company. The R&amp;D Credits are subject to future audits by the U.K. tax authority within defined periods.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the incentive credits are administered through the local tax authority, the Company has accounted for the incentives outside of the scope of FASB Accounting Standards Codification Topic 740, Income Taxes,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Accounting for Government Grants and Disclosure of Government Assistance.</w:t>
      </w:r>
    </w:p>
    <w:p>
      <w:pPr>
        <w:spacing w:after="0" w:line="2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IAS 20, the Company will recognize the R&amp;D Credits when it has reasonable assurance that the R&amp;D Credits will be received. As the Company has only filed two claims under the tax relief programs as of March 31, 2026, it has determined that reasonable assurance will be met upon cash receipt. In April 2025, the Company filed a claim for an R&amp;D Credit for $1.0 million that was not received as of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the Company's Class A ordinary shares (“Class A Ordinary Shares”) and pre-funded warrants outstanding during the period. The pre-funded warrants are included in the computation of basic and diluted net loss per ordinary share as the exercise price is negligible and the pre-funded warrants are fully vested and exercisable. Basic and diluted net loss per share were the same for each</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presented as the inclusion of all potentially dilutive securities outstanding would have been anti-dilutive due to the Company’s net loss.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potentially dilutive securities not included in the calculation of the diluted net loss per share as of the periods presented because to do so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15,525,157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13,593,638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Z33 Series Seed Preferred Shares Put Right</w:t>
            </w:r>
          </w:p>
        </w:tc>
        <w:tc>
          <w:tcPr>
            <w:tcW w:w="2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restricted share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859,923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share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249,997</w:t>
            </w:r>
          </w:p>
        </w:tc>
      </w:tr>
      <w:tr>
        <w:trPr>
          <w:trHeight w:val="282"/>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16,223,438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16,703,558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Income Statement—Reporting Comprehensive Income—Expense Disaggregation Disclosures (Subtopic 220-40): Disaggregation of Income Statement Expenses. This ASU requires disclosure in the notes 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spacing w:after="0" w:line="21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establishes guidance on the recognition, measurement, and presentation of government grants received by business entities. The amendments in ASU 2025-10 are effective for annual reporting periods beginning after December 15, 2028, and interim reporting periods within those annual reporting periods, with early adoption permitted. The guidance can be applied under a modified prospective approach, a modified retrospective approach, or a full retrospective approach. The Company is currently assessing the impact of the adoption of this guidance on its consolidated financial statements and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data.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and accounts payable and accrued expenses. The carrying values of the Company’s cash, prepaid and other current assets, and accounts payable and accrued expenses approximate their fair value due to the short-term maturity of these instruments.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March 31, 2026 and December 31, 2025, and the fair value hierarchy of the valuation techniques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220,248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2"/>
                <w:szCs w:val="22"/>
                <w:color w:val="auto"/>
              </w:rPr>
            </w:pPr>
          </w:p>
        </w:tc>
        <w:tc>
          <w:tcPr>
            <w:tcW w:w="860" w:type="dxa"/>
            <w:vAlign w:val="bottom"/>
            <w:tcBorders>
              <w:bottom w:val="single" w:sz="8" w:color="auto"/>
            </w:tcBorders>
            <w:gridSpan w:val="2"/>
          </w:tcPr>
          <w:p>
            <w:pPr>
              <w:jc w:val="right"/>
              <w:ind w:right="68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2"/>
                <w:szCs w:val="22"/>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220,248</w:t>
            </w:r>
          </w:p>
        </w:tc>
        <w:tc>
          <w:tcPr>
            <w:tcW w:w="60" w:type="dxa"/>
            <w:vAlign w:val="bottom"/>
          </w:tcPr>
          <w:p>
            <w:pPr>
              <w:spacing w:after="0"/>
              <w:rPr>
                <w:sz w:val="22"/>
                <w:szCs w:val="22"/>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3"/>
        </w:trPr>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6"/>
        </w:trPr>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5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106,310</w:t>
            </w:r>
          </w:p>
        </w:tc>
        <w:tc>
          <w:tcPr>
            <w:tcW w:w="60" w:type="dxa"/>
            <w:vAlign w:val="bottom"/>
          </w:tcPr>
          <w:p>
            <w:pPr>
              <w:spacing w:after="0"/>
              <w:rPr>
                <w:sz w:val="22"/>
                <w:szCs w:val="22"/>
                <w:color w:val="auto"/>
              </w:rPr>
            </w:pPr>
          </w:p>
        </w:tc>
      </w:tr>
      <w:tr>
        <w:trPr>
          <w:trHeight w:val="21"/>
        </w:trPr>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is comprised of the following as of March 31, 2026 and December 31, 2025:</w:t>
      </w:r>
    </w:p>
    <w:p>
      <w:pPr>
        <w:spacing w:after="0" w:line="200" w:lineRule="exact"/>
        <w:rPr>
          <w:sz w:val="20"/>
          <w:szCs w:val="20"/>
          <w:color w:val="auto"/>
        </w:rPr>
      </w:pP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r>
      <w:tr>
        <w:trPr>
          <w:trHeight w:val="25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6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5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5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0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April 26, 2023, ZB17 entered into a license agreement with Lilly (the “2023 Lilly License”) for an exclusive license to develop, manufacture and commercialize tibulizumab.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payments to Lilly (a) for 4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tibulizumab in a country) for an annual earned royalty at a marginal royalty rate in the mid-single digits to low-double digits, with increasing royalty percentage rates depending on net sales in the respective calendar year, based on a percentage of sales within varying thresholds for a certain period of years (collectively, the “2023 Lilly Contingent Payments”). As of March 31, 2026, none of the 2023 Lilly Contingent Payments are due and accordingly will not be recorded in the Company’s financial statements until they are due.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entered into a license agreement with Lilly (the “2022 Lilly License”) pursuant to which Lilly granted Z33 an exclusive (even as to Lilly) license to develop, manufacture, and commercialize torudokimab.</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obligated to make payments to Lilly for (a) 10 commercial, development and regulatory milestone payments up to an aggregate of $155.0 million and sales milestone payments up to an aggregate of $440.0 million based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respective thresholds of net sales of products developed from the licensed compound, if any; and (b) an annual earned royalty at a marginal royalty rate in the mid-single to low-double digits, with increasing royalty percentage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March 31, 2026, none of the 2022 Lilly Contingent Payments are due and accordingly will not be recorded in the Company’s financial statements until they are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21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Under the Pfizer Agreement, the Company acquired a license for crebankitug.</w:t>
      </w:r>
    </w:p>
    <w:p>
      <w:pPr>
        <w:spacing w:after="0" w:line="18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Company is obligated to make payments to Pfizer for (a)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Royalties are payable on a country-by-country basis for a certain period of years or upon the later expiration of regulatory exclusivity of the Company’s Products in a country. As of March 31, 2026, no Pfizer Contingent Payments are due and accordingly no Pfizer Contingent Payments will be recorded in the Company’s financial statements until they are due.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License</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the Lonza License, the Company has a license fee of $0.4 million due to Lonza annually in the fourth quarter as a result of manufacturing drug substance with a third party other than Lonza since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a cell line license agreement (the “Cell Line License Agreement”) with WuXi Biologics and its Affiliates (“WuXi Biologics”) for certain of WuXi Biologics’s know-how, cell line, and biological materials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March 31, 2026, there are no payments currently due under the Cell Line License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Athanor Letter Agreement</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December 29, 2025, the Company entered into a letter agreement with Athanor Capital, an exempted company incorporated under the laws of the Cayman Islands with limited liability (“Athanor”) (the “Athanor Agreement”), pursuant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to which the Company issued to Athanor 8,657,402 Ordinary Shares (the “Athanor Shares”). Athanor is also entitled to piggyback registration rights pursuant to which Athanor has the right to include Athanor Shares in certain registered offerings by the Company or if the Company proposes to file a registration statement under the Securities Act of 1933, as amended, with respect to the registration of equity securities, as set forth in the Athanor Agreement.</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pursuant to the terms of the Athanor Agreement, the Company agreed to pay Athanor an upfront fee in an amount equal to $7.3 million within thirty days of execution of the Athanor Agreement and a one-time milestone payment in the amount of $25.0 million after the occurrence of the earliest of the following events: (i) the Company or ZB17 undergoes a Change of Control (as defined in the Athanor Agreement), (ii) the consummation by the Company or ZB17 of a sale of assets resulting in net proceeds in excess of $500.0 million, or (iii) First Indication Regulatory Approval (as defined in the Athanor Agreement). In addition, pursuant to the terms of the Athanor Agreement, the Company agreed to pay an amount equal to 2% of Net Sales (as defined in the Athanor Agreement) for the Product (as defined in the Athanor Agreement) to the extent such Net Sales (collectively, the “Net Sales Payments”) are the subject of a royalty payment under the 2023 Lilly License. The upfront fee was paid as of December 31, 2025.</w:t>
      </w:r>
    </w:p>
    <w:p>
      <w:pPr>
        <w:spacing w:after="0" w:line="21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Athanor Agreement contains representations, warranties and covenants by the parties in addition to the terms described above and shall remain in effect on a country-by-country basis until the expiration of the obligation to pay the Net Sales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300,000,000 Class A Ordinary Shares, par value of $0.0001 and 1,000,000 preferred shares, par value of $0.0001.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no Class A Ordinary Shares were sold under the ATM.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$114.0 million of Class A Ordinary Shares remained available for sale under the Sales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2026 Equity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the Company entered into an underwriting agreement with Leerink Partners LLC, Piper Sandler &amp; Co. and Cantor Fitzgerald &amp; Co.,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the several underwriters listed therein, pursuant to which the Company issued and sold 21,200,000 Class A Ordinary Shares,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at a price to the public of $6.25 per share, which included 3,000,000 additional Class A Ordinary Shares sold upon exercise in full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of their option to purchase additional shares of stock in the offering, along with pre-funded warrants to purchase 1,800,000 Ordinary Shares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price to the public of $6.249 per Pre-Funded Warrant, which represents the per share public offering price for the Shares less the $0.001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Pre-Funded Warrant (the “February 2026 Equity Offering”). The net proceeds from the February 2026 Equity Offering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$134.6 million after deducting underwriting discounts and commissions and offering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February 2026 Equity Offering, the Company sold to accredited investors pre-funded warrants to purchase up to 1,800,000 Class A Ordinary Shares at a price of $6.249 per pre-funded warrant for an aggregate purchase price of approximately $11.2 million.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an aggregate 29,295,396 and 27,495,396 pre-funded warrants outstanding, respectively, each with an exercise price of $0.001.</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no Class A Ordinary Shares were issued in connection with the exercise of Pre-Funded Warrants.</w:t>
      </w:r>
    </w:p>
    <w:p>
      <w:pPr>
        <w:spacing w:after="0" w:line="18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Each Pre-Funded Warrant is exercisable for one Class A Ordinary Share at any time or times until the Pre-Funded Warrants are exercised in full. A holder of the Pre-Funded Warrants (together with its affiliates and other attribution parties) may not exercise any portion of a Pre-Funded Warrant to the extent that immediately prior to or after giving effect to such exercise the holder would beneficially own more than 4.99% or 9.99%, depending on the holder of the Company’s outstanding Class A Ordinary Shares immediately after exercise, which percentage may be increased or decreased to any other percentage specified not in excess of 19.99% at the holder’s election upon 61 days’ notice to the Company subject to the terms of the Pre-Funded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Reserved for Issuance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reserved for issuance as of March 31, 2026 is summarized below:</w:t>
      </w:r>
    </w:p>
    <w:p>
      <w:pPr>
        <w:spacing w:after="0" w:line="300"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79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pre-funded warrants to purchase Class A Ordinary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29,295,396</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17,892,060</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 and ESPP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3,845,063</w:t>
            </w:r>
          </w:p>
        </w:tc>
      </w:tr>
      <w:tr>
        <w:trPr>
          <w:trHeight w:val="25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upon release of restricted share units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583,282</w:t>
            </w:r>
          </w:p>
        </w:tc>
      </w:tr>
      <w:tr>
        <w:trPr>
          <w:trHeight w:val="28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51,615,801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March 16, 2023, the Zura Bio Limited 2023 Equity Incentive Plan (the “Equity Incentive Plan”) was approved, became effective on March 19, 2023, and was amended on June 1, 2023. The Equity Incentive Plan allows for the grant of share options, both incentive and nonqualified share options; stock appreciation rights, alone or in conjunction with other awards; restricted shares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in accordance with the Equity Incentive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2023, the Zura Bio Limited 2023 Employee Stock Purchase Plan (the “ESPP”) was approved and became effective on March 19, 2023. The ESPP enables eligible employees of the Company and designated affiliates to purchase Class A Ordinary Shares at a discount of 15%. As of March 31, 2026, the Company has not activated its ESPP.</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Class A Ordinary Shares reserved for future issuances under the Equity Incentive Plan and the ESPP increased in accordance with the respective plans on January 1, 2026. As of March 31, 2026, a maximum of 20,573,023 Class A Ordinary Shares were authorized for issuance under the Equity Incentive Plan and the ESPP, collectively.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averaging the vesting period and the contractual life of the share options granted. The risk-free interest rate is determined by reference to the U.S. Treasury yield curve in effect at the time of grant of the award for time periods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equal to the expected term of the award. Expected dividend yield is zero based on the fact that the Company has never paid cash dividends and does not expect to pay any cash dividends in the foreseeable future.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Equity Incentive Plan share options issued during the three months ended March 31, 2026 and 2025:</w:t>
      </w:r>
    </w:p>
    <w:p>
      <w:pPr>
        <w:spacing w:after="0" w:line="38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three months ended March 31, 2026:</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5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8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7"/>
        </w:trPr>
        <w:tc>
          <w:tcPr>
            <w:tcW w:w="58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16,463,011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48,866</w:t>
            </w:r>
          </w:p>
        </w:tc>
      </w:tr>
      <w:tr>
        <w:trPr>
          <w:trHeight w:val="26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(2,142,386)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r>
      <w:tr>
        <w:trPr>
          <w:trHeight w:val="282"/>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March 31,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17,892,060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9,002,039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0"/>
        </w:trPr>
        <w:tc>
          <w:tcPr>
            <w:tcW w:w="5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$25.0 million of total unrecognized share-based compensation expense related to options granted to employees, executives, and directors that is expected to be recognized over a weighted average period of 2.9 years.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Included in options outstanding as of both March 31, 2026 and December 31, 2025 in the table above are 2,055,314 options to purchase Class A Ordinary Shares issued to certain directors, executives, and employees outside of the Equity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2026 and 2025 was $5.08 and $0.97,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21, 2026, the Company granted 505,881 options to purchase Class A Ordinary Shares (the “CEO Option Award”) to the Chief Executive Officer. The CEO Option Award will vest in full on the first date upon which both of the following goals are achieved, subject to the CEO’s continued service through such date: (a) the Company’s completion of an equity raise above a specified amount prior to a specified date, which condition was satisfied by the completion of the February 2026 Equity Offering, and (b) the volume-weighted average price of a Class A ordinary share of the Company equals or exceeds a specified price over a period of 30 consecutive trading days, prior to December 31, 2030. These awards have an exercise price of $6.32 and become exercisable when vested and both conditions are satisfied. These awards expire 10 years from the date of grant. The fair value of these Market-Based Share Options were estimated using a Monte Carlo valuation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weighted-average assumptions were used at the grant date to determine the fair value of Company’s Market-Based Share Options granted during the three months ended March 31, 2026:</w:t>
      </w:r>
    </w:p>
    <w:p>
      <w:pPr>
        <w:spacing w:after="0" w:line="250" w:lineRule="exact"/>
        <w:rPr>
          <w:sz w:val="20"/>
          <w:szCs w:val="20"/>
          <w:color w:val="auto"/>
        </w:rPr>
      </w:pPr>
    </w:p>
    <w:tbl>
      <w:tblPr>
        <w:tblLayout w:type="fixed"/>
        <w:tblInd w:w="254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0"/>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3"/>
        </w:trPr>
        <w:tc>
          <w:tcPr>
            <w:tcW w:w="4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6.32</w:t>
            </w: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r>
      <w:tr>
        <w:trPr>
          <w:trHeight w:val="26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expense related to Market-Based Share Options, at the grant date fair value, of $0.7 million and $0.2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three months ended March 31, 2026:</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90"/>
        </w:trPr>
        <w:tc>
          <w:tcPr>
            <w:tcW w:w="818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583,282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was approximately $2.0 million of total unrecognized share-based compensation expense related to RSUs granted to certain employees, executives, and directors under the Company’s Equity Incentive Plan that is expected to be recognized over a weighted average period of 1.2 years. For each of the three months ended March 31, 2026 and 2025, the Company recorded expense related to RSUs of $0.4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RSA activity for the three months ended March 31, 2026:</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18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240" w:type="dxa"/>
            <w:vAlign w:val="bottom"/>
          </w:tcPr>
          <w:p>
            <w:pPr>
              <w:spacing w:after="0"/>
              <w:rPr>
                <w:sz w:val="16"/>
                <w:szCs w:val="16"/>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 outstanding as of December 31, 2025</w:t>
            </w:r>
          </w:p>
        </w:tc>
        <w:tc>
          <w:tcPr>
            <w:tcW w:w="14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9"/>
              </w:rPr>
              <w:t>249,997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center"/>
              <w:ind w:left="637"/>
              <w:spacing w:after="0"/>
              <w:rPr>
                <w:sz w:val="20"/>
                <w:szCs w:val="20"/>
                <w:color w:val="auto"/>
              </w:rPr>
            </w:pPr>
            <w:r>
              <w:rPr>
                <w:rFonts w:ascii="Times New Roman" w:cs="Times New Roman" w:eastAsia="Times New Roman" w:hAnsi="Times New Roman"/>
                <w:sz w:val="18"/>
                <w:szCs w:val="18"/>
                <w:color w:val="auto"/>
              </w:rPr>
              <w:t>(124,998)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 outstanding as of March 31, 2026</w:t>
            </w:r>
          </w:p>
        </w:tc>
        <w:tc>
          <w:tcPr>
            <w:tcW w:w="1480" w:type="dxa"/>
            <w:vAlign w:val="bottom"/>
            <w:tcBorders>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9"/>
              </w:rPr>
              <w:t>124,999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was approximately $1.0 million of total unrecognized share-based compensation expense related to RSAs granted to a certain director under the Company’s Equity Incentive Plan that is expected to be recognized over a weighted average period of 1.0 year. For each of the three months ended March 31, 2026 and 2025, the Company recorded expense related to RSAs of $0.3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Modification</w:t>
      </w:r>
    </w:p>
    <w:p>
      <w:pPr>
        <w:spacing w:after="0" w:line="25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On January 21, 2026 (the “Effective Date”), the Company and Rob Lisicki entered into an agreement in connection with Mr. Lisicki’s resignation which provided for an extension of the post-termination exercise period for Mr. Lisicki’s outstanding vested stock options to the earlier of (i) March 31, 2027 or</w:t>
      </w:r>
    </w:p>
    <w:p>
      <w:pPr>
        <w:spacing w:after="0" w:line="1" w:lineRule="exact"/>
        <w:rPr>
          <w:sz w:val="20"/>
          <w:szCs w:val="20"/>
          <w:color w:val="auto"/>
        </w:rPr>
      </w:pPr>
    </w:p>
    <w:p>
      <w:pPr>
        <w:ind w:right="200" w:firstLine="8"/>
        <w:spacing w:after="0" w:line="26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expiration date of the applicable stock option. The agreement also provided for accelerated vesting of 25% of the shares underlying the option granted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Lisicki on February 27, 2025 as of the Effective Date, which shares were originally scheduled to vest on February 27, 2026, subject to specified lock-up restrictions. All other unvested options outstanding as of the Effective Date were immediately forfeited. During the three months ended March 31, 2026, the Company recognized $1.5 million of share-based compensation expense related to this modification within general and administrative expense in the condensed consolidated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for all equity arrangements for the three months ended March 31, 2026 and 2025 was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(the “U.K. Defined Contribution Plan” and, together with the 401(k) Plan, the “Defined Contribution Plans”). Contributions made by the Company vest 100% upon contribution. For the three months ended March 31, 2026 and 2025, the Company recorded expense of $0.2 million and $0.1 million, respectively, for the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as of December 31, 2025, included in the 2025 Annual Report, and in conjunction with the unaudited condensed consolidated financial statements and notes thereto included elsewhere in this Quarterly Report.</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2025 Annual Report, as supplemented by the risks and uncertainties described in “Risk Factors” Item I.A. Risk Factors in Part II of this Quarterly Report,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“Zura,” “we,” “us,” and “our” refer to Zura Bio Limited, a Cayman Islands exempted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developing novel and differentiated medicines for patients with autoimmune and inflammatory diseases, including serious and debilitating conditions with significant unmet medical need. These diseases are often chronic and biologically complex and difficult to treat, and many patients do not achieve durable disease control with currently available therapies.</w:t>
      </w:r>
    </w:p>
    <w:p>
      <w:pPr>
        <w:spacing w:after="0" w:line="203" w:lineRule="exact"/>
        <w:rPr>
          <w:sz w:val="20"/>
          <w:szCs w:val="20"/>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We focus on immune-mediated diseases in which translational and clinical evidence supports the involvement of specific biological pathways in disease pathogenesis. We are currently advancing our lead product candidate in Phase 2 clinical trials and are evaluating development opportunities across our pipeline of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antibody assets, with a focus on indications with unmet medical need and commercial potential.</w:t>
      </w:r>
    </w:p>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lead product candidate, tibulizumab (ZB-106), is an immunoglobulin G single-chain variable fragment bispecific dual-antagonist antibody engineered by the fusion of TALTZ® (ixekizumab) and tabalumab. Tibulizumab is designed to neutralize interleukin-17 and B-cell activating factor, two cytokines implicated in autoimmune and inflammatory diseases.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2025, we initiated TibuSHIELD, a global, randomized, double-blind, placebo-controlled Phase 2 clinical study evaluating tibulizumab in approximately 225 participants with moderate to severe hidradenitis suppurativa (“HS”). The study is designed to assess the safety, tolerability, and efficacy of tibulizumab in the relevant patient population. The study will evaluate tibulizumab over a 28-week period, which includes a 16-week efficacy assessment period followed by an optional open-label extension (“OLE”) and a 12-week safety follow-up. The primary endpoint of the study is the percent change from baseline in total abscess and nodule (“AN”) count at week 16. Secondary endpoints include the proportion of participants achieving HiSCR50 or HiSCR75, defined as at least a 50% or 75% reduction in AN count without an increase in abscesses or draining fistulas at week 16. Key safety assessments include the assessment of tolerability, and monitoring for adverse events. Topline results are expected to be available in the fourth quarter of 2026.</w:t>
      </w:r>
    </w:p>
    <w:p>
      <w:pPr>
        <w:spacing w:after="0" w:line="2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2024, we initiated TibuSURE, a global, randomized, double-blind, placebo-controlled Phase 2 clinical study evaluating tibulizumab approximately 80 participants with early diffuse cutaneous systemic sclerosis. The study is designed to assess the safety, tolerability, and efficacy of tibulizumab in the relevant patient population. The study includes a 24-week efficacy period followed by a 28-week OLE. The primary endpoint is the modified Rodnan Skin Score. Key efficacy endpoints include lung disease, assessed by quantitative high-resolution computed tomography and forced vital capacity; physical function, measured by the Health Assessment Questionnaire-Disability Index; and the revised Combined Response Index in Systemic Sclerosis. Topline results are expected to be available in the first half of 2027.</w:t>
      </w:r>
    </w:p>
    <w:p>
      <w:pPr>
        <w:spacing w:after="0" w:line="214" w:lineRule="exact"/>
        <w:rPr>
          <w:sz w:val="20"/>
          <w:szCs w:val="20"/>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We continue to evaluate potential indication expansion opportunities for tibulizumab. In addition, we are evaluating development and strategic options for other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assets.</w:t>
      </w:r>
    </w:p>
    <w:p>
      <w:pPr>
        <w:spacing w:after="0" w:line="157" w:lineRule="exact"/>
        <w:rPr>
          <w:sz w:val="20"/>
          <w:szCs w:val="20"/>
          <w:color w:val="auto"/>
        </w:rPr>
      </w:pPr>
    </w:p>
    <w:p>
      <w:pPr>
        <w:ind w:right="380"/>
        <w:spacing w:after="0" w:line="231" w:lineRule="exact"/>
        <w:rPr>
          <w:sz w:val="20"/>
          <w:szCs w:val="20"/>
          <w:color w:val="auto"/>
        </w:rPr>
      </w:pPr>
      <w:r>
        <w:rPr>
          <w:rFonts w:ascii="Times New Roman" w:cs="Times New Roman" w:eastAsia="Times New Roman" w:hAnsi="Times New Roman"/>
          <w:sz w:val="18"/>
          <w:szCs w:val="18"/>
          <w:color w:val="auto"/>
        </w:rPr>
        <w:t>Torudokimab (ZB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880) is a fully human monoclonal antibody that neutralizes interleukin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 an alarmin cytokine involved in inflammatory signaling, thereby inhibiting ST2-related inflammatory signaling. The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33/ST2 pathway has been implicated in inflammatory and immune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mediated diseases, including chronic obstructive pulmonary disease and asthma, and remains the subject of ongoing clinical and scientific investigation. Torudokimab was evaluated 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320"/>
        <w:spacing w:after="0" w:line="245" w:lineRule="exact"/>
        <w:rPr>
          <w:sz w:val="20"/>
          <w:szCs w:val="20"/>
          <w:color w:val="auto"/>
        </w:rPr>
      </w:pPr>
      <w:r>
        <w:rPr>
          <w:rFonts w:ascii="Times New Roman" w:cs="Times New Roman" w:eastAsia="Times New Roman" w:hAnsi="Times New Roman"/>
          <w:sz w:val="18"/>
          <w:szCs w:val="18"/>
          <w:color w:val="auto"/>
        </w:rPr>
        <w:t>clinical studies prior to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licensing of the program, and we continue to monitor developments in the 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 pathway as we consider potential future development opportunities.</w:t>
      </w:r>
    </w:p>
    <w:p>
      <w:pPr>
        <w:spacing w:after="0" w:line="185"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Crebankitug (ZB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168) is a fully human monoclonal antibody that binds and neutralizes the interleukin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 receptor alpha chain, a shared receptor component of the interleukin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 and thymic stromal lymphopoietin signaling pathways. Crebankitug has been evaluated in Phase 1 and Phase 1b clinical studies, and we are assessing potential therapeutic indications and future development strategies for this asset.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 is in the clinical testing stage; however, prior to the initiation of TibuSHIELD and TibuSURE in May 2025 and December 2024, respectively, we had not conducted any clinical trials. We do not have any product candidates approved for sale and have not generated any revenue from product sales. We have funded our operations primarily through private and public equity financings, having raised aggregate gross proceeds of approximately $421.5 million as of the date hereof.</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three months ended March 31, 2026 and 2025 was $24.2 million and $17.4 million, respectively. As of March 31, 2026, we had an accumulated deficit of $248.8 million. We anticipate that our expenses will increase significantly in connection with our ongoing and future activities, as we:</w:t>
      </w: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trials for our product candidates or future potential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materials for clinical trials or potential commercial sales;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in the clinical, quality, regulatory, manufacturing, scientific and administrative functions;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2026 Equity Offering</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24, 2026, we entered into an underwriting agreement with Leerink Partners LLC, Piper Sandler &amp; Co. and Cantor Fitzgerald &amp; Co., as representatives of the several underwriters listed therein, pursuant to which we sold 21,200,000 Class A Ordinary Shares (the “Shares”), par value $0.0001 per share, at a price to the public of $6.25 per share, which included 3,000,000 additional Class A Ordinary Shares sold upon exercise in full by the underwriters of their option to purchase additional shares of stock in the offering, along with pre-funded warrants (the “Pre-Funded Warrants”) to purchase 1,800,000 Ordinary Shares at a price to the public of $6.249 per Pre-Funded Warrant, which represents the per share public offering price for the Shares less the $0.001 exercise price of each Pre-Funded Warrant (the “February 2026 Equity Offering”). The net proceeds from the February 2026 Equity Offering were approximately $134.6 million after deducting underwriting discounts and commissions and offering expenses. The February 2026 Equity Offering closed on February 26, 2026.</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26, 2023, our consolidated subsidiary ZB17 LLC (“ZB17”) entered into a license agreement (the “2023 Lilly License” and, together with the 2022 Lilly License (as defined below), the “Lilly Licenses”) with Lilly, for an exclusive license to develop, manufacture and commercialize tibulizumab.</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obligated to make payments to Lilly (a) for 4 development milestone payments up to an aggregate of $155.0 million, and sales milestone payments up to an aggregate of $440.0 million based on respective thresholds of net sales of products developed from tibulizumab; (b)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(collectively, the “2023 Lilly Contingent Payments”). As of March 31, 2026, none of the 2023 Lilly Contingent Payments are due and accordingly will not be recorded in our financial statements until they are due.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torudokimab.</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molecule; and (b) an annual earned royalty at a marginal royalty rate in the mid-single to low-double digits, with increasing royalty percentage rates based on Net Sales in the respective calendar year, based on a percentage of sales within varying thresholds for a certain period of the year (collectively, the “2022 Lilly Contingent Payments”). As of March 31, 2026, none of the 2022 Lilly Contingent Payments are due and accordingly will not be recorded in our financial statements until they are due.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22, 2022, we entered into a license agreement and a Series A-1 Subscription and Shareholder’s Agreement (collectively, the “Pfizer Agreement”) with Pfizer. Under the Pfizer Agreement, we acquired a license for crebankitug.</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obligated to make payments to Pfizer for (a)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Products, if any (collectively, the “Pfizer Contingent Payments”). Royalties are payable on a country-by-country basis for a certain period of years or upon the later expiration of regulatory exclusivity of our Products in a country.</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no Pfizer Contingent Payments are due and accordingly no Pfizer Contingent Payments will be recorded in our financial statements until they are due.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Trends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Macroeconomic conditions, including uncertainties associated with the changes to and by the United States federal government administration, the ongoing conflicts in Iran and the broader Middle East, the ongoing conflict between Ukraine and Russia, conflicts in Mexico, international trade policies (including tariffs, sanctions, and trade barriers),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may also have an adverse impact on our business.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incurred to support our clinical development, including research activities conducted in support of such programs, manufacturing activities, consulting fees for clinical and manufacturing advisory services, contract research organization (“CRO”) costs, costs related to manufacturing materials for preclinical studies and clinical trials, payroll and benefits (including share-based compensation for employees supporting clinical and development activities), licensing fees, and data and study acquisition costs. Expenses are recognized as the related goods are delivered or the services are performed.</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accounting principles generally accepted in the United States of America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expenses:</w:t>
      </w:r>
    </w:p>
    <w:p>
      <w:pPr>
        <w:spacing w:after="0" w:line="241" w:lineRule="exact"/>
        <w:rPr>
          <w:sz w:val="20"/>
          <w:szCs w:val="20"/>
          <w:color w:val="auto"/>
        </w:rPr>
      </w:pPr>
    </w:p>
    <w:p>
      <w:pPr>
        <w:ind w:left="660" w:hanging="328"/>
        <w:spacing w:after="0" w:line="265"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investigative sites and consultants to conduct our clinical trials;</w:t>
      </w:r>
    </w:p>
    <w:p>
      <w:pPr>
        <w:spacing w:after="0" w:line="190"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 (“CMOs”);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licensing agreements;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expenses:</w:t>
      </w:r>
    </w:p>
    <w:p>
      <w:pPr>
        <w:spacing w:after="0" w:line="241" w:lineRule="exact"/>
        <w:rPr>
          <w:sz w:val="20"/>
          <w:szCs w:val="20"/>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trials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and expand our clinical trial activities. Our future expenses may vary significantly each period based on factors such as:</w:t>
      </w:r>
    </w:p>
    <w:p>
      <w:pPr>
        <w:spacing w:after="0" w:line="1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which may vary based on the number of doses that patients receive;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in a timely manner, or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G&amp;A expenses will increase in the future as we continue to support research and development activities and incur costs of operating as a public company. These costs include headcount to support expanded operations and infrastructure.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Percentage change not meaningful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8"/>
                <w:szCs w:val="18"/>
                <w:color w:val="auto"/>
              </w:rPr>
            </w:pPr>
          </w:p>
        </w:tc>
        <w:tc>
          <w:tcPr>
            <w:tcW w:w="11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expenses by program:</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Tibulizumab portfolio</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Tibulizumab SSc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Tibulizumab HS program</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57"/>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Tibulizumab general</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Tibulizumab portfolio</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5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product candidates (torudokimab and crebankitug)</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expenses</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5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5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$4.3 million for the three months ended March 31, 2026 compared to the three months ended March 31, 2025. The increase was primarily due to:</w:t>
      </w:r>
    </w:p>
    <w:p>
      <w:pPr>
        <w:spacing w:after="0" w:line="189" w:lineRule="exact"/>
        <w:rPr>
          <w:sz w:val="20"/>
          <w:szCs w:val="20"/>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and $0.4 million increase in costs as we advance our Phase 2 clinical trials evaluating tibulizumab in adults with HS and SSc, respectively, driven by costs incurred for CRO fees to support the conduct of our clinical trials;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compensation, including share-based compensation, driven by increased personnel in research and development functions.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This increase was partially offset by a $0.8 million decrease in costs for tibulizumab that was not specific to an indication, which was primarily driven by decreased manufacturing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research and development expenses will continue to increase in the future as we conduct research and development activities.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for the three months ended March 31, 2026 as compared to the three months ended March 31, 2025. The increase was primarily due to an increase of $1.3 million in compensation expenses, including share-based compensation, for personnel in executive and administrative functions and our board of directors, and an increase of $0.6 million in professional fees to support our growing organization as we advance our Phase 2 clinical trials evaluating tibulizumab in SSc and HS.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income decreased by $0.5 million for the three months ended March 31, 2026 as compared to the three months ended March 31, 2025. This is primarily due to lower interest rates, as well as a lower cash balance for the majority of the first quarter of 2026, as the proceeds from the February 2026 Equity Offering were not received until the end of February.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remained relatively consistent for the three months ended March 31, 2026 and compared to the three months ended March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Since our inception, we have not reached successful commercialization of our product candidates or generated any revenue and expect to continue to incur significant operating losses and cash outflows for the foreseeable future. We will require ongoing financing in order to continue our research and development activities and may never become profitable. As of March 31, 2026, we had cash and cash equivalents of $225.6 million. We have funded our operations primarily through private and public equity financings, having raised aggregate gross proceeds of approximately $421.5 million as of the date hereof.</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sales of our approved drug products, and we do not expect to generate revenue from the commercial sales of our approved drug products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the commercial sale of our approved drug products, and we do not expect to generate revenue from the commercial sales of our approved drug products unless and until we obtain regulatory approval of, and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will also be responsible for significant future contingent payments to our licensors and other parties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our licensors and other parties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In addition to milestone payments, we are also required to pay ongoing royalties in the mid-single digits to low double-digits percentage range based upon thresholds of net sales of products.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Based on our current business plans, and after giving effect to the completion of the February 2026 Equity Offering, we believe that our existing cash and cash equivalents should be sufficient to fund our operating expenses and capital requirements through at least the end of 2028.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are beyond our control, could result in less cash available to us or cause us to consume capital significantly faster than we currently anticipate, and we may need to seek additional funds sooner than planned.</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our licensors and other parties;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our licensors and other parties;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7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1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w:t>
      </w:r>
    </w:p>
    <w:p>
      <w:pPr>
        <w:ind w:left="852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1962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 w:lineRule="exact"/>
        <w:rPr>
          <w:sz w:val="20"/>
          <w:szCs w:val="20"/>
          <w:color w:val="auto"/>
        </w:rPr>
      </w:pPr>
    </w:p>
    <w:tbl>
      <w:tblPr>
        <w:tblLayout w:type="fixed"/>
        <w:tblInd w:w="94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6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21"/>
                <w:szCs w:val="2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135,123</w:t>
            </w:r>
          </w:p>
        </w:tc>
        <w:tc>
          <w:tcPr>
            <w:tcW w:w="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116,187</w:t>
            </w:r>
          </w:p>
        </w:tc>
        <w:tc>
          <w:tcPr>
            <w:tcW w:w="8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by $7.9 million to $18.9 million for the three months ended March 31, 2026 compared to the three months ended March 31, 2025. This was primarily due to an increase in our net loss of $6.8 million, which is driven by an increase in our operating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each of the three months ended March 31, 2026 and 2025 was de minimis.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$135.1 million, which related to net proceeds from the February 2026 Equity Offering, after underwriters’ fees and discounts. Cash provided by financing activities for the three months ended March 31, 2025 was $5.2 million, which primarily related to net proceeds of $5.1 million, after placement agent commissions, from the sale of Class A Ordinary Shares under our ATM.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CROs, CMOs and other vendors for research and development services for operating purposes, which are generally cancelable upon written notice. Some third-party CMOs have intellectual property, such as patents and/or know-how with an annual fee and royalty-bearing license to their customers, that forms part of the manufacturing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 License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terminated. We may terminate the Lonza License at any time upon 60 days’ notice, with or without cause. Lonza may terminate the Lonza License for cause upon a breach by us or for other commercially standard reasons.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Lonza License, we have a license fee of $0.4 million due to Lonza annually in the fourth quarter as a result of manufacturing drug substance with a third party other than Lonza since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 License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and its Affiliates (“WuXi Biologics”)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we manufacture all of our commercial supplies of bulk drug product for WuXi Biologics Licensed Products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March 31, 2026, there are no payments currently due under the Cell Line License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condensed consolidated financial statements, which have been prepared in accordance with U.S. GAAP, and on a basis consistent with those accounting principles followed by us and disclosed in Note 2 to our most recent annual audited consolidated financial statements in the 2025 Annual Report. The preparation of these unaudited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since December 31, 2025. For a description of our critical accounting policies that affect our significant judgements and estimates used in preparation of our unaudited condensed consolidated financial statements, refer to Item 7 in “Management’s Discussion and Analysis of Financial Condition and Results of Operations,” contained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Securities Exchange Act of 1934, as amended (the “Exchange Act”). We may continue to be a smaller reporting company so long as either (i) the market value of Class A Ordinary Shares held by non-affiliates is less than $250.0 million or (ii) our annual revenue was less than $100.0 million during the most recently completed fiscal year and the market value of Class A Ordinary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the 2025 Annual Report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otherwise required by this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Principal Financial and Accounting Officer, as appropriate, to allow timely decisions regarding required disclosure. Our Chief Executive Officer and Principal Financial and Accounting Officer carried out an evaluation of the effectiveness of our disclosure controls and procedures, as defined in Rules 13a-15(e) and 15d-15(e) under the Exchange Act. Based upon that evaluation, our Chief Executive Officer and Principal Financial and Accounting Officer concluded that our disclosure controls and procedures were effective at a reasonable assurance level as of March 31,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quarter ended March 31, 2026,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addition to the other information contained elsewhere in this report, you should carefully consider the risks and uncertainties described in “Part I, Item 1A—Risk Factors” of the 2025 Annual Report,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2025 Annual Report is qualified by the information that is described in this Quarterly Report on Form 10-Q. The risks described in our 2025 Annual Report are not our only risks. Additional risks and uncertainties not currently known to us or that we currently deem to be immaterial also may materially adversely affect our business, financial condition or future results. There have been no material changes in our risk factors previously disclosed in our 2025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Third Amendment dated as of January 13, 2023 to the Business Combination Agreement by and among JATT Acquisition Corp., JATT</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Merger Sub, JATT Merger Sub 2, Zura Holdings, Ltd. and Zura Bio Limited (incorporated by reference to Exhibit 2.1 of JATT’s Current</w:t>
              </w:r>
            </w:hyperlink>
          </w:p>
        </w:tc>
        <w:tc>
          <w:tcPr>
            <w:tcW w:w="8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Report on Form 8-K (File No. 001-40598), filed with the SEC on January 19, 2023).</w:t>
              </w:r>
            </w:hyperlink>
          </w:p>
        </w:tc>
        <w:tc>
          <w:tcPr>
            <w:tcW w:w="4080" w:type="dxa"/>
            <w:vAlign w:val="bottom"/>
            <w:gridSpan w:val="15"/>
          </w:tcPr>
          <w:p>
            <w:pPr>
              <w:spacing w:after="0"/>
              <w:rPr>
                <w:sz w:val="17"/>
                <w:szCs w:val="17"/>
                <w:color w:val="auto"/>
              </w:rPr>
            </w:pPr>
          </w:p>
        </w:tc>
      </w:tr>
      <w:tr>
        <w:trPr>
          <w:trHeight w:val="23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Second Amended and Restated Memorandum of Association of Zura Bio Limited (incorporated by reference to Exhibit 3.1 to the Current</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Report on Form 8-K, filed with the SEC on March 24, 2023).</w:t>
              </w:r>
            </w:hyperlink>
          </w:p>
        </w:tc>
        <w:tc>
          <w:tcPr>
            <w:tcW w:w="55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Specimen Warrant Certificate of Zura (incorporated by reference to Exhibit 4.6 of JATT’s Form S-4 (File No. 333-267005) filed with the</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SEC on August 19, 2022).</w:t>
              </w:r>
            </w:hyperlink>
          </w:p>
        </w:tc>
        <w:tc>
          <w:tcPr>
            <w:tcW w:w="7940" w:type="dxa"/>
            <w:vAlign w:val="bottom"/>
            <w:tcBorders>
              <w:top w:val="single" w:sz="8" w:color="0000FF"/>
            </w:tcBorders>
            <w:gridSpan w:val="14"/>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Pre-Funded Warrant to Purchase Ordinary Shares (incorporated herein by reference to Exhibit 4.1 to the Company’s Current</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Report on Form 8-K, filed with the SEC on May 3, 2023).</w:t>
              </w:r>
            </w:hyperlink>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of Pre-Funded Warrant to purchase Ordinary Shares (incorporated by reference to Exhibit 4.1 to the Current Report on Form 8-K</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filed with the SEC on April 23, 2024).</w:t>
              </w:r>
            </w:hyperlink>
          </w:p>
        </w:tc>
        <w:tc>
          <w:tcPr>
            <w:tcW w:w="6980" w:type="dxa"/>
            <w:vAlign w:val="bottom"/>
            <w:tcBorders>
              <w:top w:val="single" w:sz="8" w:color="0000FF"/>
            </w:tcBorders>
            <w:gridSpan w:val="10"/>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Warrant to purchase Ordinary Shares (incorporated by reference to Exhibit 4.1 to the Current Report on Form 8 - K filed with the</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SEC on August 21, 2024).</w:t>
              </w:r>
            </w:hyperlink>
          </w:p>
        </w:tc>
        <w:tc>
          <w:tcPr>
            <w:tcW w:w="80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of Warrant to purchase Ordinary Shares (incorporated by reference to Exhibit 4.1 to the Current Report on Form 8 - K filed with the</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SEC on April 17, 2025).</w:t>
              </w:r>
            </w:hyperlink>
          </w:p>
        </w:tc>
        <w:tc>
          <w:tcPr>
            <w:tcW w:w="818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Pre-Funded Warrant to purchase Ordinary Shares (incorporated by reference to Exhibit 4.1 to the Current Report on Form 8-K</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filed with the SEC on February 26, 2026).</w:t>
              </w:r>
            </w:hyperlink>
          </w:p>
        </w:tc>
        <w:tc>
          <w:tcPr>
            <w:tcW w:w="24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Separation Agreement, dated January 21, 2026, by and between the Company and Robert Lisicki (incorporated by reference to Exhibit 10.1</w:t>
              </w:r>
            </w:hyperlink>
          </w:p>
        </w:tc>
      </w:tr>
      <w:tr>
        <w:trPr>
          <w:trHeight w:val="182"/>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to the Current Report on Form 8-K filed with the SEC on January 23, 2026).</w:t>
              </w:r>
            </w:hyperlink>
          </w:p>
        </w:tc>
        <w:tc>
          <w:tcPr>
            <w:tcW w:w="456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Offer Letter with Sandeep Kulkarni, dated January 21, 2026 (incorporated by reference to Exhibit 10.1 to the Current Report on Form 8-K</w:t>
              </w:r>
            </w:hyperlink>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filed with the SEC on January 23, 2026).</w:t>
              </w:r>
            </w:hyperlink>
          </w:p>
        </w:tc>
        <w:tc>
          <w:tcPr>
            <w:tcW w:w="7020" w:type="dxa"/>
            <w:vAlign w:val="bottom"/>
            <w:tcBorders>
              <w:top w:val="single" w:sz="8" w:color="0000FF"/>
            </w:tcBorders>
            <w:gridSpan w:val="15"/>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1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512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220" w:type="dxa"/>
            <w:vAlign w:val="bottom"/>
            <w:tcBorders>
              <w:top w:val="single" w:sz="8" w:color="0000FF"/>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180" w:type="dxa"/>
            <w:vAlign w:val="bottom"/>
            <w:tcBorders>
              <w:top w:val="single" w:sz="8" w:color="0000FF"/>
            </w:tcBorders>
            <w:gridSpan w:val="2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5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5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2"/>
                <w:szCs w:val="22"/>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5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2"/>
                <w:szCs w:val="22"/>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5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2"/>
                <w:szCs w:val="22"/>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 w:lineRule="exact"/>
        <w:rPr>
          <w:sz w:val="20"/>
          <w:szCs w:val="20"/>
          <w:color w:val="auto"/>
        </w:rPr>
      </w:pPr>
    </w:p>
    <w:p>
      <w:pPr>
        <w:ind w:left="1140" w:right="180" w:hanging="1114"/>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832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26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Sandeep Kulkarni</w:t>
            </w:r>
          </w:p>
        </w:tc>
      </w:tr>
      <w:tr>
        <w:trPr>
          <w:trHeight w:val="243"/>
        </w:trPr>
        <w:tc>
          <w:tcPr>
            <w:tcW w:w="2900" w:type="dxa"/>
            <w:vAlign w:val="bottom"/>
          </w:tcPr>
          <w:p>
            <w:pPr>
              <w:spacing w:after="0"/>
              <w:rPr>
                <w:sz w:val="21"/>
                <w:szCs w:val="21"/>
                <w:color w:val="auto"/>
              </w:rPr>
            </w:pPr>
          </w:p>
        </w:tc>
        <w:tc>
          <w:tcPr>
            <w:tcW w:w="2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Sandeep Kulkarni</w:t>
            </w:r>
          </w:p>
        </w:tc>
      </w:tr>
      <w:tr>
        <w:trPr>
          <w:trHeight w:val="257"/>
        </w:trPr>
        <w:tc>
          <w:tcPr>
            <w:tcW w:w="2900" w:type="dxa"/>
            <w:vAlign w:val="bottom"/>
          </w:tcPr>
          <w:p>
            <w:pPr>
              <w:spacing w:after="0"/>
              <w:rPr>
                <w:sz w:val="22"/>
                <w:szCs w:val="22"/>
                <w:color w:val="auto"/>
              </w:rPr>
            </w:pPr>
          </w:p>
        </w:tc>
        <w:tc>
          <w:tcPr>
            <w:tcW w:w="2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6"/>
        </w:trPr>
        <w:tc>
          <w:tcPr>
            <w:tcW w:w="29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6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Marlyn Mathew</w:t>
            </w:r>
          </w:p>
        </w:tc>
      </w:tr>
      <w:tr>
        <w:trPr>
          <w:trHeight w:val="243"/>
        </w:trPr>
        <w:tc>
          <w:tcPr>
            <w:tcW w:w="2900" w:type="dxa"/>
            <w:vAlign w:val="bottom"/>
          </w:tcPr>
          <w:p>
            <w:pPr>
              <w:spacing w:after="0"/>
              <w:rPr>
                <w:sz w:val="21"/>
                <w:szCs w:val="21"/>
                <w:color w:val="auto"/>
              </w:rPr>
            </w:pPr>
          </w:p>
        </w:tc>
        <w:tc>
          <w:tcPr>
            <w:tcW w:w="2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Marlyn Mathew</w:t>
            </w:r>
          </w:p>
        </w:tc>
      </w:tr>
      <w:tr>
        <w:trPr>
          <w:trHeight w:val="257"/>
        </w:trPr>
        <w:tc>
          <w:tcPr>
            <w:tcW w:w="2900" w:type="dxa"/>
            <w:vAlign w:val="bottom"/>
          </w:tcPr>
          <w:p>
            <w:pPr>
              <w:spacing w:after="0"/>
              <w:rPr>
                <w:sz w:val="22"/>
                <w:szCs w:val="22"/>
                <w:color w:val="auto"/>
              </w:rPr>
            </w:pPr>
          </w:p>
        </w:tc>
        <w:tc>
          <w:tcPr>
            <w:tcW w:w="22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and Accounting</w:t>
            </w:r>
          </w:p>
        </w:tc>
      </w:tr>
      <w:tr>
        <w:trPr>
          <w:trHeight w:val="257"/>
        </w:trPr>
        <w:tc>
          <w:tcPr>
            <w:tcW w:w="29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Sandeep Kulkarni,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Zura Bio Limited;</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268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26035</wp:posOffset>
            </wp:positionV>
            <wp:extent cx="3874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Marlyn Mathew,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Zura Bio Limited;</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26035</wp:posOffset>
            </wp:positionV>
            <wp:extent cx="12687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4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Marlyn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26035</wp:posOffset>
            </wp:positionV>
            <wp:extent cx="38830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4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Marlyn Mathew</w:t>
      </w:r>
    </w:p>
    <w:p>
      <w:pPr>
        <w:spacing w:after="0" w:line="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Vice President, Accounting and Finance</w:t>
      </w:r>
    </w:p>
    <w:p>
      <w:pPr>
        <w:spacing w:after="0" w:line="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March 31, 2026, as filed with the Securities and Exchange Commission (the “Report”), I, Sandeep Kulkarni, Chief Executive Officer of the Company, certify, pursuant to 18 U.S.C. §1350, as adopted pursuant to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20" w:right="140" w:firstLine="312"/>
        <w:spacing w:after="0" w:line="53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-141605</wp:posOffset>
            </wp:positionV>
            <wp:extent cx="1242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8"/>
          <w:szCs w:val="18"/>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Sandeep Kulkarni</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March 31, 2026, as filed with the Securities and Exchange Commission (the “Report”), I, Marlyn Mathew, Vice President, Accounting and Finance, of the Company, certify, pursuant to 18 U.S.C. §1350, as adopted pursuant to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20" w:right="140" w:firstLine="312"/>
        <w:spacing w:after="0" w:line="532"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-141605</wp:posOffset>
            </wp:positionV>
            <wp:extent cx="12426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/s/ Marlyn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26035</wp:posOffset>
            </wp:positionV>
            <wp:extent cx="3985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Marlyn Mathew</w:t>
      </w:r>
    </w:p>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Vice President, Accounting and Finance</w:t>
      </w:r>
    </w:p>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48" Type="http://schemas.openxmlformats.org/officeDocument/2006/relationships/hyperlink" Target="https://www.sec.gov/Archives/edgar/data/1855644/000110465923005068/tm233516d1_ex2-1.htm" TargetMode="External"/><Relationship Id="rId49" Type="http://schemas.openxmlformats.org/officeDocument/2006/relationships/hyperlink" Target="https://www.sec.gov/Archives/edgar/data/1855644/000110465923036697/tm2310353d1_ex3-1.htm" TargetMode="External"/><Relationship Id="rId50" Type="http://schemas.openxmlformats.org/officeDocument/2006/relationships/hyperlink" Target="https://www.sec.gov/Archives/edgar/data/1855644/000110465922093035/jatt-20220630xex4d6.htm" TargetMode="External"/><Relationship Id="rId51" Type="http://schemas.openxmlformats.org/officeDocument/2006/relationships/hyperlink" Target="https://www.sec.gov/Archives/edgar/data/1855644/000110465923055196/tm2314291d1_ex4-1.htm" TargetMode="External"/><Relationship Id="rId52" Type="http://schemas.openxmlformats.org/officeDocument/2006/relationships/hyperlink" Target="https://www.sec.gov/Archives/edgar/data/1855644/000110465924050169/tm2412407d1_ex4-1.htm" TargetMode="External"/><Relationship Id="rId53" Type="http://schemas.openxmlformats.org/officeDocument/2006/relationships/hyperlink" Target="https://www.sec.gov/Archives/edgar/data/1855644/000110465924091602/tm2422174d1_ex4-1.htm" TargetMode="External"/><Relationship Id="rId54" Type="http://schemas.openxmlformats.org/officeDocument/2006/relationships/hyperlink" Target="https://www.sec.gov/Archives/edgar/data/1855644/000110465925036057/tm2512482d1_ex4-1.htm" TargetMode="External"/><Relationship Id="rId55" Type="http://schemas.openxmlformats.org/officeDocument/2006/relationships/hyperlink" Target="https://www.sec.gov/Archives/edgar/data/1855644/000110465926019827/tm267297d1_ex4-1.htm" TargetMode="External"/><Relationship Id="rId56" Type="http://schemas.openxmlformats.org/officeDocument/2006/relationships/hyperlink" Target="https://www.sec.gov/Archives/edgar/data/1855644/000110465926006326/tm263758d1_ex10-1.htm" TargetMode="External"/><Relationship Id="rId57" Type="http://schemas.openxmlformats.org/officeDocument/2006/relationships/hyperlink" Target="https://www.sec.gov/Archives/edgar/data/1855644/000110465926006326/tm26375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2026-05-07T06:37:33Z</dcterms:created>
  <dcterms:modified xsi:type="dcterms:W3CDTF">2026-05-07T06:37:33Z</dcterms:modified>
</cp:coreProperties>
</file>