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zura-20240630x10q.htm"/>
        <w:bookmarkStart w:id="1" w:name="kszura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75c56f9a_70bb_4a56_b5ec_3936a99b4775"/>
      <w:bookmarkEnd w:id="2"/>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60"/>
        <w:ind w:left="0" w:right="0" w:hanging="0"/>
        <w:jc w:val="both"/>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6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 One)</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 w:name="Tc_TVdpXZM-c0Kp4dWu2V5bMA_2_1"/>
      <w:bookmarkStart w:id="4" w:name="_586b5a43_a625_4a4e_972f_8ae424206286"/>
      <w:bookmarkStart w:id="5" w:name="Tc_TVdpXZM-c0Kp4dWu2V5bMA_2_1"/>
      <w:bookmarkStart w:id="6" w:name="_586b5a43_a625_4a4e_972f_8ae424206286"/>
      <w:bookmarkEnd w:id="5"/>
      <w:bookmarkEnd w:id="6"/>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6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6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QUARTERLY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7" w:name="Tc_2NcBVP1nu0-34VgFgKC6ew_2_1"/>
      <w:bookmarkStart w:id="8" w:name="_7603c0d5_8132_44eb_ac99_1d6809753408"/>
      <w:bookmarkStart w:id="9" w:name="Tc_2NcBVP1nu0-34VgFgKC6ew_2_1"/>
      <w:bookmarkStart w:id="10" w:name="_7603c0d5_8132_44eb_ac99_1d6809753408"/>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 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001-40598</w:t>
      </w:r>
    </w:p>
    <w:p>
      <w:pPr>
        <w:pStyle w:val="TextBody"/>
        <w:bidi w:val="0"/>
        <w:spacing w:before="0" w:after="0"/>
        <w:ind w:left="0" w:right="0" w:hanging="0"/>
        <w:jc w:val="center"/>
        <w:rPr>
          <w:rFonts w:ascii="Times New Roman;Times;serif" w:hAnsi="Times New Roman;Times;serif"/>
          <w:b/>
          <w:sz w:val="38"/>
        </w:rPr>
      </w:pPr>
      <w:r>
        <w:rPr>
          <w:rFonts w:ascii="Times New Roman;Times;serif" w:hAnsi="Times New Roman;Times;serif"/>
          <w:b/>
          <w:sz w:val="38"/>
        </w:rPr>
        <w:t>ZURA BIO LIMITED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9tJeDAXpB0y_ULUXOj5ezw_4_1"/>
      <w:bookmarkStart w:id="12" w:name="Tc_otG_uR_6eUKos025FvnAwg_4_0"/>
      <w:bookmarkStart w:id="13" w:name="Tc_mQFIEKCoyUWploi0VOA5EA_3_0"/>
      <w:bookmarkStart w:id="14" w:name="Tc_67zekJAWQk2CLZERJETI2Q_2_1"/>
      <w:bookmarkStart w:id="15" w:name="Tc_DMxWxTPwgk-aBNecIHqB2A_2_0"/>
      <w:bookmarkStart w:id="16" w:name="_634bf6b4_744c_43c5_afe3_e42dad2b94c6"/>
      <w:bookmarkStart w:id="17" w:name="Tc_9tJeDAXpB0y_ULUXOj5ezw_4_1"/>
      <w:bookmarkStart w:id="18" w:name="Tc_otG_uR_6eUKos025FvnAwg_4_0"/>
      <w:bookmarkStart w:id="19" w:name="Tc_mQFIEKCoyUWploi0VOA5EA_3_0"/>
      <w:bookmarkStart w:id="20" w:name="Tc_67zekJAWQk2CLZERJETI2Q_2_1"/>
      <w:bookmarkStart w:id="21" w:name="Tc_DMxWxTPwgk-aBNecIHqB2A_2_0"/>
      <w:bookmarkStart w:id="22" w:name="_634bf6b4_744c_43c5_afe3_e42dad2b94c6"/>
      <w:bookmarkEnd w:id="17"/>
      <w:bookmarkEnd w:id="18"/>
      <w:bookmarkEnd w:id="19"/>
      <w:bookmarkEnd w:id="20"/>
      <w:bookmarkEnd w:id="21"/>
      <w:bookmarkEnd w:id="22"/>
    </w:p>
    <w:tbl>
      <w:tblPr>
        <w:tblW w:w="4637" w:type="dxa"/>
        <w:jc w:val="left"/>
        <w:tblInd w:w="0" w:type="dxa"/>
        <w:tblLayout w:type="fixed"/>
        <w:tblCellMar>
          <w:top w:w="0" w:type="dxa"/>
          <w:left w:w="0" w:type="dxa"/>
          <w:bottom w:w="0" w:type="dxa"/>
          <w:right w:w="0" w:type="dxa"/>
        </w:tblCellMar>
      </w:tblPr>
      <w:tblGrid>
        <w:gridCol w:w="3076"/>
        <w:gridCol w:w="156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98-1725736</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15"/>
              <w:ind w:left="0" w:right="0" w:hanging="0"/>
              <w:jc w:val="center"/>
              <w:rPr>
                <w:rFonts w:ascii="Times New Roman;Times;serif" w:hAnsi="Times New Roman;Times;serif"/>
                <w:b/>
                <w:sz w:val="18"/>
              </w:rPr>
            </w:pPr>
            <w:r>
              <w:rPr>
                <w:rFonts w:ascii="Times New Roman;Times;serif" w:hAnsi="Times New Roman;Times;serif"/>
                <w:b/>
                <w:sz w:val="18"/>
              </w:rPr>
              <w:t>1489 W. Warm Springs Rd. #110</w:t>
            </w:r>
          </w:p>
          <w:p>
            <w:pPr>
              <w:pStyle w:val="TableContents"/>
              <w:bidi w:val="0"/>
              <w:spacing w:before="0" w:after="15"/>
              <w:ind w:left="0" w:right="0" w:hanging="0"/>
              <w:jc w:val="center"/>
              <w:rPr>
                <w:rFonts w:ascii="Times New Roman;Times;serif" w:hAnsi="Times New Roman;Times;serif"/>
                <w:sz w:val="20"/>
              </w:rPr>
            </w:pPr>
            <w:r>
              <w:rPr>
                <w:rFonts w:ascii="Times New Roman;Times;serif" w:hAnsi="Times New Roman;Times;serif"/>
                <w:b/>
                <w:sz w:val="18"/>
              </w:rPr>
              <w:t>Henderson, NV</w:t>
            </w:r>
            <w:r>
              <w:rPr>
                <w:rFonts w:ascii="Times New Roman;Times;serif" w:hAnsi="Times New Roman;Times;serif"/>
                <w:sz w:val="20"/>
              </w:rPr>
              <w:t xml:space="preserve">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89014</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(702) 757-6133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3" w:name="Tc_K-igOy8S2U6NnMUVMQOhlA_4_4"/>
      <w:bookmarkStart w:id="24" w:name="Tc_w7TrJsHXx0S_turOQCIItw_3_4"/>
      <w:bookmarkStart w:id="25" w:name="Tc_Df4CvwHhME-jgajWePPK6Q_2_4"/>
      <w:bookmarkStart w:id="26" w:name="Tc_SagvX2tpK0agxBUtHoL3TA_2_2"/>
      <w:bookmarkStart w:id="27" w:name="Tc_y2EsRjk9tki0D1avQxacNg_2_0"/>
      <w:bookmarkStart w:id="28" w:name="_65536a39_a34b_4cd0_8f43_3e0b530ddaaf"/>
      <w:bookmarkStart w:id="29" w:name="Tc_K-igOy8S2U6NnMUVMQOhlA_4_4"/>
      <w:bookmarkStart w:id="30" w:name="Tc_w7TrJsHXx0S_turOQCIItw_3_4"/>
      <w:bookmarkStart w:id="31" w:name="Tc_Df4CvwHhME-jgajWePPK6Q_2_4"/>
      <w:bookmarkStart w:id="32" w:name="Tc_SagvX2tpK0agxBUtHoL3TA_2_2"/>
      <w:bookmarkStart w:id="33" w:name="Tc_y2EsRjk9tki0D1avQxacNg_2_0"/>
      <w:bookmarkStart w:id="34" w:name="_65536a39_a34b_4cd0_8f43_3e0b530ddaaf"/>
      <w:bookmarkEnd w:id="29"/>
      <w:bookmarkEnd w:id="30"/>
      <w:bookmarkEnd w:id="31"/>
      <w:bookmarkEnd w:id="32"/>
      <w:bookmarkEnd w:id="33"/>
      <w:bookmarkEnd w:id="34"/>
    </w:p>
    <w:tbl>
      <w:tblPr>
        <w:tblW w:w="6715" w:type="dxa"/>
        <w:jc w:val="left"/>
        <w:tblInd w:w="0" w:type="dxa"/>
        <w:tblLayout w:type="fixed"/>
        <w:tblCellMar>
          <w:top w:w="0" w:type="dxa"/>
          <w:left w:w="0" w:type="dxa"/>
          <w:bottom w:w="0" w:type="dxa"/>
          <w:right w:w="0" w:type="dxa"/>
        </w:tblCellMar>
      </w:tblPr>
      <w:tblGrid>
        <w:gridCol w:w="1921"/>
        <w:gridCol w:w="326"/>
        <w:gridCol w:w="826"/>
        <w:gridCol w:w="326"/>
        <w:gridCol w:w="3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w:t>
            </w:r>
          </w:p>
        </w:tc>
        <w:tc>
          <w:tcPr>
            <w:tcW w:w="32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ZURA</w:t>
            </w:r>
          </w:p>
        </w:tc>
        <w:tc>
          <w:tcPr>
            <w:tcW w:w="326" w:type="dxa"/>
            <w:tcBorders/>
            <w:vAlign w:val="center"/>
          </w:tcPr>
          <w:p>
            <w:pPr>
              <w:pStyle w:val="TableContents"/>
              <w:bidi w:val="0"/>
              <w:spacing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Capital Market)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ZURAW</w:t>
            </w:r>
          </w:p>
        </w:tc>
        <w:tc>
          <w:tcPr>
            <w:tcW w:w="32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Capital Market)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5" w:name="Tc_I5QEYJWRjkaeFeT2nmlD_Q_5_0"/>
      <w:bookmarkStart w:id="36" w:name="Tc_2EFzpYXTUUCzKOj-9iwbhA_3_2"/>
      <w:bookmarkStart w:id="37" w:name="Tc_PKwzpoQ1Gk2k356B-_A0Eg_3_1"/>
      <w:bookmarkStart w:id="38" w:name="Tc_LIMHu-oJ2ECE92NOzszV-w_1_3"/>
      <w:bookmarkStart w:id="39" w:name="Tc_1nGHhb2uKE68HzL6tu6nLA_1_2"/>
      <w:bookmarkStart w:id="40" w:name="Tc_va6aP8-bOUa_w04Z0Dm0zQ_1_1"/>
      <w:bookmarkStart w:id="41" w:name="Tc_KLHm84DBdkiU8hYNlDZoUQ_1_0"/>
      <w:bookmarkStart w:id="42" w:name="_c31d41df_13be_4a2d_a0ba_bb27163e48f4"/>
      <w:bookmarkStart w:id="43" w:name="Tc_I5QEYJWRjkaeFeT2nmlD_Q_5_0"/>
      <w:bookmarkStart w:id="44" w:name="Tc_2EFzpYXTUUCzKOj-9iwbhA_3_2"/>
      <w:bookmarkStart w:id="45" w:name="Tc_PKwzpoQ1Gk2k356B-_A0Eg_3_1"/>
      <w:bookmarkStart w:id="46" w:name="Tc_LIMHu-oJ2ECE92NOzszV-w_1_3"/>
      <w:bookmarkStart w:id="47" w:name="Tc_1nGHhb2uKE68HzL6tu6nLA_1_2"/>
      <w:bookmarkStart w:id="48" w:name="Tc_va6aP8-bOUa_w04Z0Dm0zQ_1_1"/>
      <w:bookmarkStart w:id="49" w:name="Tc_KLHm84DBdkiU8hYNlDZoUQ_1_0"/>
      <w:bookmarkStart w:id="50" w:name="_c31d41df_13be_4a2d_a0ba_bb27163e48f4"/>
      <w:bookmarkEnd w:id="43"/>
      <w:bookmarkEnd w:id="44"/>
      <w:bookmarkEnd w:id="45"/>
      <w:bookmarkEnd w:id="46"/>
      <w:bookmarkEnd w:id="47"/>
      <w:bookmarkEnd w:id="48"/>
      <w:bookmarkEnd w:id="49"/>
      <w:bookmarkEnd w:id="50"/>
    </w:p>
    <w:tbl>
      <w:tblPr>
        <w:tblW w:w="4729" w:type="dxa"/>
        <w:jc w:val="left"/>
        <w:tblInd w:w="0" w:type="dxa"/>
        <w:tblLayout w:type="fixed"/>
        <w:tblCellMar>
          <w:top w:w="0" w:type="dxa"/>
          <w:left w:w="0" w:type="dxa"/>
          <w:bottom w:w="0" w:type="dxa"/>
          <w:right w:w="0" w:type="dxa"/>
        </w:tblCellMar>
      </w:tblPr>
      <w:tblGrid>
        <w:gridCol w:w="2041"/>
        <w:gridCol w:w="316"/>
        <w:gridCol w:w="2011"/>
        <w:gridCol w:w="36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As of August 13, 2024, the registrant had 67,207,088</w:t>
      </w:r>
      <w:r>
        <w:rPr>
          <w:rFonts w:ascii="Times New Roman;Times;serif" w:hAnsi="Times New Roman;Times;serif"/>
          <w:sz w:val="20"/>
        </w:rPr>
        <w:t xml:space="preserve"> </w:t>
      </w:r>
      <w:r>
        <w:rPr>
          <w:rFonts w:ascii="Times New Roman;Times;serif" w:hAnsi="Times New Roman;Times;serif"/>
          <w:sz w:val="16"/>
        </w:rPr>
        <w:t xml:space="preserve">Class A Ordinary Shares and </w:t>
      </w:r>
      <w:r>
        <w:rPr>
          <w:rFonts w:ascii="Times New Roman;Times;serif" w:hAnsi="Times New Roman;Times;serif"/>
          <w:b w:val="false"/>
          <w:i w:val="false"/>
          <w:caps w:val="false"/>
          <w:smallCaps w:val="false"/>
          <w:sz w:val="16"/>
        </w:rPr>
        <w:t>2,025,988</w:t>
      </w:r>
      <w:r>
        <w:rPr>
          <w:rFonts w:ascii="Times New Roman;Times;serif" w:hAnsi="Times New Roman;Times;serif"/>
          <w:sz w:val="20"/>
        </w:rPr>
        <w:t xml:space="preserve"> </w:t>
      </w:r>
      <w:r>
        <w:rPr>
          <w:rFonts w:ascii="Times New Roman;Times;serif" w:hAnsi="Times New Roman;Times;serif"/>
          <w:sz w:val="16"/>
        </w:rPr>
        <w:t>Public Warrants outstanding.</w:t>
      </w:r>
    </w:p>
    <w:p>
      <w:pPr>
        <w:pStyle w:val="TextBody"/>
        <w:bidi w:val="0"/>
        <w:spacing w:before="0" w:after="40"/>
        <w:ind w:left="0" w:right="0" w:hanging="0"/>
        <w:jc w:val="both"/>
        <w:rPr/>
      </w:pPr>
      <w:r>
        <w:rPr/>
        <w:t>​</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_69ec145c_5f6d_4761_ad11_63964d9ae430"/>
      <w:bookmarkStart w:id="52" w:name="TOC"/>
      <w:bookmarkEnd w:id="51"/>
      <w:bookmarkEnd w:id="5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76"/>
        <w:gridCol w:w="8392"/>
        <w:gridCol w:w="326"/>
        <w:gridCol w:w="51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8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328920" cy="29210"/>
                      <wp:effectExtent l="0" t="0" r="0" b="0"/>
                      <wp:wrapNone/>
                      <wp:docPr id="1" name="Frame1"/>
                      <a:graphic xmlns:a="http://schemas.openxmlformats.org/drawingml/2006/main">
                        <a:graphicData uri="http://schemas.microsoft.com/office/word/2010/wordprocessingShape">
                          <wps:wsp>
                            <wps:cNvSpPr txBox="1"/>
                            <wps:spPr>
                              <a:xfrm>
                                <a:off x="0" y="0"/>
                                <a:ext cx="5328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24485" cy="29210"/>
                      <wp:effectExtent l="0" t="0" r="0" b="0"/>
                      <wp:wrapNone/>
                      <wp:docPr id="2" name="Frame2"/>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8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76" w:type="dxa"/>
            <w:tcBorders/>
            <w:vAlign w:val="center"/>
          </w:tcPr>
          <w:p>
            <w:pPr>
              <w:pStyle w:val="TableContents"/>
              <w:bidi w:val="0"/>
              <w:spacing w:before="0" w:after="0"/>
              <w:ind w:left="0" w:right="0" w:hanging="0"/>
              <w:jc w:val="left"/>
              <w:rPr/>
            </w:pPr>
            <w:hyperlink w:anchor="PARTIFINANCIALINFORMATION_184627">
              <w:r>
                <w:rPr>
                  <w:rStyle w:val="InternetLink"/>
                  <w:rFonts w:ascii="Times New Roman;Times;serif" w:hAnsi="Times New Roman;Times;serif"/>
                  <w:b/>
                  <w:i w:val="false"/>
                  <w:caps w:val="false"/>
                  <w:smallCaps w:val="false"/>
                  <w:sz w:val="20"/>
                </w:rPr>
                <w:t>PART I</w:t>
              </w:r>
            </w:hyperlink>
          </w:p>
        </w:tc>
        <w:tc>
          <w:tcPr>
            <w:tcW w:w="8392" w:type="dxa"/>
            <w:tcBorders/>
            <w:vAlign w:val="center"/>
          </w:tcPr>
          <w:p>
            <w:pPr>
              <w:pStyle w:val="TableContents"/>
              <w:bidi w:val="0"/>
              <w:spacing w:before="0" w:after="0"/>
              <w:ind w:left="0" w:right="0" w:hanging="0"/>
              <w:jc w:val="left"/>
              <w:rPr/>
            </w:pPr>
            <w:hyperlink w:anchor="PARTIFINANCIALINFORMATION_184627">
              <w:r>
                <w:rPr>
                  <w:rStyle w:val="InternetLink"/>
                  <w:rFonts w:ascii="Times New Roman;Times;serif" w:hAnsi="Times New Roman;Times;serif"/>
                  <w:b w:val="false"/>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hyperlink w:anchor="Item1FinancialStatements_99631">
              <w:r>
                <w:rPr>
                  <w:rStyle w:val="InternetLink"/>
                  <w:rFonts w:ascii="Times New Roman;Times;serif" w:hAnsi="Times New Roman;Times;serif"/>
                  <w:b w:val="false"/>
                  <w:i w:val="false"/>
                  <w:caps w:val="false"/>
                  <w:smallCaps w:val="false"/>
                  <w:sz w:val="20"/>
                </w:rPr>
                <w:t>Item 1.</w:t>
              </w:r>
            </w:hyperlink>
          </w:p>
        </w:tc>
        <w:tc>
          <w:tcPr>
            <w:tcW w:w="8392" w:type="dxa"/>
            <w:tcBorders/>
            <w:vAlign w:val="center"/>
          </w:tcPr>
          <w:p>
            <w:pPr>
              <w:pStyle w:val="TableContents"/>
              <w:bidi w:val="0"/>
              <w:spacing w:before="0" w:after="0"/>
              <w:ind w:left="0" w:right="0" w:hanging="0"/>
              <w:jc w:val="left"/>
              <w:rPr/>
            </w:pPr>
            <w:hyperlink w:anchor="Item1FinancialStatements_99631">
              <w:r>
                <w:rPr>
                  <w:rStyle w:val="InternetLink"/>
                  <w:rFonts w:ascii="Times New Roman;Times;serif" w:hAnsi="Times New Roman;Times;serif"/>
                  <w:b w:val="false"/>
                  <w:i w:val="false"/>
                  <w:caps w:val="false"/>
                  <w:smallCaps w:val="false"/>
                  <w:sz w:val="20"/>
                </w:rPr>
                <w:t xml:space="preserve">Financial Statements </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CondensedConsolidatedBalanceSheets_20331">
              <w:r>
                <w:rPr>
                  <w:rStyle w:val="InternetLink"/>
                  <w:rFonts w:ascii="Times New Roman;Times;serif" w:hAnsi="Times New Roman;Times;serif"/>
                  <w:b w:val="false"/>
                  <w:i w:val="false"/>
                  <w:caps w:val="false"/>
                  <w:smallCaps w:val="false"/>
                  <w:sz w:val="20"/>
                </w:rPr>
                <w:t>Condensed Consolidated Balance Sheets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Convertible Preferred Shares, Redeemable Noncontrolling Interest and Shareholders’ Equity (Deficit)</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392"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7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392"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76" w:type="dxa"/>
            <w:tcBorders/>
            <w:vAlign w:val="center"/>
          </w:tcPr>
          <w:p>
            <w:pPr>
              <w:pStyle w:val="TableContents"/>
              <w:bidi w:val="0"/>
              <w:spacing w:before="0" w:after="0"/>
              <w:ind w:left="0" w:right="0" w:hanging="0"/>
              <w:jc w:val="left"/>
              <w:rPr/>
            </w:pPr>
            <w:hyperlink w:anchor="Item4ControlsandProcedures_48500">
              <w:r>
                <w:rPr>
                  <w:rStyle w:val="InternetLink"/>
                  <w:rFonts w:ascii="Times New Roman;Times;serif" w:hAnsi="Times New Roman;Times;serif"/>
                  <w:b w:val="false"/>
                  <w:i w:val="false"/>
                  <w:caps w:val="false"/>
                  <w:smallCaps w:val="false"/>
                  <w:sz w:val="20"/>
                </w:rPr>
                <w:t>Item 4.</w:t>
              </w:r>
            </w:hyperlink>
          </w:p>
        </w:tc>
        <w:tc>
          <w:tcPr>
            <w:tcW w:w="8392" w:type="dxa"/>
            <w:tcBorders/>
            <w:vAlign w:val="center"/>
          </w:tcPr>
          <w:p>
            <w:pPr>
              <w:pStyle w:val="TableContents"/>
              <w:bidi w:val="0"/>
              <w:spacing w:before="0" w:after="0"/>
              <w:ind w:left="0" w:right="0" w:hanging="0"/>
              <w:jc w:val="left"/>
              <w:rPr/>
            </w:pPr>
            <w:hyperlink w:anchor="Item4ControlsandProcedures_48500">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PARTII_944256">
              <w:r>
                <w:rPr>
                  <w:rStyle w:val="InternetLink"/>
                  <w:rFonts w:ascii="Times New Roman;Times;serif" w:hAnsi="Times New Roman;Times;serif"/>
                  <w:b/>
                  <w:i w:val="false"/>
                  <w:caps w:val="false"/>
                  <w:smallCaps w:val="false"/>
                  <w:sz w:val="20"/>
                </w:rPr>
                <w:t>PART II</w:t>
              </w:r>
            </w:hyperlink>
          </w:p>
        </w:tc>
        <w:tc>
          <w:tcPr>
            <w:tcW w:w="8392" w:type="dxa"/>
            <w:tcBorders/>
            <w:vAlign w:val="center"/>
          </w:tcPr>
          <w:p>
            <w:pPr>
              <w:pStyle w:val="TableContents"/>
              <w:bidi w:val="0"/>
              <w:spacing w:before="0" w:after="0"/>
              <w:ind w:left="0" w:right="0" w:hanging="0"/>
              <w:jc w:val="left"/>
              <w:rPr/>
            </w:pPr>
            <w:hyperlink w:anchor="PARTII_944256">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r>
              <w:rPr/>
              <w:t>​</w:t>
            </w:r>
          </w:p>
        </w:tc>
        <w:tc>
          <w:tcPr>
            <w:tcW w:w="8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LegalProceedings_331504">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 xml:space="preserve"> </w:t>
            </w:r>
          </w:p>
        </w:tc>
        <w:tc>
          <w:tcPr>
            <w:tcW w:w="8392" w:type="dxa"/>
            <w:tcBorders/>
            <w:vAlign w:val="center"/>
          </w:tcPr>
          <w:p>
            <w:pPr>
              <w:pStyle w:val="TableContents"/>
              <w:bidi w:val="0"/>
              <w:spacing w:before="0" w:after="0"/>
              <w:ind w:left="0" w:right="0" w:hanging="0"/>
              <w:jc w:val="left"/>
              <w:rPr/>
            </w:pPr>
            <w:hyperlink w:anchor="Item1LegalProceedings_331504">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1ARiskFactors_565755">
              <w:r>
                <w:rPr>
                  <w:rStyle w:val="InternetLink"/>
                  <w:rFonts w:ascii="Times New Roman;Times;serif" w:hAnsi="Times New Roman;Times;serif"/>
                  <w:b w:val="false"/>
                  <w:i w:val="false"/>
                  <w:caps w:val="false"/>
                  <w:smallCaps w:val="false"/>
                  <w:sz w:val="20"/>
                </w:rPr>
                <w:t>Item 1A.</w:t>
              </w:r>
            </w:hyperlink>
          </w:p>
        </w:tc>
        <w:tc>
          <w:tcPr>
            <w:tcW w:w="8392" w:type="dxa"/>
            <w:tcBorders/>
            <w:vAlign w:val="center"/>
          </w:tcPr>
          <w:p>
            <w:pPr>
              <w:pStyle w:val="TableContents"/>
              <w:bidi w:val="0"/>
              <w:spacing w:before="0" w:after="0"/>
              <w:ind w:left="0" w:right="0" w:hanging="0"/>
              <w:jc w:val="left"/>
              <w:rPr/>
            </w:pPr>
            <w:hyperlink w:anchor="Item1ARiskFactors_565755">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392"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3DefaultsuponSeniorSecurities_38855">
              <w:r>
                <w:rPr>
                  <w:rStyle w:val="InternetLink"/>
                  <w:rFonts w:ascii="Times New Roman;Times;serif" w:hAnsi="Times New Roman;Times;serif"/>
                  <w:b w:val="false"/>
                  <w:i w:val="false"/>
                  <w:caps w:val="false"/>
                  <w:smallCaps w:val="false"/>
                  <w:sz w:val="20"/>
                </w:rPr>
                <w:t>Item 3.</w:t>
              </w:r>
            </w:hyperlink>
          </w:p>
        </w:tc>
        <w:tc>
          <w:tcPr>
            <w:tcW w:w="8392" w:type="dxa"/>
            <w:tcBorders/>
            <w:vAlign w:val="center"/>
          </w:tcPr>
          <w:p>
            <w:pPr>
              <w:pStyle w:val="TableContents"/>
              <w:bidi w:val="0"/>
              <w:spacing w:before="0" w:after="0"/>
              <w:ind w:left="0" w:right="0" w:hanging="0"/>
              <w:jc w:val="left"/>
              <w:rPr/>
            </w:pPr>
            <w:hyperlink w:anchor="Item3DefaultsuponSeniorSecurities_38855">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4MineSafetyDisclosures_150335">
              <w:r>
                <w:rPr>
                  <w:rStyle w:val="InternetLink"/>
                  <w:rFonts w:ascii="Times New Roman;Times;serif" w:hAnsi="Times New Roman;Times;serif"/>
                  <w:b w:val="false"/>
                  <w:i w:val="false"/>
                  <w:caps w:val="false"/>
                  <w:smallCaps w:val="false"/>
                  <w:sz w:val="20"/>
                </w:rPr>
                <w:t>Item 4.</w:t>
              </w:r>
            </w:hyperlink>
          </w:p>
        </w:tc>
        <w:tc>
          <w:tcPr>
            <w:tcW w:w="8392" w:type="dxa"/>
            <w:tcBorders/>
            <w:vAlign w:val="center"/>
          </w:tcPr>
          <w:p>
            <w:pPr>
              <w:pStyle w:val="TableContents"/>
              <w:bidi w:val="0"/>
              <w:spacing w:before="0" w:after="0"/>
              <w:ind w:left="0" w:right="0" w:hanging="0"/>
              <w:jc w:val="left"/>
              <w:rPr/>
            </w:pPr>
            <w:hyperlink w:anchor="Item4MineSafetyDisclosures_150335">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5OtherInformation_142054">
              <w:r>
                <w:rPr>
                  <w:rStyle w:val="InternetLink"/>
                  <w:rFonts w:ascii="Times New Roman;Times;serif" w:hAnsi="Times New Roman;Times;serif"/>
                  <w:b w:val="false"/>
                  <w:i w:val="false"/>
                  <w:caps w:val="false"/>
                  <w:smallCaps w:val="false"/>
                  <w:sz w:val="20"/>
                </w:rPr>
                <w:t>Item 5.</w:t>
              </w:r>
            </w:hyperlink>
          </w:p>
        </w:tc>
        <w:tc>
          <w:tcPr>
            <w:tcW w:w="8392" w:type="dxa"/>
            <w:tcBorders/>
            <w:vAlign w:val="center"/>
          </w:tcPr>
          <w:p>
            <w:pPr>
              <w:pStyle w:val="TableContents"/>
              <w:bidi w:val="0"/>
              <w:spacing w:before="0" w:after="0"/>
              <w:ind w:left="0" w:right="0" w:hanging="0"/>
              <w:jc w:val="left"/>
              <w:rPr/>
            </w:pPr>
            <w:hyperlink w:anchor="Item5OtherInformation_142054">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hyperlink w:anchor="Item6Exhibits_101742">
              <w:r>
                <w:rPr>
                  <w:rStyle w:val="InternetLink"/>
                  <w:rFonts w:ascii="Times New Roman;Times;serif" w:hAnsi="Times New Roman;Times;serif"/>
                  <w:b w:val="false"/>
                  <w:i w:val="false"/>
                  <w:caps w:val="false"/>
                  <w:smallCaps w:val="false"/>
                  <w:sz w:val="20"/>
                </w:rPr>
                <w:t>Item 6.</w:t>
              </w:r>
            </w:hyperlink>
          </w:p>
        </w:tc>
        <w:tc>
          <w:tcPr>
            <w:tcW w:w="8392" w:type="dxa"/>
            <w:tcBorders/>
            <w:vAlign w:val="center"/>
          </w:tcPr>
          <w:p>
            <w:pPr>
              <w:pStyle w:val="TableContents"/>
              <w:bidi w:val="0"/>
              <w:spacing w:before="0" w:after="0"/>
              <w:ind w:left="0" w:right="0" w:hanging="0"/>
              <w:jc w:val="left"/>
              <w:rPr/>
            </w:pPr>
            <w:hyperlink w:anchor="Item6Exhibits_101742">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76" w:type="dxa"/>
            <w:tcBorders/>
            <w:vAlign w:val="center"/>
          </w:tcPr>
          <w:p>
            <w:pPr>
              <w:pStyle w:val="TableContents"/>
              <w:bidi w:val="0"/>
              <w:spacing w:before="0" w:after="0"/>
              <w:ind w:left="0" w:right="0" w:hanging="0"/>
              <w:jc w:val="left"/>
              <w:rPr/>
            </w:pPr>
            <w:hyperlink w:anchor="SIGNATURES_615896">
              <w:r>
                <w:rPr>
                  <w:rStyle w:val="InternetLink"/>
                  <w:rFonts w:ascii="Times New Roman;Times;serif" w:hAnsi="Times New Roman;Times;serif"/>
                  <w:b w:val="false"/>
                  <w:i w:val="false"/>
                  <w:caps w:val="false"/>
                  <w:smallCaps w:val="false"/>
                  <w:sz w:val="20"/>
                </w:rPr>
                <w:t>Signatures</w:t>
              </w:r>
            </w:hyperlink>
          </w:p>
        </w:tc>
        <w:tc>
          <w:tcPr>
            <w:tcW w:w="8392" w:type="dxa"/>
            <w:tcBorders/>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right"/>
              <w:rPr/>
            </w:pPr>
            <w:r>
              <w:rPr/>
              <w:t>​</w:t>
            </w:r>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_f15706b2_227f_4930_bbe2_1e0a1e599e4c"/>
      <w:bookmarkEnd w:id="53"/>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are based on the current expectations of the Company and its management thereof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product candidates and their related benefits, and our beliefs regarding competing product candidates and products both in development and approved, may not be achieved;</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and strategy may not be 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key events and initiation of our studies and release of clinical data may take longer than anticipated or may not be achieved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regarding the potential general acceptability and maintenance of our product candidates by regulatory authorities, payors, physicians, and patients may not be achieved;</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attract and retain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with respect to our future operating expenses, capital requirements and needs for additional financing may not be achieved;</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completed any clinical trials, and have no products approved for commercial sale;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since inception, and expect to incur significant losses for the foreseeable future and may not be able to achieve or sustain profitability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substantial additional capital to finance our operations, and if we are unable to raise such capital when needed or on acceptable terms, we may be forced to delay, reduce, and/or eliminate one or more of its development programs or future commercialization efforts;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renew existing contracts or enter into new contracts;</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contract development manufacturing organizations for the manufacture of clinical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 research organizations, clinical trial sites, and other third parties to conduct our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obtain regulatory approval for our product candidates, and there may be related restrictions or limitations of any approved products;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respond to general economic and geopolitical conditions;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effectively manage growth;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face competitive pressures from other companies worldwide; </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adequately protect our intellectual property rights; and</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set forth in documents filed, or to be filed, with the SEC.</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Additional discussion of the risks, uncertainties and other factors described above, as well as other risks material to our business, can be found under “Risk Factors” in Part I, Item 1A of our Annual Report on Form 10-K for the year ended December 31, 2023. </w:t>
      </w:r>
      <w:r>
        <w:rPr>
          <w:rFonts w:ascii="Times New Roman;Times;serif" w:hAnsi="Times New Roman;Times;serif"/>
          <w:sz w:val="20"/>
        </w:rPr>
        <w:t>We may not actually achieve the plans, intentions or expectations disclosed in our forward-looking statements. New risk factors emerge from time to time and it is not possible to predict all such risk factors, nor can Zura assess the impact of all such risk factors on the business of Zura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Forward-looking statements are not guarantees of performance. You should not put undue reliance on our forward-looking statements. Forward-looking statements, reflect the beliefs and opinions of Zura on the relevant subject. These statements are based upon information available to Zura as of the date of this Quarterly Report on Form 10-Q, and while Zura believes such information forms a reasonable basis for such statements, such information may be limited or incomplete, and statements should not be read to indicate that Zura has conducted an exhaustive inquiry into, or review of, all potentially available relevant information. All forward-looking statements attributable to Zura or persons acting on its behalf are expressly qualified in their entirety by the foregoing cautionary statements. Zura undertakes no obligations to update or revise publicly any forward-looking statements, whether as a result of new information, future events or otherwise, except as required by law.</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54" w:name="PARTIFINANCIALINFORMATION_184627"/>
      <w:bookmarkStart w:id="55" w:name="_6ad39532_ac59_4402_8b36_3db4b65fb3b8"/>
      <w:bookmarkEnd w:id="54"/>
      <w:bookmarkEnd w:id="55"/>
      <w:r>
        <w:rPr>
          <w:rFonts w:ascii="Times New Roman;Times;serif" w:hAnsi="Times New Roman;Times;serif"/>
          <w:b/>
          <w:sz w:val="20"/>
        </w:rPr>
        <w:t>PART I—FINANCIAL INFORMATION</w:t>
      </w:r>
    </w:p>
    <w:p>
      <w:pPr>
        <w:pStyle w:val="TextBody"/>
        <w:bidi w:val="0"/>
        <w:spacing w:before="0" w:after="240"/>
        <w:ind w:left="0" w:right="0" w:hanging="0"/>
        <w:jc w:val="both"/>
        <w:rPr>
          <w:rFonts w:ascii="Times New Roman;Times;serif" w:hAnsi="Times New Roman;Times;serif"/>
          <w:b/>
          <w:sz w:val="20"/>
        </w:rPr>
      </w:pPr>
      <w:bookmarkStart w:id="56" w:name="Item1FinancialStatements_99631"/>
      <w:bookmarkEnd w:id="56"/>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Zura Bio Limited</w:t>
      </w:r>
    </w:p>
    <w:p>
      <w:pPr>
        <w:pStyle w:val="TextBody"/>
        <w:bidi w:val="0"/>
        <w:spacing w:before="0" w:after="0"/>
        <w:ind w:left="0" w:right="0" w:hanging="0"/>
        <w:jc w:val="center"/>
        <w:rPr>
          <w:rFonts w:ascii="Times New Roman;Times;serif" w:hAnsi="Times New Roman;Times;serif"/>
          <w:b/>
          <w:sz w:val="20"/>
        </w:rPr>
      </w:pPr>
      <w:bookmarkStart w:id="57" w:name="CondensedConsolidatedBalanceSheets_20331"/>
      <w:bookmarkEnd w:id="57"/>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58" w:name="Tc_kRtR7vgRtE-HjPN16XVW6Q_31_5"/>
      <w:bookmarkStart w:id="59" w:name="Tc_pPF68ekb9kKnHTKUAIa9nA_31_2"/>
      <w:bookmarkStart w:id="60" w:name="Tc_NNfu_pSneEe9RJ-VbcsjVA_31_0"/>
      <w:bookmarkStart w:id="61" w:name="Tc_nc-BEAiF5U-CjacX0UeWIg_30_0"/>
      <w:bookmarkStart w:id="62" w:name="Tc_TB4q3NguxEeobU38MqDiaA_29_0"/>
      <w:bookmarkStart w:id="63" w:name="Tc_A6nvAV5bsUONfXd6_2gThQ_28_0"/>
      <w:bookmarkStart w:id="64" w:name="Tc_dpt8Fet4uUeaByKhcuzhNA_27_0"/>
      <w:bookmarkStart w:id="65" w:name="Tc_vXxDGa90ak6sTxEY8GbZPg_26_0"/>
      <w:bookmarkStart w:id="66" w:name="Tc_obWRF-Hw70WE-HiC5wz1eg_25_0"/>
      <w:bookmarkStart w:id="67" w:name="_ae502f96_cf28_4c2b_8b1e_f3133549f9d3_3"/>
      <w:bookmarkStart w:id="68" w:name="_ae502f96_cf28_4c2b_8b1e_f3133549f9d3_2"/>
      <w:bookmarkStart w:id="69" w:name="_ae502f96_cf28_4c2b_8b1e_f3133549f9d3"/>
      <w:bookmarkStart w:id="70" w:name="Tc_eXPvurrMCkehokgSTISR4Q_24_0"/>
      <w:bookmarkStart w:id="71" w:name="Tc_SG5i9j6GuUm4lr_bLFZwgQ_23_0"/>
      <w:bookmarkStart w:id="72" w:name="Tc_17z9Euf2y0u4W4rkQRd7zg_21_0"/>
      <w:bookmarkStart w:id="73" w:name="Tc_89e9eCxk80CmsA3NDhe4Cg_19_0"/>
      <w:bookmarkStart w:id="74" w:name="Tc_Dq2G4EoGGUi3DCBSMgLuXA_17_0"/>
      <w:bookmarkStart w:id="75" w:name="Tc_M4H0tJXzhkGxprIo32D1hw_16_0"/>
      <w:bookmarkStart w:id="76" w:name="Tc_W47ojJxH7E2s7jbVrDDLaQ_15_0"/>
      <w:bookmarkStart w:id="77" w:name="Tc_SMsA44dJH0GjH7fUVIcVPQ_14_5"/>
      <w:bookmarkStart w:id="78" w:name="Tc_6vufk2RcbEmtC0bgZXinuQ_14_2"/>
      <w:bookmarkStart w:id="79" w:name="Tc_aM6aH-BQCEW3qFYmVtdC7Q_14_0"/>
      <w:bookmarkStart w:id="80" w:name="Tc_HeZ8LFYOOkypBYEl3hOpmg_13_0"/>
      <w:bookmarkStart w:id="81" w:name="Tc_5rAN4rPmgU6PLkEN3VZh2A_12_0"/>
      <w:bookmarkStart w:id="82" w:name="Tc_LI-1r8yU_0ixxPL-2tuY2g_10_5"/>
      <w:bookmarkStart w:id="83" w:name="Tc_eLxSTqA0lE29sOZ4l2QA9A_10_2"/>
      <w:bookmarkStart w:id="84" w:name="Tc_4OIsxlhiD0W59u-VRiY2tQ_10_0"/>
      <w:bookmarkStart w:id="85" w:name="Tc_OLZw24zDl0-O1RWZ7HvJZw_9_6"/>
      <w:bookmarkStart w:id="86" w:name="Tc_PZI7dgcO_kGIdI0nBbTnQw_9_0"/>
      <w:bookmarkStart w:id="87" w:name="Tc_cx-8Fslff0eWgLlQGqRLug_8_0"/>
      <w:bookmarkStart w:id="88" w:name="Tc_8fu6EhzGCUiiYHIyIKkWqQ_7_0"/>
      <w:bookmarkStart w:id="89" w:name="Tc_6gjRLGG5o02Lh0Zhperv9g_6_5"/>
      <w:bookmarkStart w:id="90" w:name="Tc_dVxWnipK5kqXg7f2ntsySA_6_2"/>
      <w:bookmarkStart w:id="91" w:name="Tc_kT2ganJAVkSipo41s3IMPg_6_0"/>
      <w:bookmarkStart w:id="92" w:name="Tc_nfJr3uILr0G1m1imAflZSQ_5_0"/>
      <w:bookmarkStart w:id="93" w:name="Tc_7CbUOcKm2EieLw0TwkMe_Q_4_0"/>
      <w:bookmarkStart w:id="94" w:name="Tc_yaArScdauES_rKnYgAkM6A_3_2"/>
      <w:bookmarkStart w:id="95" w:name="Tc_Qi-6x17qCkK9j7tHXJQ86Q_2_5"/>
      <w:bookmarkStart w:id="96" w:name="Tc_iqtNBUIf1kaYDspfM9EZAg_2_2"/>
      <w:bookmarkStart w:id="97" w:name="Tc_X9bIlLKLaUaGaqGb1sPlgg_1_5"/>
      <w:bookmarkStart w:id="98" w:name="Tc_mJmZcSRDckmGytWkEP3Cpw_1_2"/>
      <w:bookmarkStart w:id="99" w:name="_e5f7411f_6674_4a27_98db_fd0d471e8f4b"/>
      <w:bookmarkStart w:id="100" w:name="Tc_kRtR7vgRtE-HjPN16XVW6Q_31_5"/>
      <w:bookmarkStart w:id="101" w:name="Tc_pPF68ekb9kKnHTKUAIa9nA_31_2"/>
      <w:bookmarkStart w:id="102" w:name="Tc_NNfu_pSneEe9RJ-VbcsjVA_31_0"/>
      <w:bookmarkStart w:id="103" w:name="Tc_nc-BEAiF5U-CjacX0UeWIg_30_0"/>
      <w:bookmarkStart w:id="104" w:name="Tc_TB4q3NguxEeobU38MqDiaA_29_0"/>
      <w:bookmarkStart w:id="105" w:name="Tc_A6nvAV5bsUONfXd6_2gThQ_28_0"/>
      <w:bookmarkStart w:id="106" w:name="Tc_dpt8Fet4uUeaByKhcuzhNA_27_0"/>
      <w:bookmarkStart w:id="107" w:name="Tc_vXxDGa90ak6sTxEY8GbZPg_26_0"/>
      <w:bookmarkStart w:id="108" w:name="Tc_obWRF-Hw70WE-HiC5wz1eg_25_0"/>
      <w:bookmarkStart w:id="109" w:name="_ae502f96_cf28_4c2b_8b1e_f3133549f9d3_3"/>
      <w:bookmarkStart w:id="110" w:name="_ae502f96_cf28_4c2b_8b1e_f3133549f9d3_2"/>
      <w:bookmarkStart w:id="111" w:name="_ae502f96_cf28_4c2b_8b1e_f3133549f9d3"/>
      <w:bookmarkStart w:id="112" w:name="Tc_eXPvurrMCkehokgSTISR4Q_24_0"/>
      <w:bookmarkStart w:id="113" w:name="Tc_SG5i9j6GuUm4lr_bLFZwgQ_23_0"/>
      <w:bookmarkStart w:id="114" w:name="Tc_17z9Euf2y0u4W4rkQRd7zg_21_0"/>
      <w:bookmarkStart w:id="115" w:name="Tc_89e9eCxk80CmsA3NDhe4Cg_19_0"/>
      <w:bookmarkStart w:id="116" w:name="Tc_Dq2G4EoGGUi3DCBSMgLuXA_17_0"/>
      <w:bookmarkStart w:id="117" w:name="Tc_M4H0tJXzhkGxprIo32D1hw_16_0"/>
      <w:bookmarkStart w:id="118" w:name="Tc_W47ojJxH7E2s7jbVrDDLaQ_15_0"/>
      <w:bookmarkStart w:id="119" w:name="Tc_SMsA44dJH0GjH7fUVIcVPQ_14_5"/>
      <w:bookmarkStart w:id="120" w:name="Tc_6vufk2RcbEmtC0bgZXinuQ_14_2"/>
      <w:bookmarkStart w:id="121" w:name="Tc_aM6aH-BQCEW3qFYmVtdC7Q_14_0"/>
      <w:bookmarkStart w:id="122" w:name="Tc_HeZ8LFYOOkypBYEl3hOpmg_13_0"/>
      <w:bookmarkStart w:id="123" w:name="Tc_5rAN4rPmgU6PLkEN3VZh2A_12_0"/>
      <w:bookmarkStart w:id="124" w:name="Tc_LI-1r8yU_0ixxPL-2tuY2g_10_5"/>
      <w:bookmarkStart w:id="125" w:name="Tc_eLxSTqA0lE29sOZ4l2QA9A_10_2"/>
      <w:bookmarkStart w:id="126" w:name="Tc_4OIsxlhiD0W59u-VRiY2tQ_10_0"/>
      <w:bookmarkStart w:id="127" w:name="Tc_OLZw24zDl0-O1RWZ7HvJZw_9_6"/>
      <w:bookmarkStart w:id="128" w:name="Tc_PZI7dgcO_kGIdI0nBbTnQw_9_0"/>
      <w:bookmarkStart w:id="129" w:name="Tc_cx-8Fslff0eWgLlQGqRLug_8_0"/>
      <w:bookmarkStart w:id="130" w:name="Tc_8fu6EhzGCUiiYHIyIKkWqQ_7_0"/>
      <w:bookmarkStart w:id="131" w:name="Tc_6gjRLGG5o02Lh0Zhperv9g_6_5"/>
      <w:bookmarkStart w:id="132" w:name="Tc_dVxWnipK5kqXg7f2ntsySA_6_2"/>
      <w:bookmarkStart w:id="133" w:name="Tc_kT2ganJAVkSipo41s3IMPg_6_0"/>
      <w:bookmarkStart w:id="134" w:name="Tc_nfJr3uILr0G1m1imAflZSQ_5_0"/>
      <w:bookmarkStart w:id="135" w:name="Tc_7CbUOcKm2EieLw0TwkMe_Q_4_0"/>
      <w:bookmarkStart w:id="136" w:name="Tc_yaArScdauES_rKnYgAkM6A_3_2"/>
      <w:bookmarkStart w:id="137" w:name="Tc_Qi-6x17qCkK9j7tHXJQ86Q_2_5"/>
      <w:bookmarkStart w:id="138" w:name="Tc_iqtNBUIf1kaYDspfM9EZAg_2_2"/>
      <w:bookmarkStart w:id="139" w:name="Tc_X9bIlLKLaUaGaqGb1sPlgg_1_5"/>
      <w:bookmarkStart w:id="140" w:name="Tc_mJmZcSRDckmGytWkEP3Cpw_1_2"/>
      <w:bookmarkStart w:id="141" w:name="_e5f7411f_6674_4a27_98db_fd0d471e8f4b"/>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7363"/>
        <w:gridCol w:w="326"/>
        <w:gridCol w:w="211"/>
        <w:gridCol w:w="861"/>
        <w:gridCol w:w="326"/>
        <w:gridCol w:w="211"/>
        <w:gridCol w:w="907"/>
      </w:tblGrid>
      <w:tr>
        <w:trPr/>
        <w:tc>
          <w:tcPr>
            <w:tcW w:w="7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75505" cy="175260"/>
                      <wp:effectExtent l="0" t="0" r="0" b="0"/>
                      <wp:wrapNone/>
                      <wp:docPr id="3" name="Frame3"/>
                      <a:graphic xmlns:a="http://schemas.openxmlformats.org/drawingml/2006/main">
                        <a:graphicData uri="http://schemas.microsoft.com/office/word/2010/wordprocessingShape">
                          <wps:wsp>
                            <wps:cNvSpPr txBox="1"/>
                            <wps:spPr>
                              <a:xfrm>
                                <a:off x="0" y="0"/>
                                <a:ext cx="4675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46735" cy="175260"/>
                      <wp:effectExtent l="0" t="0" r="0" b="0"/>
                      <wp:wrapNone/>
                      <wp:docPr id="6" name="Frame6"/>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75945" cy="175260"/>
                      <wp:effectExtent l="0" t="0" r="0" b="0"/>
                      <wp:wrapNone/>
                      <wp:docPr id="9" name="Frame9"/>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1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07" w:type="dxa"/>
            <w:tcBorders/>
            <w:vAlign w:val="center"/>
          </w:tcPr>
          <w:p>
            <w:pPr>
              <w:pStyle w:val="TableContents"/>
              <w:bidi w:val="0"/>
              <w:spacing w:before="0" w:after="1"/>
              <w:ind w:left="0" w:right="0" w:hanging="0"/>
              <w:jc w:val="center"/>
              <w:rPr/>
            </w:pPr>
            <w:r>
              <w:rPr/>
              <w:t>​</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7" w:type="dxa"/>
            <w:tcBorders/>
            <w:shd w:fill="CCEEFF" w:val="clear"/>
            <w:vAlign w:val="center"/>
          </w:tcPr>
          <w:p>
            <w:pPr>
              <w:pStyle w:val="TableContents"/>
              <w:bidi w:val="0"/>
              <w:spacing w:before="0" w:after="1"/>
              <w:ind w:left="0" w:right="0" w:hanging="0"/>
              <w:jc w:val="left"/>
              <w:rPr/>
            </w:pPr>
            <w:r>
              <w:rPr/>
              <w:t>​</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pPr>
            <w:r>
              <w:rPr/>
              <w:t>  </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188,443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99,806</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100,843</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100,843</w:t>
            </w:r>
          </w:p>
        </w:tc>
      </w:tr>
      <w:tr>
        <w:trPr/>
        <w:tc>
          <w:tcPr>
            <w:tcW w:w="73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pPr>
            <w:r>
              <w:rPr/>
              <w:t>​</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Redeemable Noncontrolling Interest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pPr>
            <w:r>
              <w:rPr/>
              <w:t>​</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pPr>
            <w:r>
              <w:rPr/>
              <w:t>​</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20,302</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20,302</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Private placement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21,292</w:t>
            </w:r>
          </w:p>
        </w:tc>
      </w:tr>
      <w:tr>
        <w:trPr/>
        <w:tc>
          <w:tcPr>
            <w:tcW w:w="736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pPr>
            <w:r>
              <w:rPr/>
              <w:t>​</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pPr>
            <w:r>
              <w:rPr/>
              <w:t>​</w:t>
            </w:r>
          </w:p>
        </w:tc>
      </w:tr>
      <w:tr>
        <w:trPr/>
        <w:tc>
          <w:tcPr>
            <w:tcW w:w="736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pPr>
            <w:r>
              <w:rPr/>
              <w:t>​</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18,680</w:t>
            </w:r>
          </w:p>
        </w:tc>
      </w:tr>
      <w:tr>
        <w:trPr/>
        <w:tc>
          <w:tcPr>
            <w:tcW w:w="736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pPr>
            <w:r>
              <w:rPr/>
              <w:t>​</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pPr>
            <w:r>
              <w:rPr/>
              <w:t>​</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shares, $0.0001 par value, 1,000,000 authorized as of June 30, 2024, and December 31, 2023; -0- issued and outstanding as of June 30, 2024, and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Class A Ordinary shares, $0.0001 par value, 300,000,000 shares authorized as of June 30, 2024 and December 31, 2023; 63,683,806 and 43,593,678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June 30, 2024 and December 31, 2023,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278,086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162,820</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(103,494)</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Zura Bio Limited shareholders’ equity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59,330</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w:t>
            </w:r>
          </w:p>
        </w:tc>
      </w:tr>
      <w:tr>
        <w:trPr/>
        <w:tc>
          <w:tcPr>
            <w:tcW w:w="736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shareholders’ equity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60,871</w:t>
            </w:r>
          </w:p>
        </w:tc>
      </w:tr>
      <w:tr>
        <w:trPr/>
        <w:tc>
          <w:tcPr>
            <w:tcW w:w="736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liabilities, redeemable noncontrolling interest and shareholders’ equity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100,843</w:t>
            </w:r>
          </w:p>
        </w:tc>
      </w:tr>
    </w:tbl>
    <w:p>
      <w:pPr>
        <w:pStyle w:val="TextBody"/>
        <w:bidi w:val="0"/>
        <w:spacing w:before="0" w:after="240"/>
        <w:ind w:left="0" w:right="0" w:firstLine="360"/>
        <w:jc w:val="both"/>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bookmarkStart w:id="142" w:name="_2d091a91_e923_43c2_8c39_dfa853edbc60"/>
      <w:bookmarkEnd w:id="142"/>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143" w:name="CondensedConsolidatedStatementsofOperati"/>
      <w:bookmarkEnd w:id="143"/>
      <w:r>
        <w:rPr>
          <w:rFonts w:ascii="Times New Roman;Times;serif" w:hAnsi="Times New Roman;Times;serif"/>
          <w:b/>
          <w:sz w:val="20"/>
        </w:rPr>
        <w:t>Condensed Consolidated Statements of Operations</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144" w:name="Tc_7VHQulzXrUuegVqDCVu0KQ_26_0"/>
      <w:bookmarkStart w:id="145" w:name="Tc_H-T_SFzFw0SdhOwON_p2cg_25_11"/>
      <w:bookmarkStart w:id="146" w:name="Tc_d4zpKNB5Q0mkgGBYkKa6Wg_25_8"/>
      <w:bookmarkStart w:id="147" w:name="Tc_qVwx5cnBWEyaqae_MFLG9w_25_5"/>
      <w:bookmarkStart w:id="148" w:name="Tc_grQ1tgAqCkK6zhYDo0IbAQ_25_2"/>
      <w:bookmarkStart w:id="149" w:name="Tc_LnNJ7xeLaE-Rg_ClgOsAxA_25_0"/>
      <w:bookmarkStart w:id="150" w:name="Tc_3nunixU7tEeT_TFcVabUqA_24_11"/>
      <w:bookmarkStart w:id="151" w:name="Tc_7Z0Xseu3u0KLYHDT-b5ZEg_24_8"/>
      <w:bookmarkStart w:id="152" w:name="Tc_Zv9MLdmHU0yWaSUlIBnFqw_24_5"/>
      <w:bookmarkStart w:id="153" w:name="Tc_-HfgQtLDC0qSA4sl1vwJsA_24_2"/>
      <w:bookmarkStart w:id="154" w:name="Tc_x0NyeSAg30mPYA20dzKgDQ_24_0"/>
      <w:bookmarkStart w:id="155" w:name="Tc_afOw9z_Ml0y-Qbj3q4BRpg_23_12"/>
      <w:bookmarkStart w:id="156" w:name="Tc_JnovF8nSh0-mfCn8Wk9nww_23_6"/>
      <w:bookmarkStart w:id="157" w:name="Tc_sdd6fp10Rk-neK4pdzgr_w_23_3"/>
      <w:bookmarkStart w:id="158" w:name="Tc_lIrG07FNe0a2IOruHYseog_23_0"/>
      <w:bookmarkStart w:id="159" w:name="Tc_PK8bBFiEUUuhhu1mYh262A_22_9"/>
      <w:bookmarkStart w:id="160" w:name="Tc_hloibI6bIUqVsJ6OYFKiJw_22_3"/>
      <w:bookmarkStart w:id="161" w:name="Tc_UDzsRoHZJ0GdeK5pCzmWtQ_22_0"/>
      <w:bookmarkStart w:id="162" w:name="Tc_-c1yLRbiIE2_cADcWPtsyQ_21_6"/>
      <w:bookmarkStart w:id="163" w:name="Tc_l16iGqGZ70qcxf3i0bcn3Q_21_0"/>
      <w:bookmarkStart w:id="164" w:name="Tc_UbUXtLmHMkeCSOixlfcElQ_20_0"/>
      <w:bookmarkStart w:id="165" w:name="Tc_tfSMqpR1jkeJ56oITa9mfw_19_9"/>
      <w:bookmarkStart w:id="166" w:name="Tc_WWKs-hUabUy5FDD9grslJw_19_6"/>
      <w:bookmarkStart w:id="167" w:name="Tc_TTLXGpmZ3km5TeeORClqXw_19_3"/>
      <w:bookmarkStart w:id="168" w:name="Tc_G3iIimvPvEmE_rs0aHoXBg_19_0"/>
      <w:bookmarkStart w:id="169" w:name="Tc_Sty8MfPMT0O3B5mbThtgIg_18_0"/>
      <w:bookmarkStart w:id="170" w:name="Tc_eyaarNASZUS9h0q5HbaqGw_17_0"/>
      <w:bookmarkStart w:id="171" w:name="Tc_NRIcqahGSkescGDj218kVw_16_0"/>
      <w:bookmarkStart w:id="172" w:name="Tc_o5DrAmoD_0euzRXgQQ5efQ_15_0"/>
      <w:bookmarkStart w:id="173" w:name="Tc_TFg0cdNqEkOAqSrUSh7spA_14_9"/>
      <w:bookmarkStart w:id="174" w:name="Tc_GjrtPh5BN0yDSuOv-M6khw_14_6"/>
      <w:bookmarkStart w:id="175" w:name="Tc_1-PVtGY1W0OE8F-Sr6trvg_14_3"/>
      <w:bookmarkStart w:id="176" w:name="Tc_7wT3DhiYPUWE3pu7hEPT8w_14_0"/>
      <w:bookmarkStart w:id="177" w:name="Tc_EmlixYs-jkOOf5Uu7R8Gog_13_0"/>
      <w:bookmarkStart w:id="178" w:name="Tc_dTZFU87xMEaZtEw3WFZAMw_12_9"/>
      <w:bookmarkStart w:id="179" w:name="Tc_1K8S50rQ4ESoK-SF7QB0zQ_12_3"/>
      <w:bookmarkStart w:id="180" w:name="Tc_8rY5f8Fa1EGhI5a_-EV7dA_12_0"/>
      <w:bookmarkStart w:id="181" w:name="Tc_10HiToLLyUu6ueniuogfkQ_11_6"/>
      <w:bookmarkStart w:id="182" w:name="Tc_vjfPjuatdUSRwW7bOxKFew_11_0"/>
      <w:bookmarkStart w:id="183" w:name="Tc_-6MWCsVsOE2303WQJ3V7OQ_10_0"/>
      <w:bookmarkStart w:id="184" w:name="Tc_64DNcqyY1E6aLui1udKJXw_9_0"/>
      <w:bookmarkStart w:id="185" w:name="Tc_dXH22WiUJUuYkuep1iGUiA_8_0"/>
      <w:bookmarkStart w:id="186" w:name="Tc_yDG0Rwy3YE6c-AVOz3sGrA_7_0"/>
      <w:bookmarkStart w:id="187" w:name="Tc_tA13GEf1YU20lD7LwQlgDg_6_0"/>
      <w:bookmarkStart w:id="188" w:name="Tc_h6mpLD_5xEWuXKt2mOgzxQ_5_11"/>
      <w:bookmarkStart w:id="189" w:name="Tc_IXrXu_oyMUedb4_R9r95Fg_5_8"/>
      <w:bookmarkStart w:id="190" w:name="Tc_fjDi7sfkdUKM3ezk-B2HnQ_5_5"/>
      <w:bookmarkStart w:id="191" w:name="Tc_ivcMHyBu5UmirIozufy29Q_5_2"/>
      <w:bookmarkStart w:id="192" w:name="Tc_cxXmiXWlBUS6qtYn7BY8uA_5_0"/>
      <w:bookmarkStart w:id="193" w:name="Tc_TuEUIHMC9kavIH3vZRHAFg_4_0"/>
      <w:bookmarkStart w:id="194" w:name="Tc_LeNTYO8ty0Sr-IdQbe6Ehg_3_11"/>
      <w:bookmarkStart w:id="195" w:name="Tc_VoNZxnL7wEK_TZa1p6SlLg_3_8"/>
      <w:bookmarkStart w:id="196" w:name="Tc_eTCPK2-q_kO-JIYueGnxsQ_3_5"/>
      <w:bookmarkStart w:id="197" w:name="Tc_2ri57SBhYk6lmOkwyRFZGA_3_2"/>
      <w:bookmarkStart w:id="198" w:name="Tc_aW32KhMgnkyIusYKROap3g_2_8"/>
      <w:bookmarkStart w:id="199" w:name="Tc_bB2Vi3F5CUuiL0fZ3xGjIQ_2_2"/>
      <w:bookmarkStart w:id="200" w:name="Tc_qdV7vm-ToE-BpjHgvXNxLw_1_8"/>
      <w:bookmarkStart w:id="201" w:name="Tc_80qbNEgORk6080tEnb10bA_1_2"/>
      <w:bookmarkStart w:id="202" w:name="_654e9950_05b0_4ce9_b06b_c2eb25a56e40"/>
      <w:bookmarkStart w:id="203" w:name="_b2604325_1678_42d7_ac7a_f4fad9a5d5df"/>
      <w:bookmarkStart w:id="204" w:name="Tc_7VHQulzXrUuegVqDCVu0KQ_26_0"/>
      <w:bookmarkStart w:id="205" w:name="Tc_H-T_SFzFw0SdhOwON_p2cg_25_11"/>
      <w:bookmarkStart w:id="206" w:name="Tc_d4zpKNB5Q0mkgGBYkKa6Wg_25_8"/>
      <w:bookmarkStart w:id="207" w:name="Tc_qVwx5cnBWEyaqae_MFLG9w_25_5"/>
      <w:bookmarkStart w:id="208" w:name="Tc_grQ1tgAqCkK6zhYDo0IbAQ_25_2"/>
      <w:bookmarkStart w:id="209" w:name="Tc_LnNJ7xeLaE-Rg_ClgOsAxA_25_0"/>
      <w:bookmarkStart w:id="210" w:name="Tc_3nunixU7tEeT_TFcVabUqA_24_11"/>
      <w:bookmarkStart w:id="211" w:name="Tc_7Z0Xseu3u0KLYHDT-b5ZEg_24_8"/>
      <w:bookmarkStart w:id="212" w:name="Tc_Zv9MLdmHU0yWaSUlIBnFqw_24_5"/>
      <w:bookmarkStart w:id="213" w:name="Tc_-HfgQtLDC0qSA4sl1vwJsA_24_2"/>
      <w:bookmarkStart w:id="214" w:name="Tc_x0NyeSAg30mPYA20dzKgDQ_24_0"/>
      <w:bookmarkStart w:id="215" w:name="Tc_afOw9z_Ml0y-Qbj3q4BRpg_23_12"/>
      <w:bookmarkStart w:id="216" w:name="Tc_JnovF8nSh0-mfCn8Wk9nww_23_6"/>
      <w:bookmarkStart w:id="217" w:name="Tc_sdd6fp10Rk-neK4pdzgr_w_23_3"/>
      <w:bookmarkStart w:id="218" w:name="Tc_lIrG07FNe0a2IOruHYseog_23_0"/>
      <w:bookmarkStart w:id="219" w:name="Tc_PK8bBFiEUUuhhu1mYh262A_22_9"/>
      <w:bookmarkStart w:id="220" w:name="Tc_hloibI6bIUqVsJ6OYFKiJw_22_3"/>
      <w:bookmarkStart w:id="221" w:name="Tc_UDzsRoHZJ0GdeK5pCzmWtQ_22_0"/>
      <w:bookmarkStart w:id="222" w:name="Tc_-c1yLRbiIE2_cADcWPtsyQ_21_6"/>
      <w:bookmarkStart w:id="223" w:name="Tc_l16iGqGZ70qcxf3i0bcn3Q_21_0"/>
      <w:bookmarkStart w:id="224" w:name="Tc_UbUXtLmHMkeCSOixlfcElQ_20_0"/>
      <w:bookmarkStart w:id="225" w:name="Tc_tfSMqpR1jkeJ56oITa9mfw_19_9"/>
      <w:bookmarkStart w:id="226" w:name="Tc_WWKs-hUabUy5FDD9grslJw_19_6"/>
      <w:bookmarkStart w:id="227" w:name="Tc_TTLXGpmZ3km5TeeORClqXw_19_3"/>
      <w:bookmarkStart w:id="228" w:name="Tc_G3iIimvPvEmE_rs0aHoXBg_19_0"/>
      <w:bookmarkStart w:id="229" w:name="Tc_Sty8MfPMT0O3B5mbThtgIg_18_0"/>
      <w:bookmarkStart w:id="230" w:name="Tc_eyaarNASZUS9h0q5HbaqGw_17_0"/>
      <w:bookmarkStart w:id="231" w:name="Tc_NRIcqahGSkescGDj218kVw_16_0"/>
      <w:bookmarkStart w:id="232" w:name="Tc_o5DrAmoD_0euzRXgQQ5efQ_15_0"/>
      <w:bookmarkStart w:id="233" w:name="Tc_TFg0cdNqEkOAqSrUSh7spA_14_9"/>
      <w:bookmarkStart w:id="234" w:name="Tc_GjrtPh5BN0yDSuOv-M6khw_14_6"/>
      <w:bookmarkStart w:id="235" w:name="Tc_1-PVtGY1W0OE8F-Sr6trvg_14_3"/>
      <w:bookmarkStart w:id="236" w:name="Tc_7wT3DhiYPUWE3pu7hEPT8w_14_0"/>
      <w:bookmarkStart w:id="237" w:name="Tc_EmlixYs-jkOOf5Uu7R8Gog_13_0"/>
      <w:bookmarkStart w:id="238" w:name="Tc_dTZFU87xMEaZtEw3WFZAMw_12_9"/>
      <w:bookmarkStart w:id="239" w:name="Tc_1K8S50rQ4ESoK-SF7QB0zQ_12_3"/>
      <w:bookmarkStart w:id="240" w:name="Tc_8rY5f8Fa1EGhI5a_-EV7dA_12_0"/>
      <w:bookmarkStart w:id="241" w:name="Tc_10HiToLLyUu6ueniuogfkQ_11_6"/>
      <w:bookmarkStart w:id="242" w:name="Tc_vjfPjuatdUSRwW7bOxKFew_11_0"/>
      <w:bookmarkStart w:id="243" w:name="Tc_-6MWCsVsOE2303WQJ3V7OQ_10_0"/>
      <w:bookmarkStart w:id="244" w:name="Tc_64DNcqyY1E6aLui1udKJXw_9_0"/>
      <w:bookmarkStart w:id="245" w:name="Tc_dXH22WiUJUuYkuep1iGUiA_8_0"/>
      <w:bookmarkStart w:id="246" w:name="Tc_yDG0Rwy3YE6c-AVOz3sGrA_7_0"/>
      <w:bookmarkStart w:id="247" w:name="Tc_tA13GEf1YU20lD7LwQlgDg_6_0"/>
      <w:bookmarkStart w:id="248" w:name="Tc_h6mpLD_5xEWuXKt2mOgzxQ_5_11"/>
      <w:bookmarkStart w:id="249" w:name="Tc_IXrXu_oyMUedb4_R9r95Fg_5_8"/>
      <w:bookmarkStart w:id="250" w:name="Tc_fjDi7sfkdUKM3ezk-B2HnQ_5_5"/>
      <w:bookmarkStart w:id="251" w:name="Tc_ivcMHyBu5UmirIozufy29Q_5_2"/>
      <w:bookmarkStart w:id="252" w:name="Tc_cxXmiXWlBUS6qtYn7BY8uA_5_0"/>
      <w:bookmarkStart w:id="253" w:name="Tc_TuEUIHMC9kavIH3vZRHAFg_4_0"/>
      <w:bookmarkStart w:id="254" w:name="Tc_LeNTYO8ty0Sr-IdQbe6Ehg_3_11"/>
      <w:bookmarkStart w:id="255" w:name="Tc_VoNZxnL7wEK_TZa1p6SlLg_3_8"/>
      <w:bookmarkStart w:id="256" w:name="Tc_eTCPK2-q_kO-JIYueGnxsQ_3_5"/>
      <w:bookmarkStart w:id="257" w:name="Tc_2ri57SBhYk6lmOkwyRFZGA_3_2"/>
      <w:bookmarkStart w:id="258" w:name="Tc_aW32KhMgnkyIusYKROap3g_2_8"/>
      <w:bookmarkStart w:id="259" w:name="Tc_bB2Vi3F5CUuiL0fZ3xGjIQ_2_2"/>
      <w:bookmarkStart w:id="260" w:name="Tc_qdV7vm-ToE-BpjHgvXNxLw_1_8"/>
      <w:bookmarkStart w:id="261" w:name="Tc_80qbNEgORk6080tEnb10bA_1_2"/>
      <w:bookmarkStart w:id="262" w:name="_654e9950_05b0_4ce9_b06b_c2eb25a56e40"/>
      <w:bookmarkStart w:id="263" w:name="_b2604325_1678_42d7_ac7a_f4fad9a5d5df"/>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tbl>
      <w:tblPr>
        <w:tblW w:w="10205" w:type="dxa"/>
        <w:jc w:val="left"/>
        <w:tblInd w:w="0" w:type="dxa"/>
        <w:tblLayout w:type="fixed"/>
        <w:tblCellMar>
          <w:top w:w="0" w:type="dxa"/>
          <w:left w:w="0" w:type="dxa"/>
          <w:bottom w:w="0" w:type="dxa"/>
          <w:right w:w="0" w:type="dxa"/>
        </w:tblCellMar>
      </w:tblPr>
      <w:tblGrid>
        <w:gridCol w:w="3808"/>
        <w:gridCol w:w="326"/>
        <w:gridCol w:w="211"/>
        <w:gridCol w:w="1036"/>
        <w:gridCol w:w="326"/>
        <w:gridCol w:w="211"/>
        <w:gridCol w:w="1036"/>
        <w:gridCol w:w="326"/>
        <w:gridCol w:w="211"/>
        <w:gridCol w:w="1036"/>
        <w:gridCol w:w="326"/>
        <w:gridCol w:w="211"/>
        <w:gridCol w:w="1141"/>
      </w:tblGrid>
      <w:tr>
        <w:trPr/>
        <w:tc>
          <w:tcPr>
            <w:tcW w:w="3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418080" cy="175260"/>
                      <wp:effectExtent l="0" t="0" r="0" b="0"/>
                      <wp:wrapNone/>
                      <wp:docPr id="10" name="Frame10"/>
                      <a:graphic xmlns:a="http://schemas.openxmlformats.org/drawingml/2006/main">
                        <a:graphicData uri="http://schemas.microsoft.com/office/word/2010/wordprocessingShape">
                          <wps:wsp>
                            <wps:cNvSpPr txBox="1"/>
                            <wps:spPr>
                              <a:xfrm>
                                <a:off x="0" y="0"/>
                                <a:ext cx="2418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7860" cy="175260"/>
                      <wp:effectExtent l="0" t="0" r="0" b="0"/>
                      <wp:wrapNone/>
                      <wp:docPr id="13"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57860" cy="175260"/>
                      <wp:effectExtent l="0" t="0" r="0" b="0"/>
                      <wp:wrapNone/>
                      <wp:docPr id="16"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57860" cy="175260"/>
                      <wp:effectExtent l="0" t="0" r="0" b="0"/>
                      <wp:wrapNone/>
                      <wp:docPr id="19" name="Frame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24535" cy="175260"/>
                      <wp:effectExtent l="0" t="0" r="0" b="0"/>
                      <wp:wrapNone/>
                      <wp:docPr id="22" name="Frame2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center"/>
              <w:rPr/>
            </w:pPr>
            <w:r>
              <w:rPr/>
              <w:t>​</w:t>
            </w:r>
          </w:p>
        </w:tc>
        <w:tc>
          <w:tcPr>
            <w:tcW w:w="29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38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w:t>
            </w:r>
          </w:p>
        </w:tc>
        <w:tc>
          <w:tcPr>
            <w:tcW w:w="29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8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33,114</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8,510</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41,624</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(41,624)</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(43,820)</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(43,820)</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(43,617)</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 to redemption value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Deemed dividend to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 of redeemable noncontrolling interest from redemption value to carrying value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Class A Ordinary Shareholders of Zura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(54,695)</w:t>
            </w:r>
          </w:p>
        </w:tc>
      </w:tr>
      <w:tr>
        <w:trPr/>
        <w:tc>
          <w:tcPr>
            <w:tcW w:w="38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Class A Ordinary Shareholders of Zura,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38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Class A Ordinary Shares used in computing net loss per share attributable to Class A Ordinary Shareholders of Zura,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74,947,369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34,303,125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60,930,956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19,012,464</w:t>
            </w:r>
          </w:p>
        </w:tc>
      </w:tr>
    </w:tbl>
    <w:p>
      <w:pPr>
        <w:pStyle w:val="TextBody"/>
        <w:bidi w:val="0"/>
        <w:spacing w:before="0" w:after="240"/>
        <w:ind w:left="0" w:right="0" w:hanging="0"/>
        <w:jc w:val="center"/>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64" w:name="_1982c896_e8fd_416f_8bd4_0fbb68985756"/>
      <w:bookmarkEnd w:id="264"/>
      <w:r>
        <w:rPr>
          <w:rFonts w:ascii="Times New Roman;Times;serif" w:hAnsi="Times New Roman;Times;serif"/>
          <w:b/>
          <w:sz w:val="20"/>
        </w:rPr>
        <w:t>Zura Bio Limited</w:t>
      </w:r>
    </w:p>
    <w:p>
      <w:pPr>
        <w:pStyle w:val="TextBody"/>
        <w:bidi w:val="0"/>
        <w:spacing w:before="0" w:after="0"/>
        <w:ind w:left="0" w:right="0" w:hanging="0"/>
        <w:jc w:val="center"/>
        <w:rPr>
          <w:rFonts w:ascii="Times New Roman;Times;serif" w:hAnsi="Times New Roman;Times;serif"/>
          <w:b/>
          <w:sz w:val="20"/>
        </w:rPr>
      </w:pPr>
      <w:bookmarkStart w:id="265" w:name="CondensedConsolidatedStatementsofChanges"/>
      <w:bookmarkEnd w:id="265"/>
      <w:r>
        <w:rPr>
          <w:rFonts w:ascii="Times New Roman;Times;serif" w:hAnsi="Times New Roman;Times;serif"/>
          <w:b/>
          <w:sz w:val="20"/>
        </w:rPr>
        <w:t>Condensed Consolidated Statements of Changes in Redeemable Noncontrolling Interest, Convertible Preferred Shares and Shareholders’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0" w:after="0"/>
        <w:jc w:val="left"/>
        <w:rPr>
          <w:sz w:val="4"/>
          <w:szCs w:val="4"/>
        </w:rPr>
      </w:pPr>
      <w:r>
        <w:rPr>
          <w:sz w:val="4"/>
          <w:szCs w:val="4"/>
        </w:rPr>
      </w:r>
      <w:bookmarkStart w:id="266" w:name="Tc_cesHTMU0xU2ouoNHca5I6g_30_25"/>
      <w:bookmarkStart w:id="267" w:name="Tc_lGICWVtk8kGV9DFVkPObLA_30_22"/>
      <w:bookmarkStart w:id="268" w:name="Tc_AW5epmtAMEGxPmLTedhL1g_30_19"/>
      <w:bookmarkStart w:id="269" w:name="Tc_LaRlnInA6kKfy2sOZwHurg_30_16"/>
      <w:bookmarkStart w:id="270" w:name="Tc_OMNNB2XK9keyN80zR4fKLw_30_13"/>
      <w:bookmarkStart w:id="271" w:name="Tc_DidOm2rHF0e8iC8ou8_KqA_30_8"/>
      <w:bookmarkStart w:id="272" w:name="Tc_HlL-7aUoYkmIY5SCE8zeqQ_30_7"/>
      <w:bookmarkStart w:id="273" w:name="Tc_5AsAafRiPESSDwwtLWqVfg_30_5"/>
      <w:bookmarkStart w:id="274" w:name="Tc_jR6orNGYXk2jkG4mjgDX_Q_30_2"/>
      <w:bookmarkStart w:id="275" w:name="Tc_6vcNnT4Pg0qvf53F1H6y3A_30_0"/>
      <w:bookmarkStart w:id="276" w:name="Tc_wAKbIlmDwkC0cIxirUuQRg_29_23"/>
      <w:bookmarkStart w:id="277" w:name="Tc_wZh-18xLrkewlRSHAsqgZg_29_17"/>
      <w:bookmarkStart w:id="278" w:name="Tc_1K9zp9EJmUOtod8pxqN9EA_29_14"/>
      <w:bookmarkStart w:id="279" w:name="Tc_qNXSqJixykCa45Clije3tA_29_11"/>
      <w:bookmarkStart w:id="280" w:name="Tc_tqaAfheM9kSDvzLcf4bThg_29_8"/>
      <w:bookmarkStart w:id="281" w:name="Tc_N5kAmwGDVka9_g2uIiwu5w_29_5"/>
      <w:bookmarkStart w:id="282" w:name="Tc_1FEFYEzgJUCr3C6WvBbDBQ_29_0"/>
      <w:bookmarkStart w:id="283" w:name="Tc_IZocZSHyIUaqiEGACQAV6w_28_20"/>
      <w:bookmarkStart w:id="284" w:name="Tc_LI16r-NL4EO0cC-E8zfDHw_28_17"/>
      <w:bookmarkStart w:id="285" w:name="Tc_iXtGIoiGg0a4LULn-8Yz7g_28_14"/>
      <w:bookmarkStart w:id="286" w:name="Tc_ANTVQ-piYU6TxRYhqWR8rQ_28_11"/>
      <w:bookmarkStart w:id="287" w:name="Tc_YOyrKwhLjE2t_558Jm6fEw_28_8"/>
      <w:bookmarkStart w:id="288" w:name="Tc_WnaF0PqQ902b7h6L9kTzNw_28_5"/>
      <w:bookmarkStart w:id="289" w:name="Tc_7iUhuOFOrkO5ey8wUINCXA_28_3"/>
      <w:bookmarkStart w:id="290" w:name="Tc_D_4C0iQhbEK2SJMJSLVAdA_28_0"/>
      <w:bookmarkStart w:id="291" w:name="Tc_CujUpPOMqUO_EMDgwu2ZIg_27_23"/>
      <w:bookmarkStart w:id="292" w:name="Tc_QvYFi-vVk0yC4ZLoEGR_DQ_27_17"/>
      <w:bookmarkStart w:id="293" w:name="Tc_Q-wIL8mmQkC1js42q7DSew_27_14"/>
      <w:bookmarkStart w:id="294" w:name="Tc_H_fNKbGUHE24RTV9RTXQUA_27_11"/>
      <w:bookmarkStart w:id="295" w:name="Tc_kPCk9336DkyLWlbGMm5TBQ_27_8"/>
      <w:bookmarkStart w:id="296" w:name="Tc_bCWf_GAld0-sFede2cLKVQ_27_5"/>
      <w:bookmarkStart w:id="297" w:name="Tc_x1Ie9vfgs0CsZ9_muYCsEg_27_0"/>
      <w:bookmarkStart w:id="298" w:name="Tc_y1YTp9isS0qFoLiRYYPr8Q_26_23"/>
      <w:bookmarkStart w:id="299" w:name="Tc_glrdnYfasEGUBr4KruxLQQ_26_17"/>
      <w:bookmarkStart w:id="300" w:name="Tc_lRGxZIsnw0q4NUXNBBJfXw_26_14"/>
      <w:bookmarkStart w:id="301" w:name="Tc_F2j5hclpOE2GyAIAZ7Xb2Q_26_11"/>
      <w:bookmarkStart w:id="302" w:name="Tc_PiqUZOFQJ0quQ-IX1sO9cg_26_8"/>
      <w:bookmarkStart w:id="303" w:name="Tc_M9P7kA7mHU2CMJymQwVZNw_26_5"/>
      <w:bookmarkStart w:id="304" w:name="Tc_KwWeuBPSNEWOxOVKojt93Q_26_0"/>
      <w:bookmarkStart w:id="305" w:name="Tc_EvjuNiV5HEyPC-_pgAusVg_25_23"/>
      <w:bookmarkStart w:id="306" w:name="Tc_Xsgx_ztRCEGJXIn7eax2Mg_25_20"/>
      <w:bookmarkStart w:id="307" w:name="Tc_3h7-5-3e5UCqWooaANaLBw_25_14"/>
      <w:bookmarkStart w:id="308" w:name="Tc_0bQTi2JNwkaW_QNX66A-oQ_25_11"/>
      <w:bookmarkStart w:id="309" w:name="Tc_VNOgSgsbrEuPiwAxEkzuiw_25_8"/>
      <w:bookmarkStart w:id="310" w:name="Tc_Z1RHyX3S90yMDYnDb1tJ3A_25_5"/>
      <w:bookmarkStart w:id="311" w:name="Tc_rXCDZM2zRUeLcm4iakZIWg_25_3"/>
      <w:bookmarkStart w:id="312" w:name="Tc_O6JPdkXMVkWUtGcXYzKPaQ_25_0"/>
      <w:bookmarkStart w:id="313" w:name="Tc_7JiXTLUglkKyROwSF48Kug_24_0"/>
      <w:bookmarkStart w:id="314" w:name="Tc_ap6lo_Hjj0GyL55uyWzruw_23_23"/>
      <w:bookmarkStart w:id="315" w:name="Tc_sBrqKV467kWW_nsqhQNjOw_23_20"/>
      <w:bookmarkStart w:id="316" w:name="Tc_i45iO3YKs0C9KJ9Gc9jGxg_23_14"/>
      <w:bookmarkStart w:id="317" w:name="Tc_zjSkBUs5OEOrMpJfu8czVQ_23_8"/>
      <w:bookmarkStart w:id="318" w:name="Tc_eSI5MtYy30q1fbEUGP_2iA_23_5"/>
      <w:bookmarkStart w:id="319" w:name="Tc_C9rJyzSqKkS2T46PCkiYiA_23_3"/>
      <w:bookmarkStart w:id="320" w:name="Tc_31LIDC3crUKUKbfCof6cfA_23_0"/>
      <w:bookmarkStart w:id="321" w:name="Tc_bHfrVY-wwUe4fnIyMl05Tw_22_23"/>
      <w:bookmarkStart w:id="322" w:name="Tc_DO7NZWIVA0CFVesiZ2isRQ_22_20"/>
      <w:bookmarkStart w:id="323" w:name="Tc__lzcMgKL5EOSxAcKyzLooQ_22_14"/>
      <w:bookmarkStart w:id="324" w:name="Tc_kAKPZYjwk0O4dVYL9WWsLw_22_11"/>
      <w:bookmarkStart w:id="325" w:name="Tc_kHyxG4YULkediMf-mK2nvg_22_8"/>
      <w:bookmarkStart w:id="326" w:name="Tc_fW-pKSoMO0mLx1mHJZhHkg_22_5"/>
      <w:bookmarkStart w:id="327" w:name="Tc_CtJUIJTg70WBgKBeruXXsA_22_3"/>
      <w:bookmarkStart w:id="328" w:name="Tc_IBG9IYhl_0OFZRse3AdWQg_22_0"/>
      <w:bookmarkStart w:id="329" w:name="Tc_lHT74yrXKkGR776h9dScUQ_21_23"/>
      <w:bookmarkStart w:id="330" w:name="Tc_IHn5Or6TS0CODyXgOrmTEw_21_20"/>
      <w:bookmarkStart w:id="331" w:name="Tc_CGS79UyQPEqbSPzkmPU4zA_21_8"/>
      <w:bookmarkStart w:id="332" w:name="Tc_1ostLNJvtUqKEYbJhw2ZAg_21_5"/>
      <w:bookmarkStart w:id="333" w:name="Tc_Di3DZjUlgU6VVidp5kwENw_21_3"/>
      <w:bookmarkStart w:id="334" w:name="Tc_97nQWn5AVkSHgcODpaR4rA_21_0"/>
      <w:bookmarkStart w:id="335" w:name="Tc_ADC0RBPuKUCS5nYeAR5eoA_20_23"/>
      <w:bookmarkStart w:id="336" w:name="Tc_4X0ldiC4UUS09OytVt8Kow_20_20"/>
      <w:bookmarkStart w:id="337" w:name="Tc_pOTjBwVr5kWHCVuOtuKxyA_20_14"/>
      <w:bookmarkStart w:id="338" w:name="Tc_J0j7ImZPj0WbVTZapCD_Ew_20_11"/>
      <w:bookmarkStart w:id="339" w:name="Tc_2d7_kpjtYk-9s4FhWcJ9zw_20_8"/>
      <w:bookmarkStart w:id="340" w:name="Tc_VYThq6_r5EGSAldaexCsew_20_5"/>
      <w:bookmarkStart w:id="341" w:name="Tc_Rn6VCf2uK0yhWAwGhdnWqg_20_3"/>
      <w:bookmarkStart w:id="342" w:name="Tc_pqfToeI5e0GJSK-znfZEWA_20_0"/>
      <w:bookmarkStart w:id="343" w:name="Tc_1KSwiMhfoEO7IAtOGl-u4w_19_23"/>
      <w:bookmarkStart w:id="344" w:name="Tc_jHPyFX3aEkyRt1BsEfqMlg_19_20"/>
      <w:bookmarkStart w:id="345" w:name="Tc_40z8NLLd2E2g8bLkRek7rQ_19_14"/>
      <w:bookmarkStart w:id="346" w:name="Tc_xb15NJGCH06JDRrfwwUhlw_19_8"/>
      <w:bookmarkStart w:id="347" w:name="Tc_R2pe-lO5ZkqdfSDv65bJGw_19_5"/>
      <w:bookmarkStart w:id="348" w:name="Tc_K_pk0o67VUqDksuUuE9IKw_19_3"/>
      <w:bookmarkStart w:id="349" w:name="Tc_4B3jySD1kEShCjxwXuvfhw_19_0"/>
      <w:bookmarkStart w:id="350" w:name="Tc_10sfSRnBXUmvronmbyibeQ_18_23"/>
      <w:bookmarkStart w:id="351" w:name="Tc_Uai3muDb4Ui0hlaMDtsHBQ_18_20"/>
      <w:bookmarkStart w:id="352" w:name="Tc_Zgf-Pfw_kkO6nz_JeVYqlw_18_8"/>
      <w:bookmarkStart w:id="353" w:name="Tc_5s7De22UZUCN3_h_tk294w_18_5"/>
      <w:bookmarkStart w:id="354" w:name="Tc_zXoDR_vORkiEadEjYLgP9w_18_3"/>
      <w:bookmarkStart w:id="355" w:name="Tc_hXy4AdVJ-EO2ie3x-5TNZg_18_0"/>
      <w:bookmarkStart w:id="356" w:name="Tc_IUvYBnchH0uDkN42TW9I6w_17_23"/>
      <w:bookmarkStart w:id="357" w:name="Tc_73XogwnoKEyoFiohnYp_8g_17_20"/>
      <w:bookmarkStart w:id="358" w:name="Tc_wZUT-lqgjE6kEltIqacArw_17_3"/>
      <w:bookmarkStart w:id="359" w:name="Tc_jv3IxTCS6kqEXY5DWb4btQ_17_0"/>
      <w:bookmarkStart w:id="360" w:name="Tc_y8T_uDGPDEOYIOHTS-Gbsg_16_26"/>
      <w:bookmarkStart w:id="361" w:name="Tc_6530HNXMT0-kuoFq4lFOtw_16_23"/>
      <w:bookmarkStart w:id="362" w:name="Tc_w5MsPXaB3k-_WcWwTm6VsQ_16_20"/>
      <w:bookmarkStart w:id="363" w:name="Tc_6zesnxZon0GbAACar80t2g_16_17"/>
      <w:bookmarkStart w:id="364" w:name="Tc_RZPZvQbgCkmuzkB8QZ6BYw_16_14"/>
      <w:bookmarkStart w:id="365" w:name="Tc_H2OQWQuQ3k6BK3wxa5R3YA_16_11"/>
      <w:bookmarkStart w:id="366" w:name="Tc_xW5rR32rAkapfAj0mkWRqg_16_3"/>
      <w:bookmarkStart w:id="367" w:name="Tc_pVPVRSnQ_0WLW4f-8HnFaA_16_0"/>
      <w:bookmarkStart w:id="368" w:name="Tc__zIwTepS3EWTDOARKvhP8w_14_25"/>
      <w:bookmarkStart w:id="369" w:name="Tc_FOr1D2vqk0mVoLpB0JyZaA_14_23"/>
      <w:bookmarkStart w:id="370" w:name="Tc_c3TCpKmc50SvkKjshjvRBg_14_22"/>
      <w:bookmarkStart w:id="371" w:name="Tc_Oc_OerqPbUuvoUOn7P7zXg_14_19"/>
      <w:bookmarkStart w:id="372" w:name="Tc_KUkY6pxD6kyI_cmCldkWQg_14_17"/>
      <w:bookmarkStart w:id="373" w:name="Tc_sxbNlZR6WEevOGvr_DJGOw_14_16"/>
      <w:bookmarkStart w:id="374" w:name="Tc_06pEFR-44k6eeyt9BXCfQw_14_14"/>
      <w:bookmarkStart w:id="375" w:name="Tc_J_WuWpJMFkajTdJuJBuGoQ_14_13"/>
      <w:bookmarkStart w:id="376" w:name="Tc_pZNc13gsWEmwue-0GT4DNA_14_7"/>
      <w:bookmarkStart w:id="377" w:name="Tc_1bIBb6NEtkGwqMPnIQtxGw_14_2"/>
      <w:bookmarkStart w:id="378" w:name="Tc_KWZD9HMTaEOIKytFPl6uDg_14_0"/>
      <w:bookmarkStart w:id="379" w:name="Tc_R18RG7Kq3EeRx_7Fh8jS0A_12_8"/>
      <w:bookmarkStart w:id="380" w:name="Tc_zBtptEKq40GNSEnmqqMuRg_12_5"/>
      <w:bookmarkStart w:id="381" w:name="Tc_ZYjM7nwhdkiUUoz7sXLadA_12_2"/>
      <w:bookmarkStart w:id="382" w:name="Tc_Nr_FP4ERn0qFNgm1M2oIxQ_12_0"/>
      <w:bookmarkStart w:id="383" w:name="Tc_atTcZ0mR_U6_hb67n6cyGQ_11_23"/>
      <w:bookmarkStart w:id="384" w:name="Tc_yuEyOPDxr0i49Ixd0kvmtQ_11_17"/>
      <w:bookmarkStart w:id="385" w:name="Tc_si0Vbb-OGkagrtYaoz8mEA_11_14"/>
      <w:bookmarkStart w:id="386" w:name="Tc_0a8JBPb7S0yKhPJQ5PTAjw_11_11"/>
      <w:bookmarkStart w:id="387" w:name="Tc_4B4GBLffHkGC4JTGbOIafg_11_8"/>
      <w:bookmarkStart w:id="388" w:name="Tc_36R72MP6YEO8yUGPNRi3dw_11_5"/>
      <w:bookmarkStart w:id="389" w:name="Tc_Sb3qs4CY-UGgoFG_Q7Smkw_11_3"/>
      <w:bookmarkStart w:id="390" w:name="Tc_z9b4v1flFEGBJzLY13oZIw_11_0"/>
      <w:bookmarkStart w:id="391" w:name="Tc_-16CGjDsqE2f1L3vXnL3Ew_10_23"/>
      <w:bookmarkStart w:id="392" w:name="Tc_9b8Xu2nJ-U6cb1dpceoecA_10_20"/>
      <w:bookmarkStart w:id="393" w:name="Tc_jYOFjXKms0epgOGDahhi5A_10_14"/>
      <w:bookmarkStart w:id="394" w:name="Tc_vkJiX9kWFE-3dN7rjRrqIQ_10_11"/>
      <w:bookmarkStart w:id="395" w:name="Tc_hpa90QKQeE6toIFqNHkejQ_10_8"/>
      <w:bookmarkStart w:id="396" w:name="Tc_S7Lb-2dhEUWBzANLeVxWhg_10_5"/>
      <w:bookmarkStart w:id="397" w:name="Tc_c9Sj8PR5P0aXBDAX8Qvk0w_10_0"/>
      <w:bookmarkStart w:id="398" w:name="Tc_8YR3qBrKM0ezKzm9MVb9vw_9_23"/>
      <w:bookmarkStart w:id="399" w:name="Tc_oJRjie8MQE2OT5BCa8hVDQ_9_20"/>
      <w:bookmarkStart w:id="400" w:name="Tc_k7In-J5PZkyE4GXk5aWNXA_9_14"/>
      <w:bookmarkStart w:id="401" w:name="Tc_KYnyQrlgAE-ZPkMPL8rb0w_9_11"/>
      <w:bookmarkStart w:id="402" w:name="Tc_ys7bzeY11EiywIeJlhpKRw_9_8"/>
      <w:bookmarkStart w:id="403" w:name="Tc_8Y8fg50uS0ilYSsT0vEUYg_9_5"/>
      <w:bookmarkStart w:id="404" w:name="Tc_rgzT2j3F00ClYYf-oUTn1w_9_0"/>
      <w:bookmarkStart w:id="405" w:name="Tc_YHXYTdCVdkeM0aCfU2c_dQ_8_23"/>
      <w:bookmarkStart w:id="406" w:name="Tc_L0cxTZr3oEyAzSU9S_TQVQ_8_20"/>
      <w:bookmarkStart w:id="407" w:name="Tc_kBLLGZhnrEu48phGzgRWqg_8_14"/>
      <w:bookmarkStart w:id="408" w:name="Tc__iyqCJC4a02-ghBilne8_w_8_11"/>
      <w:bookmarkStart w:id="409" w:name="Tc_VZmq7482YE6nAFCOwpRobw_8_8"/>
      <w:bookmarkStart w:id="410" w:name="Tc_bDs7OQz4B0Cr-dAlG7oN9g_8_5"/>
      <w:bookmarkStart w:id="411" w:name="Tc_LUZVRXqbI0iOWjnSpi74wA_8_3"/>
      <w:bookmarkStart w:id="412" w:name="Tc_9L3fnwH-0EaiiJzek6mokA_8_0"/>
      <w:bookmarkStart w:id="413" w:name="Tc_GZfy0zY5sUOgQpe6F2CvoQ_7_23"/>
      <w:bookmarkStart w:id="414" w:name="Tc_6jjeQbwlA0akOqviplHoRQ_7_20"/>
      <w:bookmarkStart w:id="415" w:name="Tc_yEIv0iSVt0OAdHIpXv1Gig_7_14"/>
      <w:bookmarkStart w:id="416" w:name="Tc_CDFx8diUfkOmFl1UigQAaw_7_11"/>
      <w:bookmarkStart w:id="417" w:name="Tc_JifuYD1Y9EKRZ1sW3FRYZg_7_8"/>
      <w:bookmarkStart w:id="418" w:name="Tc_FTEtGXwtH0-Cjgefu5RN3g_7_5"/>
      <w:bookmarkStart w:id="419" w:name="Tc_vH5VgLmCbEaUVpmkJy7CZw_7_3"/>
      <w:bookmarkStart w:id="420" w:name="Tc_NuXrsWm1bkiX-XXkEs5I3w_7_0"/>
      <w:bookmarkStart w:id="421" w:name="Tc_LG_S2N0VGU6kyH_VG0EChQ_6_23"/>
      <w:bookmarkStart w:id="422" w:name="Tc_RfT3qwXbAk-PQnYB0w83QQ_6_20"/>
      <w:bookmarkStart w:id="423" w:name="Tc_K4cjBEYeok6PLiaa0ckmGA_6_8"/>
      <w:bookmarkStart w:id="424" w:name="Tc_n8cPWK8hd0uK7k2VKEJ8Fw_6_5"/>
      <w:bookmarkStart w:id="425" w:name="Tc_4wMgpLlw10S154-nUd_83w_6_3"/>
      <w:bookmarkStart w:id="426" w:name="Tc_eRW1T0KosUGBm0ECnPQxIg_6_0"/>
      <w:bookmarkStart w:id="427" w:name="Tc_rQDXpqyHKEiXNxBfQkxJGg_4_8"/>
      <w:bookmarkStart w:id="428" w:name="Tc_35YZuao6fUm_EvtcYm-6nA_4_5"/>
      <w:bookmarkStart w:id="429" w:name="Tc_tRNSoNZJDE-ap6IIlola9Q_4_2"/>
      <w:bookmarkStart w:id="430" w:name="Tc_Curh7Y1ADkyMVhcWzst4_A_4_0"/>
      <w:bookmarkStart w:id="431" w:name="Tc_Y2zeZs54TkOGmJyogXYWKw_3_25"/>
      <w:bookmarkStart w:id="432" w:name="Tc_JnC_Q5WO70uACIH3Ng1A_A_3_22"/>
      <w:bookmarkStart w:id="433" w:name="Tc_MooizeCvD0O-aSurdWWnvA_3_19"/>
      <w:bookmarkStart w:id="434" w:name="Tc_X8IrfC93wkyuxbL9D9Rwag_3_16"/>
      <w:bookmarkStart w:id="435" w:name="Tc_bOgvqr3_SkyjwjnryC_Esw_3_13"/>
      <w:bookmarkStart w:id="436" w:name="Tc_Q-s2d2_D2E2QHkFOcGyJiA_3_11"/>
      <w:bookmarkStart w:id="437" w:name="Tc_GVMpKSGqC0Kl09U2DjHI5Q_3_7"/>
      <w:bookmarkStart w:id="438" w:name="Tc_s0mO9cOd_k2Jm5yYy2RMkw_3_5"/>
      <w:bookmarkStart w:id="439" w:name="Tc_ftYWCo-pMkmxxGVa6qJlhQ_3_2"/>
      <w:bookmarkStart w:id="440" w:name="Tc_EZ1UjSXjR0ms6TEMrtpL4Q_2_25"/>
      <w:bookmarkStart w:id="441" w:name="Tc_x-Tfcltj1kOmP9zK43M65g_2_22"/>
      <w:bookmarkStart w:id="442" w:name="Tc_xVsO5bjO0EyBHdkT3aO9ow_2_19"/>
      <w:bookmarkStart w:id="443" w:name="Tc_CEa1aUdGukGk3nGmuKQV8Q_2_16"/>
      <w:bookmarkStart w:id="444" w:name="Tc_kHrSgjIsOkqQviyLLUm9pw_2_11"/>
      <w:bookmarkStart w:id="445" w:name="Tc__E9ZctN8WUCwq1Ag0rdEfA_2_5"/>
      <w:bookmarkStart w:id="446" w:name="Tc_hK01qWt8qEW89e3I7-LJuA_2_2"/>
      <w:bookmarkStart w:id="447" w:name="Tc_DJk1diPBKEiVRGLZOpCZ1g_1_25"/>
      <w:bookmarkStart w:id="448" w:name="Tc_Jm4Eg6A2iEScfP5dgxkocQ_1_16"/>
      <w:bookmarkStart w:id="449" w:name="Tc_eZcMPnUG8UyGgCVgT7Qwiw_1_11"/>
      <w:bookmarkStart w:id="450" w:name="Tc_E92CbbqNaU2uU1fRSGymtQ_1_5"/>
      <w:bookmarkStart w:id="451" w:name="Tc_zrNbG436TUiTascLa86Fbg_1_2"/>
      <w:bookmarkStart w:id="452" w:name="_9500d7f2_42a4_4672_bc0d_d8271679dd14"/>
      <w:bookmarkStart w:id="453" w:name="Tc_cesHTMU0xU2ouoNHca5I6g_30_25"/>
      <w:bookmarkStart w:id="454" w:name="Tc_lGICWVtk8kGV9DFVkPObLA_30_22"/>
      <w:bookmarkStart w:id="455" w:name="Tc_AW5epmtAMEGxPmLTedhL1g_30_19"/>
      <w:bookmarkStart w:id="456" w:name="Tc_LaRlnInA6kKfy2sOZwHurg_30_16"/>
      <w:bookmarkStart w:id="457" w:name="Tc_OMNNB2XK9keyN80zR4fKLw_30_13"/>
      <w:bookmarkStart w:id="458" w:name="Tc_DidOm2rHF0e8iC8ou8_KqA_30_8"/>
      <w:bookmarkStart w:id="459" w:name="Tc_HlL-7aUoYkmIY5SCE8zeqQ_30_7"/>
      <w:bookmarkStart w:id="460" w:name="Tc_5AsAafRiPESSDwwtLWqVfg_30_5"/>
      <w:bookmarkStart w:id="461" w:name="Tc_jR6orNGYXk2jkG4mjgDX_Q_30_2"/>
      <w:bookmarkStart w:id="462" w:name="Tc_6vcNnT4Pg0qvf53F1H6y3A_30_0"/>
      <w:bookmarkStart w:id="463" w:name="Tc_wAKbIlmDwkC0cIxirUuQRg_29_23"/>
      <w:bookmarkStart w:id="464" w:name="Tc_wZh-18xLrkewlRSHAsqgZg_29_17"/>
      <w:bookmarkStart w:id="465" w:name="Tc_1K9zp9EJmUOtod8pxqN9EA_29_14"/>
      <w:bookmarkStart w:id="466" w:name="Tc_qNXSqJixykCa45Clije3tA_29_11"/>
      <w:bookmarkStart w:id="467" w:name="Tc_tqaAfheM9kSDvzLcf4bThg_29_8"/>
      <w:bookmarkStart w:id="468" w:name="Tc_N5kAmwGDVka9_g2uIiwu5w_29_5"/>
      <w:bookmarkStart w:id="469" w:name="Tc_1FEFYEzgJUCr3C6WvBbDBQ_29_0"/>
      <w:bookmarkStart w:id="470" w:name="Tc_IZocZSHyIUaqiEGACQAV6w_28_20"/>
      <w:bookmarkStart w:id="471" w:name="Tc_LI16r-NL4EO0cC-E8zfDHw_28_17"/>
      <w:bookmarkStart w:id="472" w:name="Tc_iXtGIoiGg0a4LULn-8Yz7g_28_14"/>
      <w:bookmarkStart w:id="473" w:name="Tc_ANTVQ-piYU6TxRYhqWR8rQ_28_11"/>
      <w:bookmarkStart w:id="474" w:name="Tc_YOyrKwhLjE2t_558Jm6fEw_28_8"/>
      <w:bookmarkStart w:id="475" w:name="Tc_WnaF0PqQ902b7h6L9kTzNw_28_5"/>
      <w:bookmarkStart w:id="476" w:name="Tc_7iUhuOFOrkO5ey8wUINCXA_28_3"/>
      <w:bookmarkStart w:id="477" w:name="Tc_D_4C0iQhbEK2SJMJSLVAdA_28_0"/>
      <w:bookmarkStart w:id="478" w:name="Tc_CujUpPOMqUO_EMDgwu2ZIg_27_23"/>
      <w:bookmarkStart w:id="479" w:name="Tc_QvYFi-vVk0yC4ZLoEGR_DQ_27_17"/>
      <w:bookmarkStart w:id="480" w:name="Tc_Q-wIL8mmQkC1js42q7DSew_27_14"/>
      <w:bookmarkStart w:id="481" w:name="Tc_H_fNKbGUHE24RTV9RTXQUA_27_11"/>
      <w:bookmarkStart w:id="482" w:name="Tc_kPCk9336DkyLWlbGMm5TBQ_27_8"/>
      <w:bookmarkStart w:id="483" w:name="Tc_bCWf_GAld0-sFede2cLKVQ_27_5"/>
      <w:bookmarkStart w:id="484" w:name="Tc_x1Ie9vfgs0CsZ9_muYCsEg_27_0"/>
      <w:bookmarkStart w:id="485" w:name="Tc_y1YTp9isS0qFoLiRYYPr8Q_26_23"/>
      <w:bookmarkStart w:id="486" w:name="Tc_glrdnYfasEGUBr4KruxLQQ_26_17"/>
      <w:bookmarkStart w:id="487" w:name="Tc_lRGxZIsnw0q4NUXNBBJfXw_26_14"/>
      <w:bookmarkStart w:id="488" w:name="Tc_F2j5hclpOE2GyAIAZ7Xb2Q_26_11"/>
      <w:bookmarkStart w:id="489" w:name="Tc_PiqUZOFQJ0quQ-IX1sO9cg_26_8"/>
      <w:bookmarkStart w:id="490" w:name="Tc_M9P7kA7mHU2CMJymQwVZNw_26_5"/>
      <w:bookmarkStart w:id="491" w:name="Tc_KwWeuBPSNEWOxOVKojt93Q_26_0"/>
      <w:bookmarkStart w:id="492" w:name="Tc_EvjuNiV5HEyPC-_pgAusVg_25_23"/>
      <w:bookmarkStart w:id="493" w:name="Tc_Xsgx_ztRCEGJXIn7eax2Mg_25_20"/>
      <w:bookmarkStart w:id="494" w:name="Tc_3h7-5-3e5UCqWooaANaLBw_25_14"/>
      <w:bookmarkStart w:id="495" w:name="Tc_0bQTi2JNwkaW_QNX66A-oQ_25_11"/>
      <w:bookmarkStart w:id="496" w:name="Tc_VNOgSgsbrEuPiwAxEkzuiw_25_8"/>
      <w:bookmarkStart w:id="497" w:name="Tc_Z1RHyX3S90yMDYnDb1tJ3A_25_5"/>
      <w:bookmarkStart w:id="498" w:name="Tc_rXCDZM2zRUeLcm4iakZIWg_25_3"/>
      <w:bookmarkStart w:id="499" w:name="Tc_O6JPdkXMVkWUtGcXYzKPaQ_25_0"/>
      <w:bookmarkStart w:id="500" w:name="Tc_7JiXTLUglkKyROwSF48Kug_24_0"/>
      <w:bookmarkStart w:id="501" w:name="Tc_ap6lo_Hjj0GyL55uyWzruw_23_23"/>
      <w:bookmarkStart w:id="502" w:name="Tc_sBrqKV467kWW_nsqhQNjOw_23_20"/>
      <w:bookmarkStart w:id="503" w:name="Tc_i45iO3YKs0C9KJ9Gc9jGxg_23_14"/>
      <w:bookmarkStart w:id="504" w:name="Tc_zjSkBUs5OEOrMpJfu8czVQ_23_8"/>
      <w:bookmarkStart w:id="505" w:name="Tc_eSI5MtYy30q1fbEUGP_2iA_23_5"/>
      <w:bookmarkStart w:id="506" w:name="Tc_C9rJyzSqKkS2T46PCkiYiA_23_3"/>
      <w:bookmarkStart w:id="507" w:name="Tc_31LIDC3crUKUKbfCof6cfA_23_0"/>
      <w:bookmarkStart w:id="508" w:name="Tc_bHfrVY-wwUe4fnIyMl05Tw_22_23"/>
      <w:bookmarkStart w:id="509" w:name="Tc_DO7NZWIVA0CFVesiZ2isRQ_22_20"/>
      <w:bookmarkStart w:id="510" w:name="Tc__lzcMgKL5EOSxAcKyzLooQ_22_14"/>
      <w:bookmarkStart w:id="511" w:name="Tc_kAKPZYjwk0O4dVYL9WWsLw_22_11"/>
      <w:bookmarkStart w:id="512" w:name="Tc_kHyxG4YULkediMf-mK2nvg_22_8"/>
      <w:bookmarkStart w:id="513" w:name="Tc_fW-pKSoMO0mLx1mHJZhHkg_22_5"/>
      <w:bookmarkStart w:id="514" w:name="Tc_CtJUIJTg70WBgKBeruXXsA_22_3"/>
      <w:bookmarkStart w:id="515" w:name="Tc_IBG9IYhl_0OFZRse3AdWQg_22_0"/>
      <w:bookmarkStart w:id="516" w:name="Tc_lHT74yrXKkGR776h9dScUQ_21_23"/>
      <w:bookmarkStart w:id="517" w:name="Tc_IHn5Or6TS0CODyXgOrmTEw_21_20"/>
      <w:bookmarkStart w:id="518" w:name="Tc_CGS79UyQPEqbSPzkmPU4zA_21_8"/>
      <w:bookmarkStart w:id="519" w:name="Tc_1ostLNJvtUqKEYbJhw2ZAg_21_5"/>
      <w:bookmarkStart w:id="520" w:name="Tc_Di3DZjUlgU6VVidp5kwENw_21_3"/>
      <w:bookmarkStart w:id="521" w:name="Tc_97nQWn5AVkSHgcODpaR4rA_21_0"/>
      <w:bookmarkStart w:id="522" w:name="Tc_ADC0RBPuKUCS5nYeAR5eoA_20_23"/>
      <w:bookmarkStart w:id="523" w:name="Tc_4X0ldiC4UUS09OytVt8Kow_20_20"/>
      <w:bookmarkStart w:id="524" w:name="Tc_pOTjBwVr5kWHCVuOtuKxyA_20_14"/>
      <w:bookmarkStart w:id="525" w:name="Tc_J0j7ImZPj0WbVTZapCD_Ew_20_11"/>
      <w:bookmarkStart w:id="526" w:name="Tc_2d7_kpjtYk-9s4FhWcJ9zw_20_8"/>
      <w:bookmarkStart w:id="527" w:name="Tc_VYThq6_r5EGSAldaexCsew_20_5"/>
      <w:bookmarkStart w:id="528" w:name="Tc_Rn6VCf2uK0yhWAwGhdnWqg_20_3"/>
      <w:bookmarkStart w:id="529" w:name="Tc_pqfToeI5e0GJSK-znfZEWA_20_0"/>
      <w:bookmarkStart w:id="530" w:name="Tc_1KSwiMhfoEO7IAtOGl-u4w_19_23"/>
      <w:bookmarkStart w:id="531" w:name="Tc_jHPyFX3aEkyRt1BsEfqMlg_19_20"/>
      <w:bookmarkStart w:id="532" w:name="Tc_40z8NLLd2E2g8bLkRek7rQ_19_14"/>
      <w:bookmarkStart w:id="533" w:name="Tc_xb15NJGCH06JDRrfwwUhlw_19_8"/>
      <w:bookmarkStart w:id="534" w:name="Tc_R2pe-lO5ZkqdfSDv65bJGw_19_5"/>
      <w:bookmarkStart w:id="535" w:name="Tc_K_pk0o67VUqDksuUuE9IKw_19_3"/>
      <w:bookmarkStart w:id="536" w:name="Tc_4B3jySD1kEShCjxwXuvfhw_19_0"/>
      <w:bookmarkStart w:id="537" w:name="Tc_10sfSRnBXUmvronmbyibeQ_18_23"/>
      <w:bookmarkStart w:id="538" w:name="Tc_Uai3muDb4Ui0hlaMDtsHBQ_18_20"/>
      <w:bookmarkStart w:id="539" w:name="Tc_Zgf-Pfw_kkO6nz_JeVYqlw_18_8"/>
      <w:bookmarkStart w:id="540" w:name="Tc_5s7De22UZUCN3_h_tk294w_18_5"/>
      <w:bookmarkStart w:id="541" w:name="Tc_zXoDR_vORkiEadEjYLgP9w_18_3"/>
      <w:bookmarkStart w:id="542" w:name="Tc_hXy4AdVJ-EO2ie3x-5TNZg_18_0"/>
      <w:bookmarkStart w:id="543" w:name="Tc_IUvYBnchH0uDkN42TW9I6w_17_23"/>
      <w:bookmarkStart w:id="544" w:name="Tc_73XogwnoKEyoFiohnYp_8g_17_20"/>
      <w:bookmarkStart w:id="545" w:name="Tc_wZUT-lqgjE6kEltIqacArw_17_3"/>
      <w:bookmarkStart w:id="546" w:name="Tc_jv3IxTCS6kqEXY5DWb4btQ_17_0"/>
      <w:bookmarkStart w:id="547" w:name="Tc_y8T_uDGPDEOYIOHTS-Gbsg_16_26"/>
      <w:bookmarkStart w:id="548" w:name="Tc_6530HNXMT0-kuoFq4lFOtw_16_23"/>
      <w:bookmarkStart w:id="549" w:name="Tc_w5MsPXaB3k-_WcWwTm6VsQ_16_20"/>
      <w:bookmarkStart w:id="550" w:name="Tc_6zesnxZon0GbAACar80t2g_16_17"/>
      <w:bookmarkStart w:id="551" w:name="Tc_RZPZvQbgCkmuzkB8QZ6BYw_16_14"/>
      <w:bookmarkStart w:id="552" w:name="Tc_H2OQWQuQ3k6BK3wxa5R3YA_16_11"/>
      <w:bookmarkStart w:id="553" w:name="Tc_xW5rR32rAkapfAj0mkWRqg_16_3"/>
      <w:bookmarkStart w:id="554" w:name="Tc_pVPVRSnQ_0WLW4f-8HnFaA_16_0"/>
      <w:bookmarkStart w:id="555" w:name="Tc__zIwTepS3EWTDOARKvhP8w_14_25"/>
      <w:bookmarkStart w:id="556" w:name="Tc_FOr1D2vqk0mVoLpB0JyZaA_14_23"/>
      <w:bookmarkStart w:id="557" w:name="Tc_c3TCpKmc50SvkKjshjvRBg_14_22"/>
      <w:bookmarkStart w:id="558" w:name="Tc_Oc_OerqPbUuvoUOn7P7zXg_14_19"/>
      <w:bookmarkStart w:id="559" w:name="Tc_KUkY6pxD6kyI_cmCldkWQg_14_17"/>
      <w:bookmarkStart w:id="560" w:name="Tc_sxbNlZR6WEevOGvr_DJGOw_14_16"/>
      <w:bookmarkStart w:id="561" w:name="Tc_06pEFR-44k6eeyt9BXCfQw_14_14"/>
      <w:bookmarkStart w:id="562" w:name="Tc_J_WuWpJMFkajTdJuJBuGoQ_14_13"/>
      <w:bookmarkStart w:id="563" w:name="Tc_pZNc13gsWEmwue-0GT4DNA_14_7"/>
      <w:bookmarkStart w:id="564" w:name="Tc_1bIBb6NEtkGwqMPnIQtxGw_14_2"/>
      <w:bookmarkStart w:id="565" w:name="Tc_KWZD9HMTaEOIKytFPl6uDg_14_0"/>
      <w:bookmarkStart w:id="566" w:name="Tc_R18RG7Kq3EeRx_7Fh8jS0A_12_8"/>
      <w:bookmarkStart w:id="567" w:name="Tc_zBtptEKq40GNSEnmqqMuRg_12_5"/>
      <w:bookmarkStart w:id="568" w:name="Tc_ZYjM7nwhdkiUUoz7sXLadA_12_2"/>
      <w:bookmarkStart w:id="569" w:name="Tc_Nr_FP4ERn0qFNgm1M2oIxQ_12_0"/>
      <w:bookmarkStart w:id="570" w:name="Tc_atTcZ0mR_U6_hb67n6cyGQ_11_23"/>
      <w:bookmarkStart w:id="571" w:name="Tc_yuEyOPDxr0i49Ixd0kvmtQ_11_17"/>
      <w:bookmarkStart w:id="572" w:name="Tc_si0Vbb-OGkagrtYaoz8mEA_11_14"/>
      <w:bookmarkStart w:id="573" w:name="Tc_0a8JBPb7S0yKhPJQ5PTAjw_11_11"/>
      <w:bookmarkStart w:id="574" w:name="Tc_4B4GBLffHkGC4JTGbOIafg_11_8"/>
      <w:bookmarkStart w:id="575" w:name="Tc_36R72MP6YEO8yUGPNRi3dw_11_5"/>
      <w:bookmarkStart w:id="576" w:name="Tc_Sb3qs4CY-UGgoFG_Q7Smkw_11_3"/>
      <w:bookmarkStart w:id="577" w:name="Tc_z9b4v1flFEGBJzLY13oZIw_11_0"/>
      <w:bookmarkStart w:id="578" w:name="Tc_-16CGjDsqE2f1L3vXnL3Ew_10_23"/>
      <w:bookmarkStart w:id="579" w:name="Tc_9b8Xu2nJ-U6cb1dpceoecA_10_20"/>
      <w:bookmarkStart w:id="580" w:name="Tc_jYOFjXKms0epgOGDahhi5A_10_14"/>
      <w:bookmarkStart w:id="581" w:name="Tc_vkJiX9kWFE-3dN7rjRrqIQ_10_11"/>
      <w:bookmarkStart w:id="582" w:name="Tc_hpa90QKQeE6toIFqNHkejQ_10_8"/>
      <w:bookmarkStart w:id="583" w:name="Tc_S7Lb-2dhEUWBzANLeVxWhg_10_5"/>
      <w:bookmarkStart w:id="584" w:name="Tc_c9Sj8PR5P0aXBDAX8Qvk0w_10_0"/>
      <w:bookmarkStart w:id="585" w:name="Tc_8YR3qBrKM0ezKzm9MVb9vw_9_23"/>
      <w:bookmarkStart w:id="586" w:name="Tc_oJRjie8MQE2OT5BCa8hVDQ_9_20"/>
      <w:bookmarkStart w:id="587" w:name="Tc_k7In-J5PZkyE4GXk5aWNXA_9_14"/>
      <w:bookmarkStart w:id="588" w:name="Tc_KYnyQrlgAE-ZPkMPL8rb0w_9_11"/>
      <w:bookmarkStart w:id="589" w:name="Tc_ys7bzeY11EiywIeJlhpKRw_9_8"/>
      <w:bookmarkStart w:id="590" w:name="Tc_8Y8fg50uS0ilYSsT0vEUYg_9_5"/>
      <w:bookmarkStart w:id="591" w:name="Tc_rgzT2j3F00ClYYf-oUTn1w_9_0"/>
      <w:bookmarkStart w:id="592" w:name="Tc_YHXYTdCVdkeM0aCfU2c_dQ_8_23"/>
      <w:bookmarkStart w:id="593" w:name="Tc_L0cxTZr3oEyAzSU9S_TQVQ_8_20"/>
      <w:bookmarkStart w:id="594" w:name="Tc_kBLLGZhnrEu48phGzgRWqg_8_14"/>
      <w:bookmarkStart w:id="595" w:name="Tc__iyqCJC4a02-ghBilne8_w_8_11"/>
      <w:bookmarkStart w:id="596" w:name="Tc_VZmq7482YE6nAFCOwpRobw_8_8"/>
      <w:bookmarkStart w:id="597" w:name="Tc_bDs7OQz4B0Cr-dAlG7oN9g_8_5"/>
      <w:bookmarkStart w:id="598" w:name="Tc_LUZVRXqbI0iOWjnSpi74wA_8_3"/>
      <w:bookmarkStart w:id="599" w:name="Tc_9L3fnwH-0EaiiJzek6mokA_8_0"/>
      <w:bookmarkStart w:id="600" w:name="Tc_GZfy0zY5sUOgQpe6F2CvoQ_7_23"/>
      <w:bookmarkStart w:id="601" w:name="Tc_6jjeQbwlA0akOqviplHoRQ_7_20"/>
      <w:bookmarkStart w:id="602" w:name="Tc_yEIv0iSVt0OAdHIpXv1Gig_7_14"/>
      <w:bookmarkStart w:id="603" w:name="Tc_CDFx8diUfkOmFl1UigQAaw_7_11"/>
      <w:bookmarkStart w:id="604" w:name="Tc_JifuYD1Y9EKRZ1sW3FRYZg_7_8"/>
      <w:bookmarkStart w:id="605" w:name="Tc_FTEtGXwtH0-Cjgefu5RN3g_7_5"/>
      <w:bookmarkStart w:id="606" w:name="Tc_vH5VgLmCbEaUVpmkJy7CZw_7_3"/>
      <w:bookmarkStart w:id="607" w:name="Tc_NuXrsWm1bkiX-XXkEs5I3w_7_0"/>
      <w:bookmarkStart w:id="608" w:name="Tc_LG_S2N0VGU6kyH_VG0EChQ_6_23"/>
      <w:bookmarkStart w:id="609" w:name="Tc_RfT3qwXbAk-PQnYB0w83QQ_6_20"/>
      <w:bookmarkStart w:id="610" w:name="Tc_K4cjBEYeok6PLiaa0ckmGA_6_8"/>
      <w:bookmarkStart w:id="611" w:name="Tc_n8cPWK8hd0uK7k2VKEJ8Fw_6_5"/>
      <w:bookmarkStart w:id="612" w:name="Tc_4wMgpLlw10S154-nUd_83w_6_3"/>
      <w:bookmarkStart w:id="613" w:name="Tc_eRW1T0KosUGBm0ECnPQxIg_6_0"/>
      <w:bookmarkStart w:id="614" w:name="Tc_rQDXpqyHKEiXNxBfQkxJGg_4_8"/>
      <w:bookmarkStart w:id="615" w:name="Tc_35YZuao6fUm_EvtcYm-6nA_4_5"/>
      <w:bookmarkStart w:id="616" w:name="Tc_tRNSoNZJDE-ap6IIlola9Q_4_2"/>
      <w:bookmarkStart w:id="617" w:name="Tc_Curh7Y1ADkyMVhcWzst4_A_4_0"/>
      <w:bookmarkStart w:id="618" w:name="Tc_Y2zeZs54TkOGmJyogXYWKw_3_25"/>
      <w:bookmarkStart w:id="619" w:name="Tc_JnC_Q5WO70uACIH3Ng1A_A_3_22"/>
      <w:bookmarkStart w:id="620" w:name="Tc_MooizeCvD0O-aSurdWWnvA_3_19"/>
      <w:bookmarkStart w:id="621" w:name="Tc_X8IrfC93wkyuxbL9D9Rwag_3_16"/>
      <w:bookmarkStart w:id="622" w:name="Tc_bOgvqr3_SkyjwjnryC_Esw_3_13"/>
      <w:bookmarkStart w:id="623" w:name="Tc_Q-s2d2_D2E2QHkFOcGyJiA_3_11"/>
      <w:bookmarkStart w:id="624" w:name="Tc_GVMpKSGqC0Kl09U2DjHI5Q_3_7"/>
      <w:bookmarkStart w:id="625" w:name="Tc_s0mO9cOd_k2Jm5yYy2RMkw_3_5"/>
      <w:bookmarkStart w:id="626" w:name="Tc_ftYWCo-pMkmxxGVa6qJlhQ_3_2"/>
      <w:bookmarkStart w:id="627" w:name="Tc_EZ1UjSXjR0ms6TEMrtpL4Q_2_25"/>
      <w:bookmarkStart w:id="628" w:name="Tc_x-Tfcltj1kOmP9zK43M65g_2_22"/>
      <w:bookmarkStart w:id="629" w:name="Tc_xVsO5bjO0EyBHdkT3aO9ow_2_19"/>
      <w:bookmarkStart w:id="630" w:name="Tc_CEa1aUdGukGk3nGmuKQV8Q_2_16"/>
      <w:bookmarkStart w:id="631" w:name="Tc_kHrSgjIsOkqQviyLLUm9pw_2_11"/>
      <w:bookmarkStart w:id="632" w:name="Tc__E9ZctN8WUCwq1Ag0rdEfA_2_5"/>
      <w:bookmarkStart w:id="633" w:name="Tc_hK01qWt8qEW89e3I7-LJuA_2_2"/>
      <w:bookmarkStart w:id="634" w:name="Tc_DJk1diPBKEiVRGLZOpCZ1g_1_25"/>
      <w:bookmarkStart w:id="635" w:name="Tc_Jm4Eg6A2iEScfP5dgxkocQ_1_16"/>
      <w:bookmarkStart w:id="636" w:name="Tc_eZcMPnUG8UyGgCVgT7Qwiw_1_11"/>
      <w:bookmarkStart w:id="637" w:name="Tc_E92CbbqNaU2uU1fRSGymtQ_1_5"/>
      <w:bookmarkStart w:id="638" w:name="Tc_zrNbG436TUiTascLa86Fbg_1_2"/>
      <w:bookmarkStart w:id="639" w:name="_9500d7f2_42a4_4672_bc0d_d8271679dd14"/>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tbl>
      <w:tblPr>
        <w:tblW w:w="13202" w:type="dxa"/>
        <w:jc w:val="left"/>
        <w:tblInd w:w="0" w:type="dxa"/>
        <w:tblLayout w:type="fixed"/>
        <w:tblCellMar>
          <w:top w:w="0" w:type="dxa"/>
          <w:left w:w="0" w:type="dxa"/>
          <w:bottom w:w="0" w:type="dxa"/>
          <w:right w:w="0" w:type="dxa"/>
        </w:tblCellMar>
      </w:tblPr>
      <w:tblGrid>
        <w:gridCol w:w="1186"/>
        <w:gridCol w:w="326"/>
        <w:gridCol w:w="295"/>
        <w:gridCol w:w="906"/>
        <w:gridCol w:w="326"/>
        <w:gridCol w:w="976"/>
        <w:gridCol w:w="326"/>
        <w:gridCol w:w="196"/>
        <w:gridCol w:w="661"/>
        <w:gridCol w:w="206"/>
        <w:gridCol w:w="206"/>
        <w:gridCol w:w="916"/>
        <w:gridCol w:w="326"/>
        <w:gridCol w:w="249"/>
        <w:gridCol w:w="442"/>
        <w:gridCol w:w="326"/>
        <w:gridCol w:w="196"/>
        <w:gridCol w:w="691"/>
        <w:gridCol w:w="326"/>
        <w:gridCol w:w="217"/>
        <w:gridCol w:w="834"/>
        <w:gridCol w:w="326"/>
        <w:gridCol w:w="332"/>
        <w:gridCol w:w="869"/>
        <w:gridCol w:w="326"/>
        <w:gridCol w:w="255"/>
        <w:gridCol w:w="96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53110" cy="175260"/>
                      <wp:effectExtent l="0" t="0" r="0" b="0"/>
                      <wp:wrapNone/>
                      <wp:docPr id="23" name="Frame2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87325" cy="175260"/>
                      <wp:effectExtent l="0" t="0" r="0" b="0"/>
                      <wp:wrapNone/>
                      <wp:docPr id="25" name="Frame2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5310" cy="175260"/>
                      <wp:effectExtent l="0" t="0" r="0" b="0"/>
                      <wp:wrapNone/>
                      <wp:docPr id="26" name="Frame26"/>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19760" cy="175260"/>
                      <wp:effectExtent l="0" t="0" r="0" b="0"/>
                      <wp:wrapNone/>
                      <wp:docPr id="28" name="Frame2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19735" cy="175260"/>
                      <wp:effectExtent l="0" t="0" r="0" b="0"/>
                      <wp:wrapNone/>
                      <wp:docPr id="31" name="Frame3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0810" cy="175260"/>
                      <wp:effectExtent l="0" t="0" r="0" b="0"/>
                      <wp:wrapNone/>
                      <wp:docPr id="32" name="Frame3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81660" cy="175260"/>
                      <wp:effectExtent l="0" t="0" r="0" b="0"/>
                      <wp:wrapNone/>
                      <wp:docPr id="34" name="Frame3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115" cy="175260"/>
                      <wp:effectExtent l="0" t="0" r="0" b="0"/>
                      <wp:wrapNone/>
                      <wp:docPr id="36" name="Frame3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80670" cy="175260"/>
                      <wp:effectExtent l="0" t="0" r="0" b="0"/>
                      <wp:wrapNone/>
                      <wp:docPr id="37" name="Frame3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8785" cy="175260"/>
                      <wp:effectExtent l="0" t="0" r="0" b="0"/>
                      <wp:wrapNone/>
                      <wp:docPr id="40" name="Frame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7795" cy="175260"/>
                      <wp:effectExtent l="0" t="0" r="0" b="0"/>
                      <wp:wrapNone/>
                      <wp:docPr id="42" name="Frame4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29590" cy="175260"/>
                      <wp:effectExtent l="0" t="0" r="0" b="0"/>
                      <wp:wrapNone/>
                      <wp:docPr id="43" name="Frame4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0820" cy="175260"/>
                      <wp:effectExtent l="0" t="0" r="0" b="0"/>
                      <wp:wrapNone/>
                      <wp:docPr id="45" name="Frame45"/>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51815" cy="175260"/>
                      <wp:effectExtent l="0" t="0" r="0" b="0"/>
                      <wp:wrapNone/>
                      <wp:docPr id="46" name="Frame4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1925" cy="175260"/>
                      <wp:effectExtent l="0" t="0" r="0" b="0"/>
                      <wp:wrapNone/>
                      <wp:docPr id="48" name="Frame4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10235" cy="175260"/>
                      <wp:effectExtent l="0" t="0" r="0" b="0"/>
                      <wp:wrapNone/>
                      <wp:docPr id="49" name="Frame4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26" w:type="dxa"/>
            <w:tcBorders/>
            <w:vAlign w:val="center"/>
          </w:tcPr>
          <w:p>
            <w:pPr>
              <w:pStyle w:val="TableContents"/>
              <w:bidi w:val="0"/>
              <w:spacing w:before="0" w:after="0"/>
              <w:ind w:left="0" w:right="0" w:hanging="0"/>
              <w:jc w:val="center"/>
              <w:rPr/>
            </w:pPr>
            <w:r>
              <w:rPr/>
              <w:t>    </w:t>
            </w:r>
          </w:p>
        </w:tc>
        <w:tc>
          <w:tcPr>
            <w:tcW w:w="215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 Preferred</w:t>
            </w:r>
          </w:p>
        </w:tc>
        <w:tc>
          <w:tcPr>
            <w:tcW w:w="206" w:type="dxa"/>
            <w:tcBorders>
              <w:right w:val="single" w:sz="2" w:space="0" w:color="000000"/>
            </w:tcBorders>
            <w:tcMar>
              <w:right w:w="28" w:type="dxa"/>
            </w:tcMar>
            <w:vAlign w:val="center"/>
          </w:tcPr>
          <w:p>
            <w:pPr>
              <w:pStyle w:val="TableContents"/>
              <w:bidi w:val="0"/>
              <w:spacing w:before="0" w:after="0"/>
              <w:ind w:left="0" w:right="0" w:hanging="0"/>
              <w:jc w:val="center"/>
              <w:rPr/>
            </w:pPr>
            <w:r>
              <w:rPr/>
              <w:t>  </w:t>
            </w:r>
          </w:p>
        </w:tc>
        <w:tc>
          <w:tcPr>
            <w:tcW w:w="20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193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    </w:t>
            </w:r>
          </w:p>
        </w:tc>
        <w:tc>
          <w:tcPr>
            <w:tcW w:w="217" w:type="dxa"/>
            <w:tcBorders/>
            <w:vAlign w:val="center"/>
          </w:tcPr>
          <w:p>
            <w:pPr>
              <w:pStyle w:val="TableContents"/>
              <w:bidi w:val="0"/>
              <w:spacing w:before="0" w:after="0"/>
              <w:ind w:left="0" w:right="0" w:hanging="0"/>
              <w:jc w:val="center"/>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0"/>
              <w:ind w:left="0" w:right="0" w:hanging="0"/>
              <w:jc w:val="center"/>
              <w:rPr/>
            </w:pPr>
            <w:r>
              <w:rPr/>
              <w:t>​</w:t>
            </w:r>
          </w:p>
        </w:tc>
        <w:tc>
          <w:tcPr>
            <w:tcW w:w="2159" w:type="dxa"/>
            <w:gridSpan w:val="4"/>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2"/>
              </w:rPr>
              <w:t>(1)</w:t>
            </w:r>
          </w:p>
        </w:tc>
        <w:tc>
          <w:tcPr>
            <w:tcW w:w="20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Ordinary Shares</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center"/>
              <w:rPr/>
            </w:pPr>
            <w:r>
              <w:rPr/>
              <w:t>  </w:t>
            </w:r>
          </w:p>
        </w:tc>
        <w:tc>
          <w:tcPr>
            <w:tcW w:w="20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18,680</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43,593,678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162,820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(103,494)</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60,871</w:t>
            </w:r>
          </w:p>
        </w:tc>
      </w:tr>
      <w:tr>
        <w:trPr/>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Class A Ordinary Shares in connection with April 2024 Private Placement, net of $7.2 million of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20,090,128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55,221</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55,223</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Pre-Funded Warrants in connection with April 2024 Private Placement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50,030</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50,030</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5,335</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5,335</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 of redeemable noncontrolling interest from redemption value to carrying value</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(7,017)</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7,017</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7,017</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redeemable noncontrolling interest to redemption value</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2,337</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(2,337)</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(18,076)</w:t>
            </w:r>
          </w:p>
        </w:tc>
        <w:tc>
          <w:tcPr>
            <w:tcW w:w="326" w:type="dxa"/>
            <w:tcBorders/>
            <w:vAlign w:val="center"/>
          </w:tcPr>
          <w:p>
            <w:pPr>
              <w:pStyle w:val="TableContents"/>
              <w:bidi w:val="0"/>
              <w:spacing w:before="0" w:after="0"/>
              <w:ind w:left="0" w:right="0" w:hanging="0"/>
              <w:jc w:val="righ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(18,076)</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14,000</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63,683,806</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278,086</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(121,570)</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158,063</w:t>
            </w:r>
          </w:p>
        </w:tc>
      </w:tr>
      <w:tr>
        <w:trPr/>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10,000</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13,510,415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12,500</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279,720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(32,056)</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(32,056)</w:t>
            </w:r>
          </w:p>
        </w:tc>
      </w:tr>
      <w:tr>
        <w:trPr/>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Series A-1 convertible preferred shares as license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267,939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Series A-1 convertible preferred shares to Class A Ordinary Shares in connection with Business Combination</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(13,778,354)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(14,686)</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13,778,354</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14,684</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14,686</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Class A Ordinary Shares in connection with Business Combination, including PIPE Investment, Forward Purchase Investment, and Backstop Shares, net of $4.0 million of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12,444,081</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48,350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48,351</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Class A Ordinary Shares to settle research and development license consideration liability</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550,000</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Reclassification of public warrant liability to equity</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2,001</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2,001</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Class A Ordinary Shares in connection with April 2023 Private Placement, net of $9.8 million of transaction costs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15,041,530</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54,133</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54,134</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Pre-Funded Warrants in connection with April 2023 Private Placement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16,070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16,070</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Class A Ordinary Shares to Lilly in connection with 2023 Lilly License</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1,000,000</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7,840</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7,840</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share awards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499,993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8,088</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8,088</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(43,617)</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(43,617)</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redeemable noncontrolling interest to redemption value</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326"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Stone Peach Call Right issued to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1,541</w:t>
            </w:r>
          </w:p>
        </w:tc>
      </w:tr>
      <w:tr>
        <w:trPr/>
        <w:tc>
          <w:tcPr>
            <w:tcW w:w="118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Deemed dividend to redeemable noncontrolling interest</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10,875</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(10,875)</w:t>
            </w:r>
          </w:p>
        </w:tc>
        <w:tc>
          <w:tcPr>
            <w:tcW w:w="326" w:type="dxa"/>
            <w:tcBorders/>
            <w:vAlign w:val="center"/>
          </w:tcPr>
          <w:p>
            <w:pPr>
              <w:pStyle w:val="TableContents"/>
              <w:bidi w:val="0"/>
              <w:spacing w:before="0" w:after="0"/>
              <w:ind w:left="0" w:right="0" w:hanging="0"/>
              <w:jc w:val="righ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(10,875)</w:t>
            </w:r>
          </w:p>
        </w:tc>
      </w:tr>
      <w:tr>
        <w:trPr/>
        <w:tc>
          <w:tcPr>
            <w:tcW w:w="11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20,875</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43,593,678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155,654</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(86,751)</w:t>
            </w:r>
          </w:p>
        </w:tc>
        <w:tc>
          <w:tcPr>
            <w:tcW w:w="326" w:type="dxa"/>
            <w:tcBorders/>
            <w:shd w:fill="CCEEFF" w:val="clear"/>
            <w:vAlign w:val="center"/>
          </w:tcPr>
          <w:p>
            <w:pPr>
              <w:pStyle w:val="TableContents"/>
              <w:bidi w:val="0"/>
              <w:spacing w:before="0" w:after="0"/>
              <w:ind w:left="0" w:right="0" w:hanging="0"/>
              <w:jc w:val="righ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1,541</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70,448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40" w:name="Tc_QWZ3tboyX0Ktxhwp_plUCQ_23_25"/>
      <w:bookmarkStart w:id="641" w:name="Tc_zUD9g-XpWUSx656MRAAbDw_23_22"/>
      <w:bookmarkStart w:id="642" w:name="Tc_YF4mRMjoqEaxbQLndEIQ5Q_23_19"/>
      <w:bookmarkStart w:id="643" w:name="Tc_GYbtW-9aBU2g2b-zmUGZ_Q_23_16"/>
      <w:bookmarkStart w:id="644" w:name="Tc_T-OgJkWHVkmqPsTlQ1lgtg_23_13"/>
      <w:bookmarkStart w:id="645" w:name="Tc_q9QDeMXPYEaLuPMgtNuZ1A_23_8"/>
      <w:bookmarkStart w:id="646" w:name="Tc_CuibvG2d1keLic5qEz93hA_23_7"/>
      <w:bookmarkStart w:id="647" w:name="Tc_Pco3rFNwsE6chCZYkz9dxg_23_5"/>
      <w:bookmarkStart w:id="648" w:name="Tc_ZcB5VOYBSkO9aoBd2Z3C2A_23_2"/>
      <w:bookmarkStart w:id="649" w:name="Tc_0T4Bbd8Q0USIGEJHJEvpQA_23_0"/>
      <w:bookmarkStart w:id="650" w:name="Tc_i7hILomU90y7k3Mu6QsPDw_22_23"/>
      <w:bookmarkStart w:id="651" w:name="Tc_x86NKGg4akmV66ChbWVKDg_22_17"/>
      <w:bookmarkStart w:id="652" w:name="Tc_zRO5dUgT10yJfgSzchv6gQ_22_14"/>
      <w:bookmarkStart w:id="653" w:name="Tc_H0LnOHZgIUu2NaTAbQr9Zw_22_11"/>
      <w:bookmarkStart w:id="654" w:name="Tc_esE_PFrJqUGgC9N1TuFeXw_22_8"/>
      <w:bookmarkStart w:id="655" w:name="Tc_JpLZDCDcCkasvhMFu0uw1w_22_5"/>
      <w:bookmarkStart w:id="656" w:name="Tc_9-OE7h_NcUSMchsoep6_2w_22_0"/>
      <w:bookmarkStart w:id="657" w:name="Tc__gi0klwGbkKQXWGQw-Gi9g_21_20"/>
      <w:bookmarkStart w:id="658" w:name="Tc_3R64DUenKU2GZPz3IFzgyw_21_17"/>
      <w:bookmarkStart w:id="659" w:name="Tc_tv_Qox2mF0a9T5APToZsxA_21_14"/>
      <w:bookmarkStart w:id="660" w:name="Tc_GoPEyVKJv0eKdontJWKVNw_21_11"/>
      <w:bookmarkStart w:id="661" w:name="Tc_3Iqn18HBiEWY_7vLw89i7Q_21_8"/>
      <w:bookmarkStart w:id="662" w:name="Tc_yHDg4KxgTkC1m70QoFDm5g_21_5"/>
      <w:bookmarkStart w:id="663" w:name="Tc_HnNvswDSwUySsq0gGLcqCw_21_3"/>
      <w:bookmarkStart w:id="664" w:name="Tc_Gath4nJAz0aWYBr5rzCXig_21_0"/>
      <w:bookmarkStart w:id="665" w:name="Tc_8HzyX76JXEix8ES-HJxVwA_20_23"/>
      <w:bookmarkStart w:id="666" w:name="Tc_sr7GWkibD0yHjlKdMRsLag_20_17"/>
      <w:bookmarkStart w:id="667" w:name="Tc_HQ7foDq15USpoMUEg4WQ7Q_20_14"/>
      <w:bookmarkStart w:id="668" w:name="Tc_6xgkZ1VpD0a9fu9ZUzPZKg_20_11"/>
      <w:bookmarkStart w:id="669" w:name="Tc_ygvGyafY8UGn8KRdL1OBnA_20_8"/>
      <w:bookmarkStart w:id="670" w:name="Tc_2CJ8NcrbW0yx7o5GL53ezQ_20_5"/>
      <w:bookmarkStart w:id="671" w:name="Tc_9WyWx75ME0WCGfOzx7j4yQ_20_3"/>
      <w:bookmarkStart w:id="672" w:name="Tc_Ck9ZnbgsZUaYYfaGVPmrNA_20_0"/>
      <w:bookmarkStart w:id="673" w:name="Tc_tZI_NflIjkK4_jZtHQ8uMQ_19_23"/>
      <w:bookmarkStart w:id="674" w:name="Tc_10dWLe4DOkOk_LBuINu6XA_19_20"/>
      <w:bookmarkStart w:id="675" w:name="Tc_APnEO7jP_k-3eGwILtbVNw_19_14"/>
      <w:bookmarkStart w:id="676" w:name="Tc_ZL2SwhVDNUCi-Moy1gcUaA_19_11"/>
      <w:bookmarkStart w:id="677" w:name="Tc_OHsHgxuuckGGCu12RQLzow_19_8"/>
      <w:bookmarkStart w:id="678" w:name="Tc_93x5f2klCkOe8NpAZDAD8g_19_5"/>
      <w:bookmarkStart w:id="679" w:name="Tc_VtFdalJzIUex3-Wl0MRGbQ_19_3"/>
      <w:bookmarkStart w:id="680" w:name="Tc_mH1xBKpjNUGwNhYYLroUrw_19_0"/>
      <w:bookmarkStart w:id="681" w:name="Tc_FjezrU8AMUqQLwxrDbAr5A_18_23"/>
      <w:bookmarkStart w:id="682" w:name="Tc_jJgGUyZnkE2ahvaNRYtgdQ_18_20"/>
      <w:bookmarkStart w:id="683" w:name="Tc_BXS3nicPakSKahoXrRTL3A_18_17"/>
      <w:bookmarkStart w:id="684" w:name="Tc_U32EdUV7o06Q9jmwr8g4Ww_18_14"/>
      <w:bookmarkStart w:id="685" w:name="Tc_aqxeuRUrBk6-mRX69y31Lw_18_8"/>
      <w:bookmarkStart w:id="686" w:name="Tc_Qr5y0enzZUCraq1awz0Yew_18_5"/>
      <w:bookmarkStart w:id="687" w:name="Tc_3R6jZO-9UkeqeAOD5XETTw_18_3"/>
      <w:bookmarkStart w:id="688" w:name="Tc_eZnVEnzIpEya49I9U1-Obg_18_0"/>
      <w:bookmarkStart w:id="689" w:name="Tc_b75fh82In0mXT0g9zUddrw_17_23"/>
      <w:bookmarkStart w:id="690" w:name="Tc_kyR95CKkFUGkJsZRBEx19A_17_20"/>
      <w:bookmarkStart w:id="691" w:name="Tc_FDvdwBX07Uyt_YHD7VPuUA_17_14"/>
      <w:bookmarkStart w:id="692" w:name="Tc_SkWLchFd-kiPEj3je2B9oQ_17_8"/>
      <w:bookmarkStart w:id="693" w:name="Tc_RLZLfaO5JUeTbq13DyLm3Q_17_5"/>
      <w:bookmarkStart w:id="694" w:name="Tc_IQlcfOvhpk--_91pyD7zMQ_17_3"/>
      <w:bookmarkStart w:id="695" w:name="Tc_4xclKY5S_U-NzIhqNN5HyA_17_0"/>
      <w:bookmarkStart w:id="696" w:name="Tc_Me5l40TK9k29t8wdum6BWg_16_23"/>
      <w:bookmarkStart w:id="697" w:name="Tc_4PUQXHL7S0md2OqgNj28ng_16_20"/>
      <w:bookmarkStart w:id="698" w:name="Tc_JusuB5zZhke1UCAh-w6VYg_16_14"/>
      <w:bookmarkStart w:id="699" w:name="Tc_Le5eHDtv806ejhUkskry-A_16_11"/>
      <w:bookmarkStart w:id="700" w:name="Tc_vBwVcBpuLUO2oEeTcIX36w_16_8"/>
      <w:bookmarkStart w:id="701" w:name="Tc_f8NW93l7ykyS4TFoDprUtQ_16_5"/>
      <w:bookmarkStart w:id="702" w:name="Tc_3sNlby8kBUiHyaNvJ5raKA_16_3"/>
      <w:bookmarkStart w:id="703" w:name="Tc_KtmnFZ31Xk-PI4LMoFqEZg_16_0"/>
      <w:bookmarkStart w:id="704" w:name="Tc_WU79WQUYLkWyGY4COWhOiA_15_23"/>
      <w:bookmarkStart w:id="705" w:name="Tc_u9dkT3692Eq6OFaI9nVpcQ_15_20"/>
      <w:bookmarkStart w:id="706" w:name="Tc_IZL-r7iFGEiNZ5YVA707Mg_15_8"/>
      <w:bookmarkStart w:id="707" w:name="Tc_zCMacjitakOffE7B0tw8jg_15_5"/>
      <w:bookmarkStart w:id="708" w:name="Tc_X2nN9tNHfkaOjP0TqCTAcg_15_3"/>
      <w:bookmarkStart w:id="709" w:name="Tc_NwCsFUJprEKws_KzmxcPvA_15_0"/>
      <w:bookmarkStart w:id="710" w:name="Tc_Yd8jxtq2j0GXSFK_JSkENg_13_23"/>
      <w:bookmarkStart w:id="711" w:name="Tc_rGHvrP6G1EqiCOqBAdZhAQ_13_8"/>
      <w:bookmarkStart w:id="712" w:name="Tc_RjiYNRvMLUSXwhyKDrR4OQ_13_5"/>
      <w:bookmarkStart w:id="713" w:name="Tc_ttfNPMpqn0iJpeUUIyPcBA_13_2"/>
      <w:bookmarkStart w:id="714" w:name="Tc_XJrzUW9L4k-bERh2BebBCA_13_0"/>
      <w:bookmarkStart w:id="715" w:name="Tc_D9Pljpa7q0SfwAIXeAeGCg_11_8"/>
      <w:bookmarkStart w:id="716" w:name="Tc_MMWjpST_BEi70VzBA-7qCw_11_5"/>
      <w:bookmarkStart w:id="717" w:name="Tc_BYvPbiWPeU6fG0hAp_2nvQ_11_2"/>
      <w:bookmarkStart w:id="718" w:name="Tc_bBLHKJXu2UK0s87-YzWREA_11_0"/>
      <w:bookmarkStart w:id="719" w:name="Tc_wlAXcnDNAUGvw7UJzXN80g_10_23"/>
      <w:bookmarkStart w:id="720" w:name="Tc_5GrIEKkKcUm-wvAFgcFdtQ_10_14"/>
      <w:bookmarkStart w:id="721" w:name="Tc_030el8niKUi2UeT6fDce8Q_10_11"/>
      <w:bookmarkStart w:id="722" w:name="Tc_cvkY6GvgBEqzMl5dlGjBUg_10_8"/>
      <w:bookmarkStart w:id="723" w:name="Tc_NqtYCWuSeUWCxvzvXL6bhw_10_5"/>
      <w:bookmarkStart w:id="724" w:name="Tc_Fjt0zqwIbEKhA61H9qYU7A_10_0"/>
      <w:bookmarkStart w:id="725" w:name="Tc_u8Vg4YotdkupjpYXAu35tw_9_23"/>
      <w:bookmarkStart w:id="726" w:name="Tc_YQFgsFOszkOaFNf0oJ85-g_9_20"/>
      <w:bookmarkStart w:id="727" w:name="Tc_h4U5aPYqsEG3vJ_bCatvZQ_9_14"/>
      <w:bookmarkStart w:id="728" w:name="Tc_50T1yjlkK0a9P0UaQyubHQ_9_11"/>
      <w:bookmarkStart w:id="729" w:name="Tc_OrckKFyfiUqpKABZvsEE1Q_9_8"/>
      <w:bookmarkStart w:id="730" w:name="Tc_jPAsZlhIDUmKec2oBw-Wig_9_5"/>
      <w:bookmarkStart w:id="731" w:name="Tc_g4Db7U9IA0qC4IfGM8sp0g_9_0"/>
      <w:bookmarkStart w:id="732" w:name="Tc_KNr0QWRUp0yXeV3X6vc5Ew_8_23"/>
      <w:bookmarkStart w:id="733" w:name="Tc_5cBg73ckc0WKIZsZ4-FBZg_8_20"/>
      <w:bookmarkStart w:id="734" w:name="Tc_Vsx8LZbq-Uu-83mMHH-H5Q_8_14"/>
      <w:bookmarkStart w:id="735" w:name="Tc_nEsQDXKaYEWhlAAQUWs7uw_8_11"/>
      <w:bookmarkStart w:id="736" w:name="Tc_r0BVQK8xvUq9VAksSbBVDw_8_8"/>
      <w:bookmarkStart w:id="737" w:name="Tc_9N9RPKbq8EqAiV8s0WvdaQ_8_5"/>
      <w:bookmarkStart w:id="738" w:name="Tc_qe-YekP-BUO2sqD4sINGzQ_8_3"/>
      <w:bookmarkStart w:id="739" w:name="Tc_u43PVqV4mEOxLihVx2MMyQ_8_0"/>
      <w:bookmarkStart w:id="740" w:name="Tc_zRViDEQYzkqJAQHIW59ZDQ_7_23"/>
      <w:bookmarkStart w:id="741" w:name="Tc_LzqnGQ7eJEWrspMkcnvmoQ_7_20"/>
      <w:bookmarkStart w:id="742" w:name="Tc_eT3YEnLrbkqCY5o_C_d8kQ_7_14"/>
      <w:bookmarkStart w:id="743" w:name="Tc_ymETCzx7sEKUtoMXvAubXQ_7_11"/>
      <w:bookmarkStart w:id="744" w:name="Tc_lSjDPfZSi0Ghd28nracuxQ_7_8"/>
      <w:bookmarkStart w:id="745" w:name="Tc_shP2uriuiU6kOjkIZmMQZQ_7_5"/>
      <w:bookmarkStart w:id="746" w:name="Tc_pEBdXYMx00WcbIylKV31pA_7_3"/>
      <w:bookmarkStart w:id="747" w:name="Tc_Wbm9EqXWwEKnHnP2UorMIg_7_0"/>
      <w:bookmarkStart w:id="748" w:name="Tc__D_Pz7BU6UmuFtlFrWD5CA_6_23"/>
      <w:bookmarkStart w:id="749" w:name="Tc_BX5DVimir0S7Wx8CJ8bCww_6_20"/>
      <w:bookmarkStart w:id="750" w:name="Tc_-XvoFZSLOE-Wq_wVb9TXTA_6_8"/>
      <w:bookmarkStart w:id="751" w:name="Tc_InJSTH7_uUa3xO1MEFkgdw_6_5"/>
      <w:bookmarkStart w:id="752" w:name="Tc_vVClIuCIy0KK11gsqFGZmw_6_3"/>
      <w:bookmarkStart w:id="753" w:name="Tc_owpM3nykQkuDbWe5anNEmA_6_0"/>
      <w:bookmarkStart w:id="754" w:name="Tc_e5T4leGwukup1dEf5GN_ow_4_8"/>
      <w:bookmarkStart w:id="755" w:name="Tc_xkquTLVaOUC_LjHG91l68w_4_5"/>
      <w:bookmarkStart w:id="756" w:name="Tc_7XtUKNMyJ0SKtL6ouwCKgg_4_2"/>
      <w:bookmarkStart w:id="757" w:name="Tc_rDCZo9eStUmnqm-kooMozw_4_0"/>
      <w:bookmarkStart w:id="758" w:name="Tc_CIUU74zrgkeupcZdiwHgkg_3_25"/>
      <w:bookmarkStart w:id="759" w:name="Tc_RGKaARqtlUSfmWB-h5erzg_3_22"/>
      <w:bookmarkStart w:id="760" w:name="Tc_wwQsgTR9c0ypRZZoTOkXYA_3_19"/>
      <w:bookmarkStart w:id="761" w:name="Tc_YNcxUUyo4UW5bbralVSGZQ_3_16"/>
      <w:bookmarkStart w:id="762" w:name="Tc_JIcAmSssHkSUxb3FiTer9A_3_13"/>
      <w:bookmarkStart w:id="763" w:name="Tc_TLZwSvXu7UaViTo-qQz7TQ_3_11"/>
      <w:bookmarkStart w:id="764" w:name="Tc_HUtRsdCpV0S-3GsOoG99Ug_3_7"/>
      <w:bookmarkStart w:id="765" w:name="Tc_v2nbWC06DkCfcy2LmpN-Bw_3_5"/>
      <w:bookmarkStart w:id="766" w:name="Tc_iKA_Q_wtTE2eVl34py-ooQ_3_2"/>
      <w:bookmarkStart w:id="767" w:name="Tc_kGKUWX_WCEGgw1GZCCW9pA_2_25"/>
      <w:bookmarkStart w:id="768" w:name="Tc_hRVGlaGVdUmg8Jf18JZf0w_2_22"/>
      <w:bookmarkStart w:id="769" w:name="Tc_eFBRyZwqX0ei8oAYh0Na3A_2_19"/>
      <w:bookmarkStart w:id="770" w:name="Tc_SkMG6Co_d0mKHJnAkwOShQ_2_16"/>
      <w:bookmarkStart w:id="771" w:name="Tc_VdJ11EGv1Ei46RY1Acw95g_2_11"/>
      <w:bookmarkStart w:id="772" w:name="Tc_uX6TYF-JckKQU1QfKMyk9A_2_5"/>
      <w:bookmarkStart w:id="773" w:name="Tc_AvFc8C_EYke7691EJKj0Wg_2_2"/>
      <w:bookmarkStart w:id="774" w:name="Tc_VHiInuKI9EKtBAPHWBQ8Rw_1_25"/>
      <w:bookmarkStart w:id="775" w:name="Tc_q_Ripnzv4Eq40vPd0Umwyw_1_16"/>
      <w:bookmarkStart w:id="776" w:name="Tc_wDU0pgAJhUKAB9TsVISWYQ_1_11"/>
      <w:bookmarkStart w:id="777" w:name="Tc_2pETAohfeUGtQkiRZ14eQQ_1_5"/>
      <w:bookmarkStart w:id="778" w:name="Tc_gEXAZvsZEEOPRjECebzwMw_1_2"/>
      <w:bookmarkStart w:id="779" w:name="_82522c60_4962_428b_8cbd_517693a0540e"/>
      <w:bookmarkStart w:id="780" w:name="Tc_QWZ3tboyX0Ktxhwp_plUCQ_23_25"/>
      <w:bookmarkStart w:id="781" w:name="Tc_zUD9g-XpWUSx656MRAAbDw_23_22"/>
      <w:bookmarkStart w:id="782" w:name="Tc_YF4mRMjoqEaxbQLndEIQ5Q_23_19"/>
      <w:bookmarkStart w:id="783" w:name="Tc_GYbtW-9aBU2g2b-zmUGZ_Q_23_16"/>
      <w:bookmarkStart w:id="784" w:name="Tc_T-OgJkWHVkmqPsTlQ1lgtg_23_13"/>
      <w:bookmarkStart w:id="785" w:name="Tc_q9QDeMXPYEaLuPMgtNuZ1A_23_8"/>
      <w:bookmarkStart w:id="786" w:name="Tc_CuibvG2d1keLic5qEz93hA_23_7"/>
      <w:bookmarkStart w:id="787" w:name="Tc_Pco3rFNwsE6chCZYkz9dxg_23_5"/>
      <w:bookmarkStart w:id="788" w:name="Tc_ZcB5VOYBSkO9aoBd2Z3C2A_23_2"/>
      <w:bookmarkStart w:id="789" w:name="Tc_0T4Bbd8Q0USIGEJHJEvpQA_23_0"/>
      <w:bookmarkStart w:id="790" w:name="Tc_i7hILomU90y7k3Mu6QsPDw_22_23"/>
      <w:bookmarkStart w:id="791" w:name="Tc_x86NKGg4akmV66ChbWVKDg_22_17"/>
      <w:bookmarkStart w:id="792" w:name="Tc_zRO5dUgT10yJfgSzchv6gQ_22_14"/>
      <w:bookmarkStart w:id="793" w:name="Tc_H0LnOHZgIUu2NaTAbQr9Zw_22_11"/>
      <w:bookmarkStart w:id="794" w:name="Tc_esE_PFrJqUGgC9N1TuFeXw_22_8"/>
      <w:bookmarkStart w:id="795" w:name="Tc_JpLZDCDcCkasvhMFu0uw1w_22_5"/>
      <w:bookmarkStart w:id="796" w:name="Tc_9-OE7h_NcUSMchsoep6_2w_22_0"/>
      <w:bookmarkStart w:id="797" w:name="Tc__gi0klwGbkKQXWGQw-Gi9g_21_20"/>
      <w:bookmarkStart w:id="798" w:name="Tc_3R64DUenKU2GZPz3IFzgyw_21_17"/>
      <w:bookmarkStart w:id="799" w:name="Tc_tv_Qox2mF0a9T5APToZsxA_21_14"/>
      <w:bookmarkStart w:id="800" w:name="Tc_GoPEyVKJv0eKdontJWKVNw_21_11"/>
      <w:bookmarkStart w:id="801" w:name="Tc_3Iqn18HBiEWY_7vLw89i7Q_21_8"/>
      <w:bookmarkStart w:id="802" w:name="Tc_yHDg4KxgTkC1m70QoFDm5g_21_5"/>
      <w:bookmarkStart w:id="803" w:name="Tc_HnNvswDSwUySsq0gGLcqCw_21_3"/>
      <w:bookmarkStart w:id="804" w:name="Tc_Gath4nJAz0aWYBr5rzCXig_21_0"/>
      <w:bookmarkStart w:id="805" w:name="Tc_8HzyX76JXEix8ES-HJxVwA_20_23"/>
      <w:bookmarkStart w:id="806" w:name="Tc_sr7GWkibD0yHjlKdMRsLag_20_17"/>
      <w:bookmarkStart w:id="807" w:name="Tc_HQ7foDq15USpoMUEg4WQ7Q_20_14"/>
      <w:bookmarkStart w:id="808" w:name="Tc_6xgkZ1VpD0a9fu9ZUzPZKg_20_11"/>
      <w:bookmarkStart w:id="809" w:name="Tc_ygvGyafY8UGn8KRdL1OBnA_20_8"/>
      <w:bookmarkStart w:id="810" w:name="Tc_2CJ8NcrbW0yx7o5GL53ezQ_20_5"/>
      <w:bookmarkStart w:id="811" w:name="Tc_9WyWx75ME0WCGfOzx7j4yQ_20_3"/>
      <w:bookmarkStart w:id="812" w:name="Tc_Ck9ZnbgsZUaYYfaGVPmrNA_20_0"/>
      <w:bookmarkStart w:id="813" w:name="Tc_tZI_NflIjkK4_jZtHQ8uMQ_19_23"/>
      <w:bookmarkStart w:id="814" w:name="Tc_10dWLe4DOkOk_LBuINu6XA_19_20"/>
      <w:bookmarkStart w:id="815" w:name="Tc_APnEO7jP_k-3eGwILtbVNw_19_14"/>
      <w:bookmarkStart w:id="816" w:name="Tc_ZL2SwhVDNUCi-Moy1gcUaA_19_11"/>
      <w:bookmarkStart w:id="817" w:name="Tc_OHsHgxuuckGGCu12RQLzow_19_8"/>
      <w:bookmarkStart w:id="818" w:name="Tc_93x5f2klCkOe8NpAZDAD8g_19_5"/>
      <w:bookmarkStart w:id="819" w:name="Tc_VtFdalJzIUex3-Wl0MRGbQ_19_3"/>
      <w:bookmarkStart w:id="820" w:name="Tc_mH1xBKpjNUGwNhYYLroUrw_19_0"/>
      <w:bookmarkStart w:id="821" w:name="Tc_FjezrU8AMUqQLwxrDbAr5A_18_23"/>
      <w:bookmarkStart w:id="822" w:name="Tc_jJgGUyZnkE2ahvaNRYtgdQ_18_20"/>
      <w:bookmarkStart w:id="823" w:name="Tc_BXS3nicPakSKahoXrRTL3A_18_17"/>
      <w:bookmarkStart w:id="824" w:name="Tc_U32EdUV7o06Q9jmwr8g4Ww_18_14"/>
      <w:bookmarkStart w:id="825" w:name="Tc_aqxeuRUrBk6-mRX69y31Lw_18_8"/>
      <w:bookmarkStart w:id="826" w:name="Tc_Qr5y0enzZUCraq1awz0Yew_18_5"/>
      <w:bookmarkStart w:id="827" w:name="Tc_3R6jZO-9UkeqeAOD5XETTw_18_3"/>
      <w:bookmarkStart w:id="828" w:name="Tc_eZnVEnzIpEya49I9U1-Obg_18_0"/>
      <w:bookmarkStart w:id="829" w:name="Tc_b75fh82In0mXT0g9zUddrw_17_23"/>
      <w:bookmarkStart w:id="830" w:name="Tc_kyR95CKkFUGkJsZRBEx19A_17_20"/>
      <w:bookmarkStart w:id="831" w:name="Tc_FDvdwBX07Uyt_YHD7VPuUA_17_14"/>
      <w:bookmarkStart w:id="832" w:name="Tc_SkWLchFd-kiPEj3je2B9oQ_17_8"/>
      <w:bookmarkStart w:id="833" w:name="Tc_RLZLfaO5JUeTbq13DyLm3Q_17_5"/>
      <w:bookmarkStart w:id="834" w:name="Tc_IQlcfOvhpk--_91pyD7zMQ_17_3"/>
      <w:bookmarkStart w:id="835" w:name="Tc_4xclKY5S_U-NzIhqNN5HyA_17_0"/>
      <w:bookmarkStart w:id="836" w:name="Tc_Me5l40TK9k29t8wdum6BWg_16_23"/>
      <w:bookmarkStart w:id="837" w:name="Tc_4PUQXHL7S0md2OqgNj28ng_16_20"/>
      <w:bookmarkStart w:id="838" w:name="Tc_JusuB5zZhke1UCAh-w6VYg_16_14"/>
      <w:bookmarkStart w:id="839" w:name="Tc_Le5eHDtv806ejhUkskry-A_16_11"/>
      <w:bookmarkStart w:id="840" w:name="Tc_vBwVcBpuLUO2oEeTcIX36w_16_8"/>
      <w:bookmarkStart w:id="841" w:name="Tc_f8NW93l7ykyS4TFoDprUtQ_16_5"/>
      <w:bookmarkStart w:id="842" w:name="Tc_3sNlby8kBUiHyaNvJ5raKA_16_3"/>
      <w:bookmarkStart w:id="843" w:name="Tc_KtmnFZ31Xk-PI4LMoFqEZg_16_0"/>
      <w:bookmarkStart w:id="844" w:name="Tc_WU79WQUYLkWyGY4COWhOiA_15_23"/>
      <w:bookmarkStart w:id="845" w:name="Tc_u9dkT3692Eq6OFaI9nVpcQ_15_20"/>
      <w:bookmarkStart w:id="846" w:name="Tc_IZL-r7iFGEiNZ5YVA707Mg_15_8"/>
      <w:bookmarkStart w:id="847" w:name="Tc_zCMacjitakOffE7B0tw8jg_15_5"/>
      <w:bookmarkStart w:id="848" w:name="Tc_X2nN9tNHfkaOjP0TqCTAcg_15_3"/>
      <w:bookmarkStart w:id="849" w:name="Tc_NwCsFUJprEKws_KzmxcPvA_15_0"/>
      <w:bookmarkStart w:id="850" w:name="Tc_Yd8jxtq2j0GXSFK_JSkENg_13_23"/>
      <w:bookmarkStart w:id="851" w:name="Tc_rGHvrP6G1EqiCOqBAdZhAQ_13_8"/>
      <w:bookmarkStart w:id="852" w:name="Tc_RjiYNRvMLUSXwhyKDrR4OQ_13_5"/>
      <w:bookmarkStart w:id="853" w:name="Tc_ttfNPMpqn0iJpeUUIyPcBA_13_2"/>
      <w:bookmarkStart w:id="854" w:name="Tc_XJrzUW9L4k-bERh2BebBCA_13_0"/>
      <w:bookmarkStart w:id="855" w:name="Tc_D9Pljpa7q0SfwAIXeAeGCg_11_8"/>
      <w:bookmarkStart w:id="856" w:name="Tc_MMWjpST_BEi70VzBA-7qCw_11_5"/>
      <w:bookmarkStart w:id="857" w:name="Tc_BYvPbiWPeU6fG0hAp_2nvQ_11_2"/>
      <w:bookmarkStart w:id="858" w:name="Tc_bBLHKJXu2UK0s87-YzWREA_11_0"/>
      <w:bookmarkStart w:id="859" w:name="Tc_wlAXcnDNAUGvw7UJzXN80g_10_23"/>
      <w:bookmarkStart w:id="860" w:name="Tc_5GrIEKkKcUm-wvAFgcFdtQ_10_14"/>
      <w:bookmarkStart w:id="861" w:name="Tc_030el8niKUi2UeT6fDce8Q_10_11"/>
      <w:bookmarkStart w:id="862" w:name="Tc_cvkY6GvgBEqzMl5dlGjBUg_10_8"/>
      <w:bookmarkStart w:id="863" w:name="Tc_NqtYCWuSeUWCxvzvXL6bhw_10_5"/>
      <w:bookmarkStart w:id="864" w:name="Tc_Fjt0zqwIbEKhA61H9qYU7A_10_0"/>
      <w:bookmarkStart w:id="865" w:name="Tc_u8Vg4YotdkupjpYXAu35tw_9_23"/>
      <w:bookmarkStart w:id="866" w:name="Tc_YQFgsFOszkOaFNf0oJ85-g_9_20"/>
      <w:bookmarkStart w:id="867" w:name="Tc_h4U5aPYqsEG3vJ_bCatvZQ_9_14"/>
      <w:bookmarkStart w:id="868" w:name="Tc_50T1yjlkK0a9P0UaQyubHQ_9_11"/>
      <w:bookmarkStart w:id="869" w:name="Tc_OrckKFyfiUqpKABZvsEE1Q_9_8"/>
      <w:bookmarkStart w:id="870" w:name="Tc_jPAsZlhIDUmKec2oBw-Wig_9_5"/>
      <w:bookmarkStart w:id="871" w:name="Tc_g4Db7U9IA0qC4IfGM8sp0g_9_0"/>
      <w:bookmarkStart w:id="872" w:name="Tc_KNr0QWRUp0yXeV3X6vc5Ew_8_23"/>
      <w:bookmarkStart w:id="873" w:name="Tc_5cBg73ckc0WKIZsZ4-FBZg_8_20"/>
      <w:bookmarkStart w:id="874" w:name="Tc_Vsx8LZbq-Uu-83mMHH-H5Q_8_14"/>
      <w:bookmarkStart w:id="875" w:name="Tc_nEsQDXKaYEWhlAAQUWs7uw_8_11"/>
      <w:bookmarkStart w:id="876" w:name="Tc_r0BVQK8xvUq9VAksSbBVDw_8_8"/>
      <w:bookmarkStart w:id="877" w:name="Tc_9N9RPKbq8EqAiV8s0WvdaQ_8_5"/>
      <w:bookmarkStart w:id="878" w:name="Tc_qe-YekP-BUO2sqD4sINGzQ_8_3"/>
      <w:bookmarkStart w:id="879" w:name="Tc_u43PVqV4mEOxLihVx2MMyQ_8_0"/>
      <w:bookmarkStart w:id="880" w:name="Tc_zRViDEQYzkqJAQHIW59ZDQ_7_23"/>
      <w:bookmarkStart w:id="881" w:name="Tc_LzqnGQ7eJEWrspMkcnvmoQ_7_20"/>
      <w:bookmarkStart w:id="882" w:name="Tc_eT3YEnLrbkqCY5o_C_d8kQ_7_14"/>
      <w:bookmarkStart w:id="883" w:name="Tc_ymETCzx7sEKUtoMXvAubXQ_7_11"/>
      <w:bookmarkStart w:id="884" w:name="Tc_lSjDPfZSi0Ghd28nracuxQ_7_8"/>
      <w:bookmarkStart w:id="885" w:name="Tc_shP2uriuiU6kOjkIZmMQZQ_7_5"/>
      <w:bookmarkStart w:id="886" w:name="Tc_pEBdXYMx00WcbIylKV31pA_7_3"/>
      <w:bookmarkStart w:id="887" w:name="Tc_Wbm9EqXWwEKnHnP2UorMIg_7_0"/>
      <w:bookmarkStart w:id="888" w:name="Tc__D_Pz7BU6UmuFtlFrWD5CA_6_23"/>
      <w:bookmarkStart w:id="889" w:name="Tc_BX5DVimir0S7Wx8CJ8bCww_6_20"/>
      <w:bookmarkStart w:id="890" w:name="Tc_-XvoFZSLOE-Wq_wVb9TXTA_6_8"/>
      <w:bookmarkStart w:id="891" w:name="Tc_InJSTH7_uUa3xO1MEFkgdw_6_5"/>
      <w:bookmarkStart w:id="892" w:name="Tc_vVClIuCIy0KK11gsqFGZmw_6_3"/>
      <w:bookmarkStart w:id="893" w:name="Tc_owpM3nykQkuDbWe5anNEmA_6_0"/>
      <w:bookmarkStart w:id="894" w:name="Tc_e5T4leGwukup1dEf5GN_ow_4_8"/>
      <w:bookmarkStart w:id="895" w:name="Tc_xkquTLVaOUC_LjHG91l68w_4_5"/>
      <w:bookmarkStart w:id="896" w:name="Tc_7XtUKNMyJ0SKtL6ouwCKgg_4_2"/>
      <w:bookmarkStart w:id="897" w:name="Tc_rDCZo9eStUmnqm-kooMozw_4_0"/>
      <w:bookmarkStart w:id="898" w:name="Tc_CIUU74zrgkeupcZdiwHgkg_3_25"/>
      <w:bookmarkStart w:id="899" w:name="Tc_RGKaARqtlUSfmWB-h5erzg_3_22"/>
      <w:bookmarkStart w:id="900" w:name="Tc_wwQsgTR9c0ypRZZoTOkXYA_3_19"/>
      <w:bookmarkStart w:id="901" w:name="Tc_YNcxUUyo4UW5bbralVSGZQ_3_16"/>
      <w:bookmarkStart w:id="902" w:name="Tc_JIcAmSssHkSUxb3FiTer9A_3_13"/>
      <w:bookmarkStart w:id="903" w:name="Tc_TLZwSvXu7UaViTo-qQz7TQ_3_11"/>
      <w:bookmarkStart w:id="904" w:name="Tc_HUtRsdCpV0S-3GsOoG99Ug_3_7"/>
      <w:bookmarkStart w:id="905" w:name="Tc_v2nbWC06DkCfcy2LmpN-Bw_3_5"/>
      <w:bookmarkStart w:id="906" w:name="Tc_iKA_Q_wtTE2eVl34py-ooQ_3_2"/>
      <w:bookmarkStart w:id="907" w:name="Tc_kGKUWX_WCEGgw1GZCCW9pA_2_25"/>
      <w:bookmarkStart w:id="908" w:name="Tc_hRVGlaGVdUmg8Jf18JZf0w_2_22"/>
      <w:bookmarkStart w:id="909" w:name="Tc_eFBRyZwqX0ei8oAYh0Na3A_2_19"/>
      <w:bookmarkStart w:id="910" w:name="Tc_SkMG6Co_d0mKHJnAkwOShQ_2_16"/>
      <w:bookmarkStart w:id="911" w:name="Tc_VdJ11EGv1Ei46RY1Acw95g_2_11"/>
      <w:bookmarkStart w:id="912" w:name="Tc_uX6TYF-JckKQU1QfKMyk9A_2_5"/>
      <w:bookmarkStart w:id="913" w:name="Tc_AvFc8C_EYke7691EJKj0Wg_2_2"/>
      <w:bookmarkStart w:id="914" w:name="Tc_VHiInuKI9EKtBAPHWBQ8Rw_1_25"/>
      <w:bookmarkStart w:id="915" w:name="Tc_q_Ripnzv4Eq40vPd0Umwyw_1_16"/>
      <w:bookmarkStart w:id="916" w:name="Tc_wDU0pgAJhUKAB9TsVISWYQ_1_11"/>
      <w:bookmarkStart w:id="917" w:name="Tc_2pETAohfeUGtQkiRZ14eQQ_1_5"/>
      <w:bookmarkStart w:id="918" w:name="Tc_gEXAZvsZEEOPRjECebzwMw_1_2"/>
      <w:bookmarkStart w:id="919" w:name="_82522c60_4962_428b_8cbd_517693a0540e"/>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tbl>
      <w:tblPr>
        <w:tblW w:w="12541" w:type="dxa"/>
        <w:jc w:val="left"/>
        <w:tblInd w:w="0" w:type="dxa"/>
        <w:tblLayout w:type="fixed"/>
        <w:tblCellMar>
          <w:top w:w="0" w:type="dxa"/>
          <w:left w:w="0" w:type="dxa"/>
          <w:bottom w:w="0" w:type="dxa"/>
          <w:right w:w="0" w:type="dxa"/>
        </w:tblCellMar>
      </w:tblPr>
      <w:tblGrid>
        <w:gridCol w:w="1156"/>
        <w:gridCol w:w="326"/>
        <w:gridCol w:w="295"/>
        <w:gridCol w:w="906"/>
        <w:gridCol w:w="326"/>
        <w:gridCol w:w="586"/>
        <w:gridCol w:w="326"/>
        <w:gridCol w:w="249"/>
        <w:gridCol w:w="442"/>
        <w:gridCol w:w="206"/>
        <w:gridCol w:w="206"/>
        <w:gridCol w:w="916"/>
        <w:gridCol w:w="326"/>
        <w:gridCol w:w="249"/>
        <w:gridCol w:w="442"/>
        <w:gridCol w:w="326"/>
        <w:gridCol w:w="196"/>
        <w:gridCol w:w="691"/>
        <w:gridCol w:w="326"/>
        <w:gridCol w:w="226"/>
        <w:gridCol w:w="870"/>
        <w:gridCol w:w="326"/>
        <w:gridCol w:w="332"/>
        <w:gridCol w:w="869"/>
        <w:gridCol w:w="326"/>
        <w:gridCol w:w="230"/>
        <w:gridCol w:w="86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34060" cy="175260"/>
                      <wp:effectExtent l="0" t="0" r="0" b="0"/>
                      <wp:wrapNone/>
                      <wp:docPr id="50" name="Frame5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7325" cy="175260"/>
                      <wp:effectExtent l="0" t="0" r="0" b="0"/>
                      <wp:wrapNone/>
                      <wp:docPr id="52" name="Frame5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5310" cy="175260"/>
                      <wp:effectExtent l="0" t="0" r="0" b="0"/>
                      <wp:wrapNone/>
                      <wp:docPr id="53" name="Frame5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72110" cy="175260"/>
                      <wp:effectExtent l="0" t="0" r="0" b="0"/>
                      <wp:wrapNone/>
                      <wp:docPr id="55" name="Frame5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8115" cy="175260"/>
                      <wp:effectExtent l="0" t="0" r="0" b="0"/>
                      <wp:wrapNone/>
                      <wp:docPr id="57" name="Frame5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80670" cy="175260"/>
                      <wp:effectExtent l="0" t="0" r="0" b="0"/>
                      <wp:wrapNone/>
                      <wp:docPr id="58" name="Frame5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0810" cy="175260"/>
                      <wp:effectExtent l="0" t="0" r="0" b="0"/>
                      <wp:wrapNone/>
                      <wp:docPr id="59" name="Frame5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0810" cy="175260"/>
                      <wp:effectExtent l="0" t="0" r="0" b="0"/>
                      <wp:wrapNone/>
                      <wp:docPr id="60" name="Frame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81660" cy="175260"/>
                      <wp:effectExtent l="0" t="0" r="0" b="0"/>
                      <wp:wrapNone/>
                      <wp:docPr id="61" name="Frame6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8115" cy="175260"/>
                      <wp:effectExtent l="0" t="0" r="0" b="0"/>
                      <wp:wrapNone/>
                      <wp:docPr id="63" name="Frame6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80670" cy="175260"/>
                      <wp:effectExtent l="0" t="0" r="0" b="0"/>
                      <wp:wrapNone/>
                      <wp:docPr id="64" name="Frame6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3510" cy="175260"/>
                      <wp:effectExtent l="0" t="0" r="0" b="0"/>
                      <wp:wrapNone/>
                      <wp:docPr id="69" name="Frame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52450" cy="175260"/>
                      <wp:effectExtent l="0" t="0" r="0" b="0"/>
                      <wp:wrapNone/>
                      <wp:docPr id="70" name="Frame70"/>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0820" cy="175260"/>
                      <wp:effectExtent l="0" t="0" r="0" b="0"/>
                      <wp:wrapNone/>
                      <wp:docPr id="72" name="Frame72"/>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51815" cy="175260"/>
                      <wp:effectExtent l="0" t="0" r="0" b="0"/>
                      <wp:wrapNone/>
                      <wp:docPr id="73" name="Frame73"/>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6050" cy="175260"/>
                      <wp:effectExtent l="0" t="0" r="0" b="0"/>
                      <wp:wrapNone/>
                      <wp:docPr id="75" name="Frame7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49910" cy="175260"/>
                      <wp:effectExtent l="0" t="0" r="0" b="0"/>
                      <wp:wrapNone/>
                      <wp:docPr id="76" name="Frame7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Convertible</w:t>
            </w:r>
            <w:r>
              <w:rPr>
                <w:rFonts w:ascii="Times New Roman;Times;serif" w:hAnsi="Times New Roman;Times;serif"/>
                <w:sz w:val="16"/>
              </w:rPr>
              <w:t> </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193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Preferred Shares</w:t>
            </w:r>
            <w:r>
              <w:rPr>
                <w:rFonts w:ascii="Times New Roman;Times;serif" w:hAnsi="Times New Roman;Times;serif"/>
                <w:b/>
                <w:sz w:val="12"/>
              </w:rPr>
              <w:t>(1)</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Ordinary Shares</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Accumulated</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Shareholders’</w:t>
            </w:r>
            <w:r>
              <w:rPr>
                <w:rFonts w:ascii="Times New Roman;Times;serif" w:hAnsi="Times New Roman;Times;serif"/>
                <w:sz w:val="16"/>
              </w:rPr>
              <w:t> </w: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  </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11,663</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43,593,678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172,246</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(111,241)</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1,541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62,550</w:t>
            </w:r>
          </w:p>
        </w:tc>
      </w:tr>
      <w:tr>
        <w:trPr/>
        <w:tc>
          <w:tcPr>
            <w:tcW w:w="1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in connection with April 2024 Private Placement, net of $7.2 million of transaction costs</w:t>
            </w:r>
          </w:p>
        </w:tc>
        <w:tc>
          <w:tcPr>
            <w:tcW w:w="326" w:type="dxa"/>
            <w:tcBorders/>
            <w:shd w:fill="CCEEFF" w:val="clear"/>
            <w:vAlign w:val="center"/>
          </w:tcPr>
          <w:p>
            <w:pPr>
              <w:pStyle w:val="TableContents"/>
              <w:bidi w:val="0"/>
              <w:spacing w:before="0" w:after="1"/>
              <w:ind w:left="0" w:right="0" w:hanging="0"/>
              <w:jc w:val="left"/>
              <w:rPr/>
            </w:pPr>
            <w:r>
              <w:rPr/>
              <w:t> </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20,090,128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55,221</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55,223</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Pre-Funded Warrants in connection with April 2024 Private Placement</w:t>
            </w:r>
          </w:p>
        </w:tc>
        <w:tc>
          <w:tcPr>
            <w:tcW w:w="326" w:type="dxa"/>
            <w:tcBorders/>
            <w:vAlign w:val="center"/>
          </w:tcPr>
          <w:p>
            <w:pPr>
              <w:pStyle w:val="TableContents"/>
              <w:bidi w:val="0"/>
              <w:spacing w:before="0" w:after="1"/>
              <w:ind w:left="0" w:right="0" w:hanging="0"/>
              <w:jc w:val="left"/>
              <w:rPr/>
            </w:pPr>
            <w:r>
              <w:rPr/>
              <w:t> </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50,030</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50,030</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2,926</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2,926</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redeemable noncontrolling interest to redemption value</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2,337</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(2,337)</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(2,337)</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(10,329)</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(10,329)</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2024</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14,000</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63,683,806</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278,086</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(121,570)</w:t>
            </w:r>
          </w:p>
        </w:tc>
        <w:tc>
          <w:tcPr>
            <w:tcW w:w="326" w:type="dxa"/>
            <w:tcBorders/>
            <w:vAlign w:val="center"/>
          </w:tcPr>
          <w:p>
            <w:pPr>
              <w:pStyle w:val="TableContents"/>
              <w:bidi w:val="0"/>
              <w:spacing w:before="0" w:after="1"/>
              <w:ind w:left="0" w:right="0" w:hanging="0"/>
              <w:jc w:val="right"/>
              <w:rPr/>
            </w:pPr>
            <w:r>
              <w:rPr/>
              <w:t>​</w:t>
            </w:r>
          </w:p>
        </w:tc>
        <w:tc>
          <w:tcPr>
            <w:tcW w:w="332"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1,541</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158,063</w:t>
            </w:r>
          </w:p>
        </w:tc>
      </w:tr>
      <w:tr>
        <w:trPr/>
        <w:tc>
          <w:tcPr>
            <w:tcW w:w="11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March 31, 2023</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10,000</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27,052,155</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69,703</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(41,851)</w:t>
            </w:r>
          </w:p>
        </w:tc>
        <w:tc>
          <w:tcPr>
            <w:tcW w:w="326" w:type="dxa"/>
            <w:tcBorders/>
            <w:vAlign w:val="center"/>
          </w:tcPr>
          <w:p>
            <w:pPr>
              <w:pStyle w:val="TableContents"/>
              <w:bidi w:val="0"/>
              <w:spacing w:before="0" w:after="1"/>
              <w:ind w:left="0" w:right="0" w:hanging="0"/>
              <w:jc w:val="righ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27,855</w:t>
            </w:r>
          </w:p>
        </w:tc>
      </w:tr>
      <w:tr>
        <w:trPr/>
        <w:tc>
          <w:tcPr>
            <w:tcW w:w="11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in connection with April 2023 Private Placement, net of $9.8 million of transaction costs</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15,041,530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54,133</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54,134</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Pre-Funded Warrants in connection with April 2023 Private Placement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16,070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16,070</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to Lilly in connection with 2023 Lilly License</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7,840</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7,840</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share awards</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499,993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7,908</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7,908</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(34,025)</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(34,025)</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Stone Peach Call Right issued to noncontrolling interest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1,541</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1,541</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Deemed dividend to redeemable noncontrolling 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10,875</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(10,875)</w:t>
            </w:r>
          </w:p>
        </w:tc>
        <w:tc>
          <w:tcPr>
            <w:tcW w:w="326" w:type="dxa"/>
            <w:tcBorders/>
            <w:shd w:fill="CCEEFF" w:val="clear"/>
            <w:vAlign w:val="center"/>
          </w:tcPr>
          <w:p>
            <w:pPr>
              <w:pStyle w:val="TableContents"/>
              <w:bidi w:val="0"/>
              <w:spacing w:before="0" w:after="1"/>
              <w:ind w:left="0" w:right="0" w:hanging="0"/>
              <w:jc w:val="righ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(10,875)</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2023</w:t>
            </w:r>
          </w:p>
        </w:tc>
        <w:tc>
          <w:tcPr>
            <w:tcW w:w="326" w:type="dxa"/>
            <w:tcBorders/>
            <w:vAlign w:val="center"/>
          </w:tcPr>
          <w:p>
            <w:pPr>
              <w:pStyle w:val="TableContents"/>
              <w:bidi w:val="0"/>
              <w:spacing w:before="0" w:after="1"/>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20,875</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0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43,593,678</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155,654</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(86,751)</w:t>
            </w:r>
          </w:p>
        </w:tc>
        <w:tc>
          <w:tcPr>
            <w:tcW w:w="326" w:type="dxa"/>
            <w:tcBorders/>
            <w:vAlign w:val="center"/>
          </w:tcPr>
          <w:p>
            <w:pPr>
              <w:pStyle w:val="TableContents"/>
              <w:bidi w:val="0"/>
              <w:spacing w:before="0" w:after="1"/>
              <w:ind w:left="0" w:right="0" w:hanging="0"/>
              <w:jc w:val="right"/>
              <w:rPr/>
            </w:pPr>
            <w:r>
              <w:rPr/>
              <w:t>​</w:t>
            </w:r>
          </w:p>
        </w:tc>
        <w:tc>
          <w:tcPr>
            <w:tcW w:w="3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1,541</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70,448</w:t>
            </w:r>
          </w:p>
        </w:tc>
      </w:tr>
    </w:tbl>
    <w:p>
      <w:pPr>
        <w:pStyle w:val="TextBody"/>
        <w:bidi w:val="0"/>
        <w:spacing w:lineRule="auto" w:line="240" w:before="0" w:after="0"/>
        <w:ind w:left="0" w:right="0" w:hanging="0"/>
        <w:jc w:val="both"/>
        <w:rPr>
          <w:rFonts w:ascii="Times New Roman;Times;serif" w:hAnsi="Times New Roman;Times;serif"/>
          <w:sz w:val="20"/>
        </w:rPr>
      </w:pPr>
      <w:bookmarkStart w:id="920" w:name="_a2d26b84_9158_4fc6_8969_c0ba5fcb50e3"/>
      <w:bookmarkStart w:id="921" w:name="_e5ab42e2_77fd_46c2_a74a_a12088e427dd"/>
      <w:bookmarkEnd w:id="920"/>
      <w:bookmarkEnd w:id="921"/>
      <w:r>
        <w:rPr>
          <w:rFonts w:ascii="Times New Roman;Times;serif" w:hAnsi="Times New Roman;Times;serif"/>
          <w:sz w:val="15"/>
        </w:rPr>
        <w:t>(1)</w:t>
      </w:r>
      <w:r>
        <w:rPr>
          <w:rFonts w:ascii="Times New Roman;Times;serif" w:hAnsi="Times New Roman;Times;serif"/>
          <w:sz w:val="20"/>
        </w:rPr>
        <w:t xml:space="preserve"> The Company’s convertible preferred shares and Class A Ordinary Shares prior to the closing of the Business Combination (as defined in Note 1) have been retroactively restated to reflect the exchange ratio of approximately 108.083 established in the Business Combination Agreement as described in Note 6.</w:t>
      </w:r>
    </w:p>
    <w:p>
      <w:pPr>
        <w:pStyle w:val="TextBody"/>
        <w:bidi w:val="0"/>
        <w:spacing w:before="0" w:after="240"/>
        <w:ind w:left="0" w:right="0" w:hanging="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center"/>
        <w:rPr>
          <w:rFonts w:ascii="Times New Roman;Times;serif" w:hAnsi="Times New Roman;Times;serif"/>
          <w:b/>
          <w:sz w:val="20"/>
        </w:rPr>
      </w:pPr>
      <w:bookmarkStart w:id="922" w:name="_4ef75d17_a140_4e12_b5b6_a53ad9b8ae37"/>
      <w:bookmarkEnd w:id="922"/>
      <w:r>
        <w:rPr>
          <w:rFonts w:ascii="Times New Roman;Times;serif" w:hAnsi="Times New Roman;Times;serif"/>
          <w:b/>
          <w:sz w:val="20"/>
        </w:rPr>
        <w:t>Zura Bio Limited</w:t>
      </w:r>
    </w:p>
    <w:p>
      <w:pPr>
        <w:pStyle w:val="TextBody"/>
        <w:bidi w:val="0"/>
        <w:spacing w:before="0" w:after="0"/>
        <w:ind w:left="0" w:right="0" w:firstLine="360"/>
        <w:jc w:val="center"/>
        <w:rPr>
          <w:rFonts w:ascii="Times New Roman;Times;serif" w:hAnsi="Times New Roman;Times;serif"/>
          <w:b/>
          <w:sz w:val="20"/>
        </w:rPr>
      </w:pPr>
      <w:bookmarkStart w:id="923" w:name="CondensedConsolidatedStatementsofCashFlo"/>
      <w:bookmarkEnd w:id="923"/>
      <w:r>
        <w:rPr>
          <w:rFonts w:ascii="Times New Roman;Times;serif" w:hAnsi="Times New Roman;Times;serif"/>
          <w:b/>
          <w:sz w:val="20"/>
        </w:rPr>
        <w:t>Condensed Consolidated Statements of Cash Flows</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924" w:name="Tc_Xd-mJ98-JUaHG4ZSN08GiQ_55_6"/>
      <w:bookmarkStart w:id="925" w:name="Tc_NMRJgcXwqkaemcoITxhN0A_55_5"/>
      <w:bookmarkStart w:id="926" w:name="Tc_873TpGW3O0-Xuam7qzZt_g_55_2"/>
      <w:bookmarkStart w:id="927" w:name="Tc_tsNbr-dl_k2RmDGN6KaXZg_55_0"/>
      <w:bookmarkStart w:id="928" w:name="Tc_vblxJ6WcrU6xbVgcpIUbOg_54_5"/>
      <w:bookmarkStart w:id="929" w:name="Tc_9HiS-ESIsk-AMS9E7H8Tgw_54_3"/>
      <w:bookmarkStart w:id="930" w:name="Tc_PsRyTLi5LU2_SZtM4qA-EA_54_2"/>
      <w:bookmarkStart w:id="931" w:name="Tc_KWJ5bIJW1kCDLDPg1GvEQQ_54_0"/>
      <w:bookmarkStart w:id="932" w:name="Tc_BiAySHmkekqXlMarExKwBA_53_5"/>
      <w:bookmarkStart w:id="933" w:name="Tc_0SyU0S-GD0iGVsdfeWQU5A_53_3"/>
      <w:bookmarkStart w:id="934" w:name="Tc_ZpUgOZJsNEGQ-ri_yL9jIA_53_2"/>
      <w:bookmarkStart w:id="935" w:name="Tc_1-9XwvYivEapv0FQqNtgKg_53_0"/>
      <w:bookmarkStart w:id="936" w:name="Tc_dcL9BR8Qr0WjpPBbfPvpRQ_52_6"/>
      <w:bookmarkStart w:id="937" w:name="Tc_vE7bVEzcJk2tCOq580fwGw_52_5"/>
      <w:bookmarkStart w:id="938" w:name="Tc_UC89NfC09EexvxtnS2GfGw_52_2"/>
      <w:bookmarkStart w:id="939" w:name="Tc_-t-e5Pgqc02PnSMKUwpLnA_52_0"/>
      <w:bookmarkStart w:id="940" w:name="Tc_Q9Ur-ux5HUmCmoYzDM097g_51_5"/>
      <w:bookmarkStart w:id="941" w:name="Tc_x_-STRv8bEaUYqL867Yn_Q_51_3"/>
      <w:bookmarkStart w:id="942" w:name="Tc_DmJorSMbgkGFAN7ZWlvYIw_51_2"/>
      <w:bookmarkStart w:id="943" w:name="Tc_TWqIvQM57E2Mo8Koayk75Q_51_0"/>
      <w:bookmarkStart w:id="944" w:name="Tc_lqIWw4WIok6P9MQ6nloaVg_50_5"/>
      <w:bookmarkStart w:id="945" w:name="Tc_xXtvqpnuM0KMy6PK5h5-CA_50_3"/>
      <w:bookmarkStart w:id="946" w:name="Tc_89iVy5fAJkGJw9Iudr3J2A_50_2"/>
      <w:bookmarkStart w:id="947" w:name="Tc_Emv3yGR-d0264S4dEVuiBg_50_0"/>
      <w:bookmarkStart w:id="948" w:name="Tc_y5TJLmi410GqbsBESe0SWQ_49_5"/>
      <w:bookmarkStart w:id="949" w:name="Tc_3OGlV5JmhUa20wz7RLQ0fQ_49_3"/>
      <w:bookmarkStart w:id="950" w:name="Tc_L4MPNCEagEuxw-aN2dolFw_49_2"/>
      <w:bookmarkStart w:id="951" w:name="Tc_7pyimbm3D0qteTx0rUmJkA_49_0"/>
      <w:bookmarkStart w:id="952" w:name="Tc_Hu3NsLM0FkikpOORiWouLg_48_5"/>
      <w:bookmarkStart w:id="953" w:name="Tc_7AV0n3UIbkWOrqgBO5mpfg_48_3"/>
      <w:bookmarkStart w:id="954" w:name="Tc_w8EhE9z8tEuqw9dejUdqMw_48_2"/>
      <w:bookmarkStart w:id="955" w:name="Tc_vISu3tqmuUCsSOyxcs2hsQ_48_0"/>
      <w:bookmarkStart w:id="956" w:name="Tc_7xsk4yfjdkW-Q8PdalU48Q_47_5"/>
      <w:bookmarkStart w:id="957" w:name="Tc_-rAvxhmHhkWGtONUFE_FkQ_47_3"/>
      <w:bookmarkStart w:id="958" w:name="Tc_0BHDd02vmk-GzZ6UDVZuIA_47_2"/>
      <w:bookmarkStart w:id="959" w:name="Tc_P3GgPXMtBEWPG57seSdxOw_47_0"/>
      <w:bookmarkStart w:id="960" w:name="Tc_B2U0h4SuFk-esnU2wDh9cg_46_6"/>
      <w:bookmarkStart w:id="961" w:name="Tc_palR6Rz8VE6nl0DPlAEh1A_46_5"/>
      <w:bookmarkStart w:id="962" w:name="Tc_i0I48sbVu0uIl2no5oxPkg_46_2"/>
      <w:bookmarkStart w:id="963" w:name="Tc_PUrwbCPs1k6kgmNyVB068Q_46_0"/>
      <w:bookmarkStart w:id="964" w:name="Tc_3bjmWW3pBUiR9JhDTibpfw_45_5"/>
      <w:bookmarkStart w:id="965" w:name="Tc_sfEV3X1svUijOntyAFLkMw_45_3"/>
      <w:bookmarkStart w:id="966" w:name="Tc_E6ypVQLbOEWDgxLjhqnOBA_45_2"/>
      <w:bookmarkStart w:id="967" w:name="Tc_o283EyiPLEyaZeB9QOn0Dg_45_0"/>
      <w:bookmarkStart w:id="968" w:name="Tc_mdYQwx4cdEyEn-AHV7eO2w_44_5"/>
      <w:bookmarkStart w:id="969" w:name="Tc_gAnJuNd6z0uXY2rTRNOjOg_44_3"/>
      <w:bookmarkStart w:id="970" w:name="Tc_3KoqewBEO0GTluQZtN8tfg_44_2"/>
      <w:bookmarkStart w:id="971" w:name="Tc_TJqU09I2_UOSn9E-n6yPtw_44_0"/>
      <w:bookmarkStart w:id="972" w:name="Tc_r0TaDG-iCEm8hbYzHOD0bA_43_5"/>
      <w:bookmarkStart w:id="973" w:name="Tc_4hxt2ePWE06TSIk_Yffgvw_43_3"/>
      <w:bookmarkStart w:id="974" w:name="Tc_Vyi869G7YEmUy771erQxAw_43_2"/>
      <w:bookmarkStart w:id="975" w:name="Tc_jdkXwWlDlEepTVSsr0z3-A_43_0"/>
      <w:bookmarkStart w:id="976" w:name="Tc_aWJXf4wz-UamcrHmBqhZxw_42_5"/>
      <w:bookmarkStart w:id="977" w:name="Tc_mKSoIEzEMk60g1YQnyYdvQ_42_3"/>
      <w:bookmarkStart w:id="978" w:name="Tc_qakt4aGYk0SQffp3t8wXQw_42_2"/>
      <w:bookmarkStart w:id="979" w:name="Tc_tAedO3y0m0yy7tX7S9JFqw_42_0"/>
      <w:bookmarkStart w:id="980" w:name="Tc_GOvv2-lFO0yfxPgDWiySfA_41_0"/>
      <w:bookmarkStart w:id="981" w:name="Tc_efkLnhdHPECXHf1DHuqtew_39_6"/>
      <w:bookmarkStart w:id="982" w:name="Tc_ggH_tSEILEGHrFnuQLHdPw_39_5"/>
      <w:bookmarkStart w:id="983" w:name="Tc__82La9X5rk6orp4xCX-6yQ_39_3"/>
      <w:bookmarkStart w:id="984" w:name="Tc_M2MZ7U2_okujqSkUWVtP-Q_39_2"/>
      <w:bookmarkStart w:id="985" w:name="Tc_eWWOXvleyE-_MaPONk_Dnw_39_0"/>
      <w:bookmarkStart w:id="986" w:name="Tc_7JH1eGy5YUqhcPCMJKK_Gw_38_6"/>
      <w:bookmarkStart w:id="987" w:name="Tc_L2RpHT-sBkG-xSwkbJljOg_38_5"/>
      <w:bookmarkStart w:id="988" w:name="Tc_QCm8DCxeeEO5EBY3zjntCA_38_3"/>
      <w:bookmarkStart w:id="989" w:name="Tc_fd1GY-ZOBkqyo2VbUGPeLg_38_2"/>
      <w:bookmarkStart w:id="990" w:name="Tc_fOaBY7nX4UWio0MSHrh_eg_38_0"/>
      <w:bookmarkStart w:id="991" w:name="Tc_ngk_QmVpVkCXRv4wkSDy4w_37_0"/>
      <w:bookmarkStart w:id="992" w:name="Tc_JHbqWHGSpUm738KqCb7VWQ_35_5"/>
      <w:bookmarkStart w:id="993" w:name="Tc_eMymSAiqNk-XJ0JCFOchlA_35_2"/>
      <w:bookmarkStart w:id="994" w:name="Tc_7ymV47Wcl0KGBfUM7o9TZg_35_0"/>
      <w:bookmarkStart w:id="995" w:name="Tc_uWO9lePob0SDwi3gjM9VwQ_34_0"/>
      <w:bookmarkStart w:id="996" w:name="Tc_mfZnWRSxeE61yoN3pN4utg_33_0"/>
      <w:bookmarkStart w:id="997" w:name="Tc_5-GF5meZOEiSKT46rd-rrA_32_0"/>
      <w:bookmarkStart w:id="998" w:name="Tc__Y5bSk0IBE6Hjcmgpho5yA_31_3"/>
      <w:bookmarkStart w:id="999" w:name="Tc_PbNhidcnAE-Ley93VO5t1A_31_0"/>
      <w:bookmarkStart w:id="1000" w:name="Tc_FGbp8u28B0ybg8un2Z91kw_30_3"/>
      <w:bookmarkStart w:id="1001" w:name="Tc_9q6i1QzuaU--w8BYf0ujMw_30_0"/>
      <w:bookmarkStart w:id="1002" w:name="Tc_vyWow4-EBEK9PTduq8cPXg_29_3"/>
      <w:bookmarkStart w:id="1003" w:name="Tc_Tc2LRn32gUqWD-V_WwgADQ_29_0"/>
      <w:bookmarkStart w:id="1004" w:name="Tc_9gDLEOTywU6xx_wO4QudoA_28_3"/>
      <w:bookmarkStart w:id="1005" w:name="Tc_KsvlpzVUNUyLeM0peJH_Mg_28_0"/>
      <w:bookmarkStart w:id="1006" w:name="Tc_iQJem2nfd0ax6YTmudbSHQ_27_3"/>
      <w:bookmarkStart w:id="1007" w:name="Tc_OF_n3YSjc0CywSJN9MK93w_27_0"/>
      <w:bookmarkStart w:id="1008" w:name="Tc_H1yvaOdZLk-d6GrvuaYFdA_26_6"/>
      <w:bookmarkStart w:id="1009" w:name="Tc_EzoRot0MekGQt3rv_LWmOQ_26_0"/>
      <w:bookmarkStart w:id="1010" w:name="Tc_fB0Y_nGdWkub4ZB5aLaFBA_25_6"/>
      <w:bookmarkStart w:id="1011" w:name="Tc_o2I_KQ0tpUClstXc9glKyg_25_0"/>
      <w:bookmarkStart w:id="1012" w:name="Tc_SSmExsoPxkWcwm3-rAOxfA_24_0"/>
      <w:bookmarkStart w:id="1013" w:name="Tc_fn8k1iVQS0apUnJxOk7e8Q_23_0"/>
      <w:bookmarkStart w:id="1014" w:name="Tc_M47arOCuzkuQvsWuqNhrdg_22_0"/>
      <w:bookmarkStart w:id="1015" w:name="Tc__UWdFAMee0uJ41PVDORv8g_21_6"/>
      <w:bookmarkStart w:id="1016" w:name="Tc_-s16-jshzECCKeVH_D6KGw_21_0"/>
      <w:bookmarkStart w:id="1017" w:name="Tc_fs7vDM4HjUmtG2JSIbf6mw_20_0"/>
      <w:bookmarkStart w:id="1018" w:name="Tc_a7JWL56bpUiuFxx35UFAtQ_19_0"/>
      <w:bookmarkStart w:id="1019" w:name="Tc_exUNcFBZA0Sh_mA3cjT_Ow_18_0"/>
      <w:bookmarkStart w:id="1020" w:name="Tc_m-10mU2dpk2yDDUJPFjahg_17_0"/>
      <w:bookmarkStart w:id="1021" w:name="Tc_UufkOtIEOkyMIQ8xsKJgbQ_16_0"/>
      <w:bookmarkStart w:id="1022" w:name="Tc_kwBPuKZmyEe7DPhkjYFMPQ_15_0"/>
      <w:bookmarkStart w:id="1023" w:name="Tc_H6ALXuzdNEKAo3lAtxRIug_14_6"/>
      <w:bookmarkStart w:id="1024" w:name="Tc_gC7RRwdzAE-u0Iv1Yj87Ug_14_0"/>
      <w:bookmarkStart w:id="1025" w:name="Tc_yPV9okuO4kyJaNXfL4k_IA_13_0"/>
      <w:bookmarkStart w:id="1026" w:name="Tc_LJzVnsByS0SXn1tQbxC3aw_12_3"/>
      <w:bookmarkStart w:id="1027" w:name="Tc_I4CZgtPbLEGP-1unWObLXw_12_0"/>
      <w:bookmarkStart w:id="1028" w:name="Tc_-ap4iSVtK0a-RSE4iwFg0A_11_3"/>
      <w:bookmarkStart w:id="1029" w:name="Tc_Vy6AUcxVQki2cglssUMUsQ_11_0"/>
      <w:bookmarkStart w:id="1030" w:name="Tc_I0g0iH7vWkelusm0cdsEmw_10_0"/>
      <w:bookmarkStart w:id="1031" w:name="Tc_Xl05Ua_65kWBN0v0Loen0g_9_3"/>
      <w:bookmarkStart w:id="1032" w:name="Tc_XAmzs-dnkkCgzIOezjdYJA_9_0"/>
      <w:bookmarkStart w:id="1033" w:name="Tc_77dKX6OuUESyDsIB63h3CA_8_3"/>
      <w:bookmarkStart w:id="1034" w:name="Tc_3ChRKWCAxEGeJYrlBigOEQ_8_0"/>
      <w:bookmarkStart w:id="1035" w:name="Tc_x7Rx-ZiqN0OycGnkaojedg_7_0"/>
      <w:bookmarkStart w:id="1036" w:name="Tc_KpFCLGstakasv8rbWmzBGA_6_5"/>
      <w:bookmarkStart w:id="1037" w:name="Tc_b1LFBcX2nkeZAr6jomLPng_6_2"/>
      <w:bookmarkStart w:id="1038" w:name="Tc_ukdHgRiyT0CFHKB22dNiAg_6_0"/>
      <w:bookmarkStart w:id="1039" w:name="Tc_-qNF6kbx9k-swuP62g24-g_5_0"/>
      <w:bookmarkStart w:id="1040" w:name="Tc_O2khAz_c10O02tT4YZwwPA_4_5"/>
      <w:bookmarkStart w:id="1041" w:name="Tc_uBqsUz1dZEafp9KBDx9JIQ_4_2"/>
      <w:bookmarkStart w:id="1042" w:name="Tc__0F1bqtjuUaYRaIeApH7cA_3_2"/>
      <w:bookmarkStart w:id="1043" w:name="Tc_hB8GVOPCvke7L4SG6my7Xg_2_2"/>
      <w:bookmarkStart w:id="1044" w:name="Tc_WOBUlVv5HEieRfcSmM5fNA_1_2"/>
      <w:bookmarkStart w:id="1045" w:name="_b3aa5ec4_266d_46aa_86d6_b64dea72f7f8"/>
      <w:bookmarkStart w:id="1046" w:name="Tc_Xd-mJ98-JUaHG4ZSN08GiQ_55_6"/>
      <w:bookmarkStart w:id="1047" w:name="Tc_NMRJgcXwqkaemcoITxhN0A_55_5"/>
      <w:bookmarkStart w:id="1048" w:name="Tc_873TpGW3O0-Xuam7qzZt_g_55_2"/>
      <w:bookmarkStart w:id="1049" w:name="Tc_tsNbr-dl_k2RmDGN6KaXZg_55_0"/>
      <w:bookmarkStart w:id="1050" w:name="Tc_vblxJ6WcrU6xbVgcpIUbOg_54_5"/>
      <w:bookmarkStart w:id="1051" w:name="Tc_9HiS-ESIsk-AMS9E7H8Tgw_54_3"/>
      <w:bookmarkStart w:id="1052" w:name="Tc_PsRyTLi5LU2_SZtM4qA-EA_54_2"/>
      <w:bookmarkStart w:id="1053" w:name="Tc_KWJ5bIJW1kCDLDPg1GvEQQ_54_0"/>
      <w:bookmarkStart w:id="1054" w:name="Tc_BiAySHmkekqXlMarExKwBA_53_5"/>
      <w:bookmarkStart w:id="1055" w:name="Tc_0SyU0S-GD0iGVsdfeWQU5A_53_3"/>
      <w:bookmarkStart w:id="1056" w:name="Tc_ZpUgOZJsNEGQ-ri_yL9jIA_53_2"/>
      <w:bookmarkStart w:id="1057" w:name="Tc_1-9XwvYivEapv0FQqNtgKg_53_0"/>
      <w:bookmarkStart w:id="1058" w:name="Tc_dcL9BR8Qr0WjpPBbfPvpRQ_52_6"/>
      <w:bookmarkStart w:id="1059" w:name="Tc_vE7bVEzcJk2tCOq580fwGw_52_5"/>
      <w:bookmarkStart w:id="1060" w:name="Tc_UC89NfC09EexvxtnS2GfGw_52_2"/>
      <w:bookmarkStart w:id="1061" w:name="Tc_-t-e5Pgqc02PnSMKUwpLnA_52_0"/>
      <w:bookmarkStart w:id="1062" w:name="Tc_Q9Ur-ux5HUmCmoYzDM097g_51_5"/>
      <w:bookmarkStart w:id="1063" w:name="Tc_x_-STRv8bEaUYqL867Yn_Q_51_3"/>
      <w:bookmarkStart w:id="1064" w:name="Tc_DmJorSMbgkGFAN7ZWlvYIw_51_2"/>
      <w:bookmarkStart w:id="1065" w:name="Tc_TWqIvQM57E2Mo8Koayk75Q_51_0"/>
      <w:bookmarkStart w:id="1066" w:name="Tc_lqIWw4WIok6P9MQ6nloaVg_50_5"/>
      <w:bookmarkStart w:id="1067" w:name="Tc_xXtvqpnuM0KMy6PK5h5-CA_50_3"/>
      <w:bookmarkStart w:id="1068" w:name="Tc_89iVy5fAJkGJw9Iudr3J2A_50_2"/>
      <w:bookmarkStart w:id="1069" w:name="Tc_Emv3yGR-d0264S4dEVuiBg_50_0"/>
      <w:bookmarkStart w:id="1070" w:name="Tc_y5TJLmi410GqbsBESe0SWQ_49_5"/>
      <w:bookmarkStart w:id="1071" w:name="Tc_3OGlV5JmhUa20wz7RLQ0fQ_49_3"/>
      <w:bookmarkStart w:id="1072" w:name="Tc_L4MPNCEagEuxw-aN2dolFw_49_2"/>
      <w:bookmarkStart w:id="1073" w:name="Tc_7pyimbm3D0qteTx0rUmJkA_49_0"/>
      <w:bookmarkStart w:id="1074" w:name="Tc_Hu3NsLM0FkikpOORiWouLg_48_5"/>
      <w:bookmarkStart w:id="1075" w:name="Tc_7AV0n3UIbkWOrqgBO5mpfg_48_3"/>
      <w:bookmarkStart w:id="1076" w:name="Tc_w8EhE9z8tEuqw9dejUdqMw_48_2"/>
      <w:bookmarkStart w:id="1077" w:name="Tc_vISu3tqmuUCsSOyxcs2hsQ_48_0"/>
      <w:bookmarkStart w:id="1078" w:name="Tc_7xsk4yfjdkW-Q8PdalU48Q_47_5"/>
      <w:bookmarkStart w:id="1079" w:name="Tc_-rAvxhmHhkWGtONUFE_FkQ_47_3"/>
      <w:bookmarkStart w:id="1080" w:name="Tc_0BHDd02vmk-GzZ6UDVZuIA_47_2"/>
      <w:bookmarkStart w:id="1081" w:name="Tc_P3GgPXMtBEWPG57seSdxOw_47_0"/>
      <w:bookmarkStart w:id="1082" w:name="Tc_B2U0h4SuFk-esnU2wDh9cg_46_6"/>
      <w:bookmarkStart w:id="1083" w:name="Tc_palR6Rz8VE6nl0DPlAEh1A_46_5"/>
      <w:bookmarkStart w:id="1084" w:name="Tc_i0I48sbVu0uIl2no5oxPkg_46_2"/>
      <w:bookmarkStart w:id="1085" w:name="Tc_PUrwbCPs1k6kgmNyVB068Q_46_0"/>
      <w:bookmarkStart w:id="1086" w:name="Tc_3bjmWW3pBUiR9JhDTibpfw_45_5"/>
      <w:bookmarkStart w:id="1087" w:name="Tc_sfEV3X1svUijOntyAFLkMw_45_3"/>
      <w:bookmarkStart w:id="1088" w:name="Tc_E6ypVQLbOEWDgxLjhqnOBA_45_2"/>
      <w:bookmarkStart w:id="1089" w:name="Tc_o283EyiPLEyaZeB9QOn0Dg_45_0"/>
      <w:bookmarkStart w:id="1090" w:name="Tc_mdYQwx4cdEyEn-AHV7eO2w_44_5"/>
      <w:bookmarkStart w:id="1091" w:name="Tc_gAnJuNd6z0uXY2rTRNOjOg_44_3"/>
      <w:bookmarkStart w:id="1092" w:name="Tc_3KoqewBEO0GTluQZtN8tfg_44_2"/>
      <w:bookmarkStart w:id="1093" w:name="Tc_TJqU09I2_UOSn9E-n6yPtw_44_0"/>
      <w:bookmarkStart w:id="1094" w:name="Tc_r0TaDG-iCEm8hbYzHOD0bA_43_5"/>
      <w:bookmarkStart w:id="1095" w:name="Tc_4hxt2ePWE06TSIk_Yffgvw_43_3"/>
      <w:bookmarkStart w:id="1096" w:name="Tc_Vyi869G7YEmUy771erQxAw_43_2"/>
      <w:bookmarkStart w:id="1097" w:name="Tc_jdkXwWlDlEepTVSsr0z3-A_43_0"/>
      <w:bookmarkStart w:id="1098" w:name="Tc_aWJXf4wz-UamcrHmBqhZxw_42_5"/>
      <w:bookmarkStart w:id="1099" w:name="Tc_mKSoIEzEMk60g1YQnyYdvQ_42_3"/>
      <w:bookmarkStart w:id="1100" w:name="Tc_qakt4aGYk0SQffp3t8wXQw_42_2"/>
      <w:bookmarkStart w:id="1101" w:name="Tc_tAedO3y0m0yy7tX7S9JFqw_42_0"/>
      <w:bookmarkStart w:id="1102" w:name="Tc_GOvv2-lFO0yfxPgDWiySfA_41_0"/>
      <w:bookmarkStart w:id="1103" w:name="Tc_efkLnhdHPECXHf1DHuqtew_39_6"/>
      <w:bookmarkStart w:id="1104" w:name="Tc_ggH_tSEILEGHrFnuQLHdPw_39_5"/>
      <w:bookmarkStart w:id="1105" w:name="Tc__82La9X5rk6orp4xCX-6yQ_39_3"/>
      <w:bookmarkStart w:id="1106" w:name="Tc_M2MZ7U2_okujqSkUWVtP-Q_39_2"/>
      <w:bookmarkStart w:id="1107" w:name="Tc_eWWOXvleyE-_MaPONk_Dnw_39_0"/>
      <w:bookmarkStart w:id="1108" w:name="Tc_7JH1eGy5YUqhcPCMJKK_Gw_38_6"/>
      <w:bookmarkStart w:id="1109" w:name="Tc_L2RpHT-sBkG-xSwkbJljOg_38_5"/>
      <w:bookmarkStart w:id="1110" w:name="Tc_QCm8DCxeeEO5EBY3zjntCA_38_3"/>
      <w:bookmarkStart w:id="1111" w:name="Tc_fd1GY-ZOBkqyo2VbUGPeLg_38_2"/>
      <w:bookmarkStart w:id="1112" w:name="Tc_fOaBY7nX4UWio0MSHrh_eg_38_0"/>
      <w:bookmarkStart w:id="1113" w:name="Tc_ngk_QmVpVkCXRv4wkSDy4w_37_0"/>
      <w:bookmarkStart w:id="1114" w:name="Tc_JHbqWHGSpUm738KqCb7VWQ_35_5"/>
      <w:bookmarkStart w:id="1115" w:name="Tc_eMymSAiqNk-XJ0JCFOchlA_35_2"/>
      <w:bookmarkStart w:id="1116" w:name="Tc_7ymV47Wcl0KGBfUM7o9TZg_35_0"/>
      <w:bookmarkStart w:id="1117" w:name="Tc_uWO9lePob0SDwi3gjM9VwQ_34_0"/>
      <w:bookmarkStart w:id="1118" w:name="Tc_mfZnWRSxeE61yoN3pN4utg_33_0"/>
      <w:bookmarkStart w:id="1119" w:name="Tc_5-GF5meZOEiSKT46rd-rrA_32_0"/>
      <w:bookmarkStart w:id="1120" w:name="Tc__Y5bSk0IBE6Hjcmgpho5yA_31_3"/>
      <w:bookmarkStart w:id="1121" w:name="Tc_PbNhidcnAE-Ley93VO5t1A_31_0"/>
      <w:bookmarkStart w:id="1122" w:name="Tc_FGbp8u28B0ybg8un2Z91kw_30_3"/>
      <w:bookmarkStart w:id="1123" w:name="Tc_9q6i1QzuaU--w8BYf0ujMw_30_0"/>
      <w:bookmarkStart w:id="1124" w:name="Tc_vyWow4-EBEK9PTduq8cPXg_29_3"/>
      <w:bookmarkStart w:id="1125" w:name="Tc_Tc2LRn32gUqWD-V_WwgADQ_29_0"/>
      <w:bookmarkStart w:id="1126" w:name="Tc_9gDLEOTywU6xx_wO4QudoA_28_3"/>
      <w:bookmarkStart w:id="1127" w:name="Tc_KsvlpzVUNUyLeM0peJH_Mg_28_0"/>
      <w:bookmarkStart w:id="1128" w:name="Tc_iQJem2nfd0ax6YTmudbSHQ_27_3"/>
      <w:bookmarkStart w:id="1129" w:name="Tc_OF_n3YSjc0CywSJN9MK93w_27_0"/>
      <w:bookmarkStart w:id="1130" w:name="Tc_H1yvaOdZLk-d6GrvuaYFdA_26_6"/>
      <w:bookmarkStart w:id="1131" w:name="Tc_EzoRot0MekGQt3rv_LWmOQ_26_0"/>
      <w:bookmarkStart w:id="1132" w:name="Tc_fB0Y_nGdWkub4ZB5aLaFBA_25_6"/>
      <w:bookmarkStart w:id="1133" w:name="Tc_o2I_KQ0tpUClstXc9glKyg_25_0"/>
      <w:bookmarkStart w:id="1134" w:name="Tc_SSmExsoPxkWcwm3-rAOxfA_24_0"/>
      <w:bookmarkStart w:id="1135" w:name="Tc_fn8k1iVQS0apUnJxOk7e8Q_23_0"/>
      <w:bookmarkStart w:id="1136" w:name="Tc_M47arOCuzkuQvsWuqNhrdg_22_0"/>
      <w:bookmarkStart w:id="1137" w:name="Tc__UWdFAMee0uJ41PVDORv8g_21_6"/>
      <w:bookmarkStart w:id="1138" w:name="Tc_-s16-jshzECCKeVH_D6KGw_21_0"/>
      <w:bookmarkStart w:id="1139" w:name="Tc_fs7vDM4HjUmtG2JSIbf6mw_20_0"/>
      <w:bookmarkStart w:id="1140" w:name="Tc_a7JWL56bpUiuFxx35UFAtQ_19_0"/>
      <w:bookmarkStart w:id="1141" w:name="Tc_exUNcFBZA0Sh_mA3cjT_Ow_18_0"/>
      <w:bookmarkStart w:id="1142" w:name="Tc_m-10mU2dpk2yDDUJPFjahg_17_0"/>
      <w:bookmarkStart w:id="1143" w:name="Tc_UufkOtIEOkyMIQ8xsKJgbQ_16_0"/>
      <w:bookmarkStart w:id="1144" w:name="Tc_kwBPuKZmyEe7DPhkjYFMPQ_15_0"/>
      <w:bookmarkStart w:id="1145" w:name="Tc_H6ALXuzdNEKAo3lAtxRIug_14_6"/>
      <w:bookmarkStart w:id="1146" w:name="Tc_gC7RRwdzAE-u0Iv1Yj87Ug_14_0"/>
      <w:bookmarkStart w:id="1147" w:name="Tc_yPV9okuO4kyJaNXfL4k_IA_13_0"/>
      <w:bookmarkStart w:id="1148" w:name="Tc_LJzVnsByS0SXn1tQbxC3aw_12_3"/>
      <w:bookmarkStart w:id="1149" w:name="Tc_I4CZgtPbLEGP-1unWObLXw_12_0"/>
      <w:bookmarkStart w:id="1150" w:name="Tc_-ap4iSVtK0a-RSE4iwFg0A_11_3"/>
      <w:bookmarkStart w:id="1151" w:name="Tc_Vy6AUcxVQki2cglssUMUsQ_11_0"/>
      <w:bookmarkStart w:id="1152" w:name="Tc_I0g0iH7vWkelusm0cdsEmw_10_0"/>
      <w:bookmarkStart w:id="1153" w:name="Tc_Xl05Ua_65kWBN0v0Loen0g_9_3"/>
      <w:bookmarkStart w:id="1154" w:name="Tc_XAmzs-dnkkCgzIOezjdYJA_9_0"/>
      <w:bookmarkStart w:id="1155" w:name="Tc_77dKX6OuUESyDsIB63h3CA_8_3"/>
      <w:bookmarkStart w:id="1156" w:name="Tc_3ChRKWCAxEGeJYrlBigOEQ_8_0"/>
      <w:bookmarkStart w:id="1157" w:name="Tc_x7Rx-ZiqN0OycGnkaojedg_7_0"/>
      <w:bookmarkStart w:id="1158" w:name="Tc_KpFCLGstakasv8rbWmzBGA_6_5"/>
      <w:bookmarkStart w:id="1159" w:name="Tc_b1LFBcX2nkeZAr6jomLPng_6_2"/>
      <w:bookmarkStart w:id="1160" w:name="Tc_ukdHgRiyT0CFHKB22dNiAg_6_0"/>
      <w:bookmarkStart w:id="1161" w:name="Tc_-qNF6kbx9k-swuP62g24-g_5_0"/>
      <w:bookmarkStart w:id="1162" w:name="Tc_O2khAz_c10O02tT4YZwwPA_4_5"/>
      <w:bookmarkStart w:id="1163" w:name="Tc_uBqsUz1dZEafp9KBDx9JIQ_4_2"/>
      <w:bookmarkStart w:id="1164" w:name="Tc__0F1bqtjuUaYRaIeApH7cA_3_2"/>
      <w:bookmarkStart w:id="1165" w:name="Tc_hB8GVOPCvke7L4SG6my7Xg_2_2"/>
      <w:bookmarkStart w:id="1166" w:name="Tc_WOBUlVv5HEieRfcSmM5fNA_1_2"/>
      <w:bookmarkStart w:id="1167" w:name="_b3aa5ec4_266d_46aa_86d6_b64dea72f7f8"/>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tbl>
      <w:tblPr>
        <w:tblW w:w="10205" w:type="dxa"/>
        <w:jc w:val="left"/>
        <w:tblInd w:w="0" w:type="dxa"/>
        <w:tblLayout w:type="fixed"/>
        <w:tblCellMar>
          <w:top w:w="0" w:type="dxa"/>
          <w:left w:w="0" w:type="dxa"/>
          <w:bottom w:w="0" w:type="dxa"/>
          <w:right w:w="0" w:type="dxa"/>
        </w:tblCellMar>
      </w:tblPr>
      <w:tblGrid>
        <w:gridCol w:w="7685"/>
        <w:gridCol w:w="326"/>
        <w:gridCol w:w="196"/>
        <w:gridCol w:w="715"/>
        <w:gridCol w:w="326"/>
        <w:gridCol w:w="196"/>
        <w:gridCol w:w="761"/>
      </w:tblGrid>
      <w:tr>
        <w:trPr/>
        <w:tc>
          <w:tcPr>
            <w:tcW w:w="7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879975" cy="175260"/>
                      <wp:effectExtent l="0" t="0" r="0" b="0"/>
                      <wp:wrapNone/>
                      <wp:docPr id="77" name="Frame77"/>
                      <a:graphic xmlns:a="http://schemas.openxmlformats.org/drawingml/2006/main">
                        <a:graphicData uri="http://schemas.microsoft.com/office/word/2010/wordprocessingShape">
                          <wps:wsp>
                            <wps:cNvSpPr txBox="1"/>
                            <wps:spPr>
                              <a:xfrm>
                                <a:off x="0" y="0"/>
                                <a:ext cx="4879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54025" cy="175260"/>
                      <wp:effectExtent l="0" t="0" r="0" b="0"/>
                      <wp:wrapNone/>
                      <wp:docPr id="80" name="Frame80"/>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83235" cy="175260"/>
                      <wp:effectExtent l="0" t="0" r="0" b="0"/>
                      <wp:wrapNone/>
                      <wp:docPr id="83" name="Frame83"/>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9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r>
      <w:tr>
        <w:trPr/>
        <w:tc>
          <w:tcPr>
            <w:tcW w:w="76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9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Months Ended </w:t>
            </w:r>
          </w:p>
        </w:tc>
      </w:tr>
      <w:tr>
        <w:trPr/>
        <w:tc>
          <w:tcPr>
            <w:tcW w:w="76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76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before redeemable noncontrolling 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(43,820)</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acquired license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27,381</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Anti-dilution share issuance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2,498</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note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2,244</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research and development license consideration liability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private placement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exchange transaction (gain)/loss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and accrued expenses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(8,430)</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fixed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research and development license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(5,750)</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(5,750)</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Ordinary Shares in connection with April 2024 Private Placement, net of $7.2 million of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Pre-Funded Warrants in connection with April 2024 Private Placement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Ordinary Shares in connection with April 2023 Private Placement, net of $0.1 million of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63,846</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Class A Ordinary Shares upon Closing of Business Combination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56,683</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Pre-Funded Warrants in connection with April 2023 Private Placement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16,070</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Settlement of note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deferred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105,253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125,415</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111,235</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99,806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1,567</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ending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188,443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112,802</w:t>
            </w:r>
          </w:p>
        </w:tc>
      </w:tr>
      <w:tr>
        <w:trPr/>
        <w:tc>
          <w:tcPr>
            <w:tcW w:w="76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6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Series A-1 convertible preferred shares for Class A Ordinary Shares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14,686</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2023 Lilly License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12,250</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Deemed dividend to redeemable noncontrolling 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10,875</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Class A Ordinary shares for 2023 Lilly License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7,840</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redeemable noncontrolling interest from redemption value to carrying value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equity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5,590</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Settlement of research and development license consideration liability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 costs include in 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4,122</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Reclassification of deferred offering costs to additional paid-in capital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4,015</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Assumption of public and private placement warrants in connection with Business Combination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3,715</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redeemable noncontrolling interest to redemption value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pPr>
            <w:r>
              <w:rPr/>
              <w:t>—</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Reclassification of public warrant liability to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2,001</w:t>
            </w:r>
          </w:p>
        </w:tc>
      </w:tr>
      <w:tr>
        <w:trPr/>
        <w:tc>
          <w:tcPr>
            <w:tcW w:w="7685"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Call Right to noncontrolling 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1,541</w:t>
            </w:r>
          </w:p>
        </w:tc>
      </w:tr>
      <w:tr>
        <w:trPr/>
        <w:tc>
          <w:tcPr>
            <w:tcW w:w="76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and equipment included in 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180"/>
        <w:ind w:left="0" w:right="0" w:firstLine="36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68" w:name="_73740cb3_8796_402c_ba51_de926ae6e284"/>
      <w:bookmarkEnd w:id="1168"/>
      <w:r>
        <w:rPr>
          <w:rFonts w:ascii="Times New Roman;Times;serif" w:hAnsi="Times New Roman;Times;serif"/>
          <w:b/>
          <w:sz w:val="20"/>
        </w:rPr>
        <w:t>Zura Bio Limited</w:t>
      </w:r>
    </w:p>
    <w:p>
      <w:pPr>
        <w:pStyle w:val="TextBody"/>
        <w:bidi w:val="0"/>
        <w:spacing w:before="0" w:after="240"/>
        <w:ind w:left="0" w:right="0" w:hanging="0"/>
        <w:jc w:val="center"/>
        <w:rPr>
          <w:rFonts w:ascii="Times New Roman;Times;serif" w:hAnsi="Times New Roman;Times;serif"/>
          <w:b/>
          <w:sz w:val="20"/>
        </w:rPr>
      </w:pPr>
      <w:bookmarkStart w:id="1169" w:name="NotestoUnauditedCondensedConsolidatedFin"/>
      <w:bookmarkEnd w:id="1169"/>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4026" w:type="dxa"/>
        <w:jc w:val="left"/>
        <w:tblInd w:w="0" w:type="dxa"/>
        <w:tblLayout w:type="fixed"/>
        <w:tblCellMar>
          <w:top w:w="0" w:type="dxa"/>
          <w:left w:w="0" w:type="dxa"/>
          <w:bottom w:w="0" w:type="dxa"/>
          <w:right w:w="0"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6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Organization and Description of Business</w:t>
            </w:r>
          </w:p>
        </w:tc>
      </w:tr>
    </w:tbl>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Zura Bio Limited, a Cayman Islands exempted company, formerly known as JATT Acquisition Corp (“JATT”), together with its subsidiaries (collectively, the “Company” or “Zura” or “Zura Bio”), is a clinical-stage biotechnology company advancing immunology assets into Phase 2 development programs, including crebankitug (ZB-168), a fully anti-IL7Ra monoclonal antibody, which it has licensed from Pfizer, Inc. (“Pfizer”), as well as torudokimab (ZB-880), a high affinity monoclonal antibody, and tibulizumab (ZB-106), a bispecific antibody relating to IL-17 and BAFF, which it has licensed from Eli Lilly and Company (“Lilly”). The Company’s accounting predecessor, Zura Bio Limited (herein referred to as “Legacy Zura”), was formed in the United Kingdom (“UK”) on January 18, 2022 (“Inception”).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Combination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Legacy Zura. Pursuant to the Business Combination Agreement, (a) before the closing of the Business Combination, Holdco was established as a new holding company of Legacy Zura and became a party to the Business Combination Agreement; and (b) on the Closing,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Business Combination has been accounted for as a reverse recapitalization, with Legacy Zura being the accounting acquirer and JATT as the acquired company for accounting purposes. Accordingly, all historical financial information presented in the unaudited condensed consolidated financial statements represent the accounts of Legacy Zura. The shares and net loss per share attributable to ordinary shareholders of Legacy Zura prior to the Closing Date have been retroactively restated as shares reflecting the exchange ratio established in the Business Combination Agreement.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under the symbols “ZURA” and “ZURAW,”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Emerging Growth Company Status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51" w:type="dxa"/>
        <w:jc w:val="left"/>
        <w:tblInd w:w="0" w:type="dxa"/>
        <w:tblLayout w:type="fixed"/>
        <w:tblCellMar>
          <w:top w:w="0" w:type="dxa"/>
          <w:left w:w="0" w:type="dxa"/>
          <w:bottom w:w="0" w:type="dxa"/>
          <w:right w:w="0"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387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unaudited condensed consolidated financial statements (the “condensed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 If necessary, reclassification of amounts previously reported have been made in the accompanying condensed consolidated financial statements in order to conform to current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in accordance with U.S. GAAP applicable to interim financial statements. These condensed consolidated financial statements are presented in accordance with the rules and regulations of the U.S. Securities and Exchange Commission (“SEC”) and do not include all disclosures normally required in annual consolidated financial statements prepared in accordance with U.S. GAAP. As such, the information included herein should be read in conjunction with the Company’s consolidated financial statements and accompanying notes as of and for the year ended December 31, 2023 (the “audited consolidated financial statements”) that were included in the Company’s Form 10-K filed with the SEC on March 28, 2024. 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June 30, 2024 and the results of operations for the three months ended June 30, 2024 and 2023 and for the six months ended June 30, 2024 and 2023. The results of operations for the six months ended June 30, 2024 are not necessarily indicative of the results to be expected for the full year ending December 31, 2024 or any other future interim or annual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for the addition of property and equipment, there have been no significant changes in the Company’s significant accounting policies from those that were disclosed in Note 2, Summary of Significant Accounting Policies, included in the Company’s consolidated financial statements in Form 10-K filed with the SEC on March 28,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the fair value of Class A Ordinary Shares and other assumptions used to measure share-based compensation, the fair value of redeemable noncontrolling interest, and the fair value of public and private placement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future product candidates will require approvals from the U.S. Food and Drug Administration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170" w:name="Tc_DJl4N2ODzUiKlj3j3yK7FA_9_0"/>
      <w:bookmarkStart w:id="1171" w:name="Tc_ZlT1O9yzMEiSj5uvAsIrww_8_2"/>
      <w:bookmarkStart w:id="1172" w:name="Tc_nNs218wCbUmVAjF5tA7OLQ_8_0"/>
      <w:bookmarkStart w:id="1173" w:name="Tc_0L5UVL_5lkaBe177JapWkA_7_0"/>
      <w:bookmarkStart w:id="1174" w:name="Tc_zMZVz2N1dEKqpRS3BDpgYg_6_0"/>
      <w:bookmarkStart w:id="1175" w:name="Tc_VmE3W4U5a0uqBQWQ33PiJA_5_4"/>
      <w:bookmarkStart w:id="1176" w:name="Tc_H0g_yMaMjkm5w6OKlWb-Iw_5_0"/>
      <w:bookmarkStart w:id="1177" w:name="Tc_SCDcZZnXxUGf9dCWIr8RqA_4_0"/>
      <w:bookmarkStart w:id="1178" w:name="Tc_NpDwJMWPYEeZxo8Wyq2mqg_3_0"/>
      <w:bookmarkStart w:id="1179" w:name="Tc_fbB8GDip60mRYSsuJQlZOg_2_4"/>
      <w:bookmarkStart w:id="1180" w:name="Tc_8pKPkFvnkEioD-ERVvolmw_2_2"/>
      <w:bookmarkStart w:id="1181" w:name="Tc_jezIRAp5w0iFkJlI2aEeGQ_1_4"/>
      <w:bookmarkStart w:id="1182" w:name="Tc_xFZPJ6evRkil4rFUuYLk5w_1_2"/>
      <w:bookmarkEnd w:id="1170"/>
      <w:bookmarkEnd w:id="1171"/>
      <w:bookmarkEnd w:id="1172"/>
      <w:bookmarkEnd w:id="1173"/>
      <w:bookmarkEnd w:id="1174"/>
      <w:bookmarkEnd w:id="1175"/>
      <w:bookmarkEnd w:id="1176"/>
      <w:bookmarkEnd w:id="1177"/>
      <w:bookmarkEnd w:id="1178"/>
      <w:bookmarkEnd w:id="1179"/>
      <w:bookmarkEnd w:id="1180"/>
      <w:bookmarkEnd w:id="1181"/>
      <w:bookmarkEnd w:id="1182"/>
      <w:r>
        <w:rPr>
          <w:rFonts w:ascii="Times New Roman;Times;serif" w:hAnsi="Times New Roman;Times;serif"/>
          <w:b/>
          <w:i/>
          <w:sz w:val="20"/>
        </w:rPr>
        <w:t>Property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are stated at cost less accumulated depreciation. Depreciation expense is recognized using the straight-line method over the estimated useful life of each asset. Computer and office equipment are depreciated over three years. Expenditures for repairs and maintenance are recorded to expense as incurred.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computed by dividing net loss attributable to Class A Ordinary Shareholders by the weighted-average number of Class A Ordinary Shares outstanding during the period. Diluted net loss per share excludes the potential impact of the Company’s convertible preferred shares and options to purchase Class A Ordinary Shares because their effect would be anti-dilutive due to the Company’s net loss for the period presented. Since the Company had a net loss in the period presented, basic and diluted net loss per share are the same.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provides potentially dilutive securities not included in the calculation of the diluted net loss per share because to do so would be anti-dilutive: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376"/>
        <w:gridCol w:w="326"/>
        <w:gridCol w:w="1036"/>
        <w:gridCol w:w="326"/>
        <w:gridCol w:w="1141"/>
      </w:tblGrid>
      <w:tr>
        <w:trPr/>
        <w:tc>
          <w:tcPr>
            <w:tcW w:w="7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683760" cy="175260"/>
                      <wp:effectExtent l="0" t="0" r="0" b="0"/>
                      <wp:wrapNone/>
                      <wp:docPr id="84" name="Frame84"/>
                      <a:graphic xmlns:a="http://schemas.openxmlformats.org/drawingml/2006/main">
                        <a:graphicData uri="http://schemas.microsoft.com/office/word/2010/wordprocessingShape">
                          <wps:wsp>
                            <wps:cNvSpPr txBox="1"/>
                            <wps:spPr>
                              <a:xfrm>
                                <a:off x="0" y="0"/>
                                <a:ext cx="468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57860" cy="175260"/>
                      <wp:effectExtent l="0" t="0" r="0" b="0"/>
                      <wp:wrapNone/>
                      <wp:docPr id="86" name="Frame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24535" cy="175260"/>
                      <wp:effectExtent l="0" t="0" r="0" b="0"/>
                      <wp:wrapNone/>
                      <wp:docPr id="88" name="Frame8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7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upon exercise of the public and private placement to purchase Class A Ordinary Shares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12,809,996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12,809,996</w:t>
            </w:r>
          </w:p>
        </w:tc>
      </w:tr>
      <w:tr>
        <w:trPr/>
        <w:tc>
          <w:tcPr>
            <w:tcW w:w="73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upon exercise of options to purchase Class A Ordinary Shares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9,975,424</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5,681,471</w:t>
            </w:r>
          </w:p>
        </w:tc>
      </w:tr>
      <w:tr>
        <w:trPr/>
        <w:tc>
          <w:tcPr>
            <w:tcW w:w="73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upon exercise of Z33 Series Seed Preferred Shares Put Right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73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 units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1,131,970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898,018</w:t>
            </w:r>
          </w:p>
        </w:tc>
      </w:tr>
      <w:tr>
        <w:trPr/>
        <w:tc>
          <w:tcPr>
            <w:tcW w:w="73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 awards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374,995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499,993</w:t>
            </w:r>
          </w:p>
        </w:tc>
      </w:tr>
      <w:tr>
        <w:trPr/>
        <w:tc>
          <w:tcPr>
            <w:tcW w:w="73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upon exercise of Z33 Series Seed Preferred Shares call option</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2,000,000</w:t>
            </w:r>
          </w:p>
        </w:tc>
      </w:tr>
      <w:tr>
        <w:trPr/>
        <w:tc>
          <w:tcPr>
            <w:tcW w:w="73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26,292,385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21,889,478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results of operations, or cash flows upon adoption.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2023, the FASB issued ASU 2023-07, Segment Reporting (“ASU 2023-07”). ASU 2023-07 requires disclosure of significant segment expenses that are regularly provided to the chief operating decision maker and included within the segment measure of profit or loss. This guidance will be applied retrospectively and is effective for annual reporting periods in fiscal years beginning after December 15, 2023, and interim reporting periods in fiscal years beginning after December 31, 2024. The Company does not expect implementation of the new guidance to have a material impact on its consolidated financial statements and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ASU 2023-09 requires annual disclosures of specific categories in the rate reconciliation, additional information for reconciling items that meet a quantitative threshold and a disaggregation of income taxes paid, net of refunds. ASU 2023-09 also eliminates certain existing disclosure requirements related to uncertain tax positions and unrecognized deferred tax liabilities. ASU 2023-09 is effective for the Company beginning with the 2025 Annual Report on Form 10-K. Early adoption is permitted. ASU 2023-09 should be applied prospectively. Retrospective adoption is permitted. The Company is currently assessing the impact this standard will have on the Company’s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83" w:name="_afc04556_0680_42a5_8c3d_7813943baa04_3"/>
      <w:bookmarkStart w:id="1184" w:name="_afc04556_0680_42a5_8c3d_7813943baa04_2"/>
      <w:bookmarkStart w:id="1185" w:name="_afc04556_0680_42a5_8c3d_7813943baa04"/>
      <w:bookmarkStart w:id="1186" w:name="_5bd520bf_84ad_471a_a05b_ad53e7c93b04_3"/>
      <w:bookmarkStart w:id="1187" w:name="_5bd520bf_84ad_471a_a05b_ad53e7c93b04_2"/>
      <w:bookmarkStart w:id="1188" w:name="_5bd520bf_84ad_471a_a05b_ad53e7c93b04"/>
      <w:bookmarkStart w:id="1189" w:name="Tc_8ScsSsBavUK3dsiIKal81w_6_11"/>
      <w:bookmarkStart w:id="1190" w:name="Tc_Udt5SE4qOEq-j8avI02uTQ_6_9"/>
      <w:bookmarkStart w:id="1191" w:name="Tc_8ZB4mvDcNU-OiVbAaasWGQ_6_8"/>
      <w:bookmarkStart w:id="1192" w:name="Tc_goBZ3zfobkiqkS0zwSFYyg_6_5"/>
      <w:bookmarkStart w:id="1193" w:name="Tc_zZ-0btLrHUuU5MMpyZa-Rw_6_3"/>
      <w:bookmarkStart w:id="1194" w:name="Tc_f4yR1VMJhU-xNTrpqIbFKA_6_2"/>
      <w:bookmarkStart w:id="1195" w:name="Tc_qkfGsleMhE-qR-bdBgn8Dg_6_0"/>
      <w:bookmarkStart w:id="1196" w:name="Tc_cwx5BCvsskagrUcFOs83RQ_5_0"/>
      <w:bookmarkStart w:id="1197" w:name="Tc_qaYV0Obb5UqPrkYGWMStVA_4_11"/>
      <w:bookmarkStart w:id="1198" w:name="Tc_U7-JWllS8EmiXAXCHc41pg_4_9"/>
      <w:bookmarkStart w:id="1199" w:name="Tc_KGqsKWtssU6werO-8E19Hg_4_8"/>
      <w:bookmarkStart w:id="1200" w:name="Tc_DYwwX5vfPkaWX7loSgda8Q_4_6"/>
      <w:bookmarkStart w:id="1201" w:name="Tc_6nSPsn1TzEaC2aDuLuwShQ_4_5"/>
      <w:bookmarkStart w:id="1202" w:name="Tc_cVNuPs9SMEKW6E7tmUh_YA_4_2"/>
      <w:bookmarkStart w:id="1203" w:name="Tc_BzepsFK9b0-5SI4rOHv3mQ_4_0"/>
      <w:bookmarkStart w:id="1204" w:name="Tc_aaTTg9tyxEO6EKl8wX3OrA_3_0"/>
      <w:bookmarkStart w:id="1205" w:name="Tc_FE4y0F6WSkSm_O5Q6kFJ4A_2_11"/>
      <w:bookmarkStart w:id="1206" w:name="Tc_Y3AlWvm2AkqzZvdf_aRpVQ_2_8"/>
      <w:bookmarkStart w:id="1207" w:name="Tc_HX3uDQEmm0u7T8HZzr93_w_2_5"/>
      <w:bookmarkStart w:id="1208" w:name="Tc_NX7AGXkiQ0ac2ahofsqfPg_2_2"/>
      <w:bookmarkStart w:id="1209" w:name="Tc_Kvv9sZeZK0yC7kjEa92HGA_1_2"/>
      <w:bookmarkStart w:id="1210" w:name="_8e2a5c87_dd31_4a26_9a05_eb484ac5fda3"/>
      <w:bookmarkStart w:id="1211" w:name="Tc_i_-YmfYN_0uzH0erzfL2Jw_6_11"/>
      <w:bookmarkStart w:id="1212" w:name="Tc_z-yqtSkX2k25KbreNo6K4Q_6_9"/>
      <w:bookmarkStart w:id="1213" w:name="Tc_tpJeY9TMsk6nC2-Nz-lFGA_6_8"/>
      <w:bookmarkStart w:id="1214" w:name="Tc_3CtZWJ2DHkKuDW70bvQuiw_6_5"/>
      <w:bookmarkStart w:id="1215" w:name="Tc_IqfiqDq3kkmHlh3P99dOEQ_6_3"/>
      <w:bookmarkStart w:id="1216" w:name="Tc_saZwCs5dTUmRRHDBltbjwg_6_2"/>
      <w:bookmarkStart w:id="1217" w:name="Tc_LA35mTcmPk2yGvU_kcNw7g_6_0"/>
      <w:bookmarkStart w:id="1218" w:name="Tc_kJ-Auk80uki7keFDIQyuRQ_5_0"/>
      <w:bookmarkStart w:id="1219" w:name="Tc_e6wVfykC7UWOa3ov8G972w_4_11"/>
      <w:bookmarkStart w:id="1220" w:name="Tc_p_5EnQiASEyBFgdpG7NC0A_4_9"/>
      <w:bookmarkStart w:id="1221" w:name="Tc_WiwbhgaE5k2pkKAkcm2WaA_4_8"/>
      <w:bookmarkStart w:id="1222" w:name="Tc_NgsZOa6Uv0KzDuidPRRciA_4_6"/>
      <w:bookmarkStart w:id="1223" w:name="Tc_BP030KCRpkaa4YFs6C1NAQ_4_5"/>
      <w:bookmarkStart w:id="1224" w:name="Tc_hv57zDfmeEmUlyWR6N9ifw_4_2"/>
      <w:bookmarkStart w:id="1225" w:name="Tc_Sdm2xBX-MUehaT-x8YA-Fw_4_0"/>
      <w:bookmarkStart w:id="1226" w:name="Tc_mJvevqw2zkm3p7yzok4ITg_3_0"/>
      <w:bookmarkStart w:id="1227" w:name="Tc_ylZCE7YL6k6Je7humaQ1Rw_2_11"/>
      <w:bookmarkStart w:id="1228" w:name="Tc_oLxJnpG0gUup1FCP4zRu_w_2_8"/>
      <w:bookmarkStart w:id="1229" w:name="Tc_u4Cjk7mSxEOR360HRuQ__A_2_5"/>
      <w:bookmarkStart w:id="1230" w:name="Tc_UDG6xwJVnkOxgNybE4rp4A_2_2"/>
      <w:bookmarkStart w:id="1231" w:name="Tc_lF7sjQ2JNUWh9pd2nGkfzg_1_2"/>
      <w:bookmarkStart w:id="1232" w:name="_2dc1bc59_00c8_4d91_9908_69d61c21f06b"/>
      <w:bookmarkStart w:id="1233" w:name="_afc04556_0680_42a5_8c3d_7813943baa04_3"/>
      <w:bookmarkStart w:id="1234" w:name="_afc04556_0680_42a5_8c3d_7813943baa04_2"/>
      <w:bookmarkStart w:id="1235" w:name="_afc04556_0680_42a5_8c3d_7813943baa04"/>
      <w:bookmarkStart w:id="1236" w:name="_5bd520bf_84ad_471a_a05b_ad53e7c93b04_3"/>
      <w:bookmarkStart w:id="1237" w:name="_5bd520bf_84ad_471a_a05b_ad53e7c93b04_2"/>
      <w:bookmarkStart w:id="1238" w:name="_5bd520bf_84ad_471a_a05b_ad53e7c93b04"/>
      <w:bookmarkStart w:id="1239" w:name="Tc_8ScsSsBavUK3dsiIKal81w_6_11"/>
      <w:bookmarkStart w:id="1240" w:name="Tc_Udt5SE4qOEq-j8avI02uTQ_6_9"/>
      <w:bookmarkStart w:id="1241" w:name="Tc_8ZB4mvDcNU-OiVbAaasWGQ_6_8"/>
      <w:bookmarkStart w:id="1242" w:name="Tc_goBZ3zfobkiqkS0zwSFYyg_6_5"/>
      <w:bookmarkStart w:id="1243" w:name="Tc_zZ-0btLrHUuU5MMpyZa-Rw_6_3"/>
      <w:bookmarkStart w:id="1244" w:name="Tc_f4yR1VMJhU-xNTrpqIbFKA_6_2"/>
      <w:bookmarkStart w:id="1245" w:name="Tc_qkfGsleMhE-qR-bdBgn8Dg_6_0"/>
      <w:bookmarkStart w:id="1246" w:name="Tc_cwx5BCvsskagrUcFOs83RQ_5_0"/>
      <w:bookmarkStart w:id="1247" w:name="Tc_qaYV0Obb5UqPrkYGWMStVA_4_11"/>
      <w:bookmarkStart w:id="1248" w:name="Tc_U7-JWllS8EmiXAXCHc41pg_4_9"/>
      <w:bookmarkStart w:id="1249" w:name="Tc_KGqsKWtssU6werO-8E19Hg_4_8"/>
      <w:bookmarkStart w:id="1250" w:name="Tc_DYwwX5vfPkaWX7loSgda8Q_4_6"/>
      <w:bookmarkStart w:id="1251" w:name="Tc_6nSPsn1TzEaC2aDuLuwShQ_4_5"/>
      <w:bookmarkStart w:id="1252" w:name="Tc_cVNuPs9SMEKW6E7tmUh_YA_4_2"/>
      <w:bookmarkStart w:id="1253" w:name="Tc_BzepsFK9b0-5SI4rOHv3mQ_4_0"/>
      <w:bookmarkStart w:id="1254" w:name="Tc_aaTTg9tyxEO6EKl8wX3OrA_3_0"/>
      <w:bookmarkStart w:id="1255" w:name="Tc_FE4y0F6WSkSm_O5Q6kFJ4A_2_11"/>
      <w:bookmarkStart w:id="1256" w:name="Tc_Y3AlWvm2AkqzZvdf_aRpVQ_2_8"/>
      <w:bookmarkStart w:id="1257" w:name="Tc_HX3uDQEmm0u7T8HZzr93_w_2_5"/>
      <w:bookmarkStart w:id="1258" w:name="Tc_NX7AGXkiQ0ac2ahofsqfPg_2_2"/>
      <w:bookmarkStart w:id="1259" w:name="Tc_Kvv9sZeZK0yC7kjEa92HGA_1_2"/>
      <w:bookmarkStart w:id="1260" w:name="_8e2a5c87_dd31_4a26_9a05_eb484ac5fda3"/>
      <w:bookmarkStart w:id="1261" w:name="Tc_i_-YmfYN_0uzH0erzfL2Jw_6_11"/>
      <w:bookmarkStart w:id="1262" w:name="Tc_z-yqtSkX2k25KbreNo6K4Q_6_9"/>
      <w:bookmarkStart w:id="1263" w:name="Tc_tpJeY9TMsk6nC2-Nz-lFGA_6_8"/>
      <w:bookmarkStart w:id="1264" w:name="Tc_3CtZWJ2DHkKuDW70bvQuiw_6_5"/>
      <w:bookmarkStart w:id="1265" w:name="Tc_IqfiqDq3kkmHlh3P99dOEQ_6_3"/>
      <w:bookmarkStart w:id="1266" w:name="Tc_saZwCs5dTUmRRHDBltbjwg_6_2"/>
      <w:bookmarkStart w:id="1267" w:name="Tc_LA35mTcmPk2yGvU_kcNw7g_6_0"/>
      <w:bookmarkStart w:id="1268" w:name="Tc_kJ-Auk80uki7keFDIQyuRQ_5_0"/>
      <w:bookmarkStart w:id="1269" w:name="Tc_e6wVfykC7UWOa3ov8G972w_4_11"/>
      <w:bookmarkStart w:id="1270" w:name="Tc_p_5EnQiASEyBFgdpG7NC0A_4_9"/>
      <w:bookmarkStart w:id="1271" w:name="Tc_WiwbhgaE5k2pkKAkcm2WaA_4_8"/>
      <w:bookmarkStart w:id="1272" w:name="Tc_NgsZOa6Uv0KzDuidPRRciA_4_6"/>
      <w:bookmarkStart w:id="1273" w:name="Tc_BP030KCRpkaa4YFs6C1NAQ_4_5"/>
      <w:bookmarkStart w:id="1274" w:name="Tc_hv57zDfmeEmUlyWR6N9ifw_4_2"/>
      <w:bookmarkStart w:id="1275" w:name="Tc_Sdm2xBX-MUehaT-x8YA-Fw_4_0"/>
      <w:bookmarkStart w:id="1276" w:name="Tc_mJvevqw2zkm3p7yzok4ITg_3_0"/>
      <w:bookmarkStart w:id="1277" w:name="Tc_ylZCE7YL6k6Je7humaQ1Rw_2_11"/>
      <w:bookmarkStart w:id="1278" w:name="Tc_oLxJnpG0gUup1FCP4zRu_w_2_8"/>
      <w:bookmarkStart w:id="1279" w:name="Tc_u4Cjk7mSxEOR360HRuQ__A_2_5"/>
      <w:bookmarkStart w:id="1280" w:name="Tc_UDG6xwJVnkOxgNybE4rp4A_2_2"/>
      <w:bookmarkStart w:id="1281" w:name="Tc_lF7sjQ2JNUWh9pd2nGkfzg_1_2"/>
      <w:bookmarkStart w:id="1282" w:name="_2dc1bc59_00c8_4d91_9908_69d61c21f06b"/>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p>
    <w:tbl>
      <w:tblPr>
        <w:tblW w:w="2721" w:type="dxa"/>
        <w:jc w:val="left"/>
        <w:tblInd w:w="0" w:type="dxa"/>
        <w:tblLayout w:type="fixed"/>
        <w:tblCellMar>
          <w:top w:w="0" w:type="dxa"/>
          <w:left w:w="0" w:type="dxa"/>
          <w:bottom w:w="0" w:type="dxa"/>
          <w:right w:w="0"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234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xml:space="preserve"> Inputs are unadjusted, quoted prices in active markets for identical assets or liabilities at the measurement date;</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xml:space="preserve">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xml:space="preserve"> Unobservable inputs that are significant to the measurement of the fair value of the assets or liabilities that are supported by little or no market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consist of cash and cash equivalents, prepaid and other current assets, accounts payable and accrued expenses, and private placement warrants. The carrying values of the Company’s cash, prepaid and other current assets, and accounts payable and accrued expenses approximate their fair value due to the short-term maturity of these instruments.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about the Company’s financial assets and liabilities measured at fair value on a recurring basis as of June 30, 2024 and December 31, 2023, and the fair value hierarchy of the valuation techniques utilized.</w:t>
      </w:r>
    </w:p>
    <w:p>
      <w:pPr>
        <w:pStyle w:val="TextBody"/>
        <w:bidi w:val="0"/>
        <w:spacing w:before="0" w:after="0"/>
        <w:ind w:left="0" w:right="0" w:hanging="0"/>
        <w:jc w:val="left"/>
        <w:rPr/>
      </w:pPr>
      <w:r>
        <w:rPr/>
        <w:t>​</w:t>
      </w:r>
    </w:p>
    <w:tbl>
      <w:tblPr>
        <w:tblW w:w="7042" w:type="dxa"/>
        <w:jc w:val="left"/>
        <w:tblInd w:w="0" w:type="dxa"/>
        <w:tblLayout w:type="fixed"/>
        <w:tblCellMar>
          <w:top w:w="0" w:type="dxa"/>
          <w:left w:w="0" w:type="dxa"/>
          <w:bottom w:w="0" w:type="dxa"/>
          <w:right w:w="0" w:type="dxa"/>
        </w:tblCellMar>
      </w:tblPr>
      <w:tblGrid>
        <w:gridCol w:w="2296"/>
        <w:gridCol w:w="326"/>
        <w:gridCol w:w="211"/>
        <w:gridCol w:w="781"/>
        <w:gridCol w:w="326"/>
        <w:gridCol w:w="211"/>
        <w:gridCol w:w="571"/>
        <w:gridCol w:w="326"/>
        <w:gridCol w:w="239"/>
        <w:gridCol w:w="392"/>
        <w:gridCol w:w="326"/>
        <w:gridCol w:w="211"/>
        <w:gridCol w:w="82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57960" cy="175260"/>
                      <wp:effectExtent l="0" t="0" r="0" b="0"/>
                      <wp:wrapNone/>
                      <wp:docPr id="89" name="Frame89"/>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95" name="Frame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1765" cy="175260"/>
                      <wp:effectExtent l="0" t="0" r="0" b="0"/>
                      <wp:wrapNone/>
                      <wp:docPr id="97" name="Frame9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48920" cy="175260"/>
                      <wp:effectExtent l="0" t="0" r="0" b="0"/>
                      <wp:wrapNone/>
                      <wp:docPr id="98" name="Frame9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24510" cy="175260"/>
                      <wp:effectExtent l="0" t="0" r="0" b="0"/>
                      <wp:wrapNone/>
                      <wp:docPr id="101" name="Frame10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42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2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186,814</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2,364</w:t>
            </w:r>
          </w:p>
        </w:tc>
      </w:tr>
    </w:tbl>
    <w:p>
      <w:pPr>
        <w:pStyle w:val="TextBody"/>
        <w:bidi w:val="0"/>
        <w:spacing w:before="0" w:after="0"/>
        <w:ind w:left="0" w:right="0" w:hanging="0"/>
        <w:jc w:val="left"/>
        <w:rPr/>
      </w:pPr>
      <w:r>
        <w:rPr/>
        <w:t>​</w:t>
      </w:r>
    </w:p>
    <w:tbl>
      <w:tblPr>
        <w:tblW w:w="6682" w:type="dxa"/>
        <w:jc w:val="left"/>
        <w:tblInd w:w="0" w:type="dxa"/>
        <w:tblLayout w:type="fixed"/>
        <w:tblCellMar>
          <w:top w:w="0" w:type="dxa"/>
          <w:left w:w="0" w:type="dxa"/>
          <w:bottom w:w="0" w:type="dxa"/>
          <w:right w:w="0" w:type="dxa"/>
        </w:tblCellMar>
      </w:tblPr>
      <w:tblGrid>
        <w:gridCol w:w="2296"/>
        <w:gridCol w:w="326"/>
        <w:gridCol w:w="211"/>
        <w:gridCol w:w="676"/>
        <w:gridCol w:w="326"/>
        <w:gridCol w:w="211"/>
        <w:gridCol w:w="421"/>
        <w:gridCol w:w="326"/>
        <w:gridCol w:w="239"/>
        <w:gridCol w:w="392"/>
        <w:gridCol w:w="326"/>
        <w:gridCol w:w="211"/>
        <w:gridCol w:w="721"/>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57960" cy="175260"/>
                      <wp:effectExtent l="0" t="0" r="0" b="0"/>
                      <wp:wrapNone/>
                      <wp:docPr id="102" name="Frame10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29260" cy="175260"/>
                      <wp:effectExtent l="0" t="0" r="0" b="0"/>
                      <wp:wrapNone/>
                      <wp:docPr id="105" name="Frame1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67335" cy="175260"/>
                      <wp:effectExtent l="0" t="0" r="0" b="0"/>
                      <wp:wrapNone/>
                      <wp:docPr id="108" name="Frame10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51765" cy="175260"/>
                      <wp:effectExtent l="0" t="0" r="0" b="0"/>
                      <wp:wrapNone/>
                      <wp:docPr id="110" name="Frame11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48920" cy="175260"/>
                      <wp:effectExtent l="0" t="0" r="0" b="0"/>
                      <wp:wrapNone/>
                      <wp:docPr id="111" name="Frame11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57835" cy="175260"/>
                      <wp:effectExtent l="0" t="0" r="0" b="0"/>
                      <wp:wrapNone/>
                      <wp:docPr id="114" name="Frame11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6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center"/>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97,913</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Private placement warrants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transfers into or out of Level 1, Level 2, or Level 3 during the three and six months ended June 30,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Note payable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8, 2022, the Company received $7.6 million in net proceeds from the issuance of a promissory note (the “Note”) issued to Hydra, LLC (“Hydra”) with a face amount of $8.0 million. The Note was repaid on March 20, 2023, upon the consummation of the Business Combination. The Company elected to account for the Note at fair value. Upon the Closing Date of the Business Combination, the Note was remeasured to the settlement value and subsequently repaid for a total of $10.0 million. The Company recorded a loss on remeasurement of the Note of $2.2 million for the six months ended June 30, 2023 within change in fair value of note payable in the condensed consolidated statement of operations. The Note was no longer outstanding as of June 30, 2024 and December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license 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consideration for the 2022 Lilly License (see Note 5), Lilly agreed to receive either 550,000 Zura Class A Ordinary Shares upon the closing of the Business Combination (subject to certain lock-up provisions) or 4,702,867 shares of Z33 Series Seed Preferred Shares (the subsidiary redeemable preferred shares) if the Business Combination was not consummated. The arrangement was liability classified and remeasured at fair value at each reporting date (the research and development license consideration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283" w:name="Tc_BetO2E2VdkiyKLmwphId6Q_6_2"/>
      <w:bookmarkStart w:id="1284" w:name="Tc_tFD5VpaA8UWj732CRyR0GA_6_0"/>
      <w:bookmarkStart w:id="1285" w:name="Tc_rMPHiVtPfkCO2V4MI6qUGg_5_0"/>
      <w:bookmarkStart w:id="1286" w:name="Tc_u7HdyYam_ESRTdkwwxDUWA_4_2"/>
      <w:bookmarkStart w:id="1287" w:name="Tc_tWZYLvxatUSksmnPvDFWEA_4_0"/>
      <w:bookmarkStart w:id="1288" w:name="Tc_i_QFYZkXi0-9BJICTnzzRQ_3_2"/>
      <w:bookmarkStart w:id="1289" w:name="Tc_RgDh84dJ40yfWRhHrXMCcA_2_2"/>
      <w:bookmarkStart w:id="1290" w:name="Tc_RpvyTqhgnUKlntaOU-T3Sw_1_2"/>
      <w:bookmarkEnd w:id="1283"/>
      <w:bookmarkEnd w:id="1284"/>
      <w:bookmarkEnd w:id="1285"/>
      <w:bookmarkEnd w:id="1286"/>
      <w:bookmarkEnd w:id="1287"/>
      <w:bookmarkEnd w:id="1288"/>
      <w:bookmarkEnd w:id="1289"/>
      <w:bookmarkEnd w:id="1290"/>
      <w:r>
        <w:rPr>
          <w:rFonts w:ascii="Times New Roman;Times;serif" w:hAnsi="Times New Roman;Times;serif"/>
          <w:sz w:val="20"/>
        </w:rPr>
        <w:t>Upon the Closing Date of the Business Combination, the liability was remeasured to its settlement value and subsequently settled through the issuance of 550,000 Class A Ordinary Shares of Zura. The aggregate fair value of the Class A Ordinary Shares of Zura issued to Lilly was determined to be $4.5 million, or $8.16 per share. The Company recorded a loss on the remeasurement of the research and development license consideration liability of $1.9 million for the six months ended June 30, 2023 within research and development in the condensed consolidated statements of operations. The research and development license consideration liability was no longer outstanding as of June 30, 2024 and December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the Company has private placement warrants (see Note 7). Such warrants are measured at fair value on a recurring basis. Because the transfer of private placement warrants to non-permitted transferees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 The following table provides a summary of changes in the estimated fair value of the private placement warrants:</w:t>
      </w:r>
    </w:p>
    <w:p>
      <w:pPr>
        <w:pStyle w:val="TextBody"/>
        <w:bidi w:val="0"/>
        <w:spacing w:before="0" w:after="0"/>
        <w:ind w:left="0" w:right="0" w:hanging="0"/>
        <w:jc w:val="left"/>
        <w:rPr/>
      </w:pPr>
      <w:r>
        <w:rPr/>
        <w:t>​</w:t>
      </w:r>
    </w:p>
    <w:tbl>
      <w:tblPr>
        <w:tblW w:w="4092" w:type="dxa"/>
        <w:jc w:val="left"/>
        <w:tblInd w:w="0" w:type="dxa"/>
        <w:tblLayout w:type="fixed"/>
        <w:tblCellMar>
          <w:top w:w="0" w:type="dxa"/>
          <w:left w:w="0" w:type="dxa"/>
          <w:bottom w:w="0" w:type="dxa"/>
          <w:right w:w="0" w:type="dxa"/>
        </w:tblCellMar>
      </w:tblPr>
      <w:tblGrid>
        <w:gridCol w:w="2596"/>
        <w:gridCol w:w="326"/>
        <w:gridCol w:w="278"/>
        <w:gridCol w:w="892"/>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648460" cy="175260"/>
                      <wp:effectExtent l="0" t="0" r="0" b="0"/>
                      <wp:wrapNone/>
                      <wp:docPr id="115" name="Frame11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76530" cy="175260"/>
                      <wp:effectExtent l="0" t="0" r="0" b="0"/>
                      <wp:wrapNone/>
                      <wp:docPr id="117" name="Frame11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66420" cy="175260"/>
                      <wp:effectExtent l="0" t="0" r="0" b="0"/>
                      <wp:wrapNone/>
                      <wp:docPr id="118" name="Frame118"/>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2,364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a loss from the change in fair value of the private placement warrants of $0.8 million and $1.4 million for the three and six months ended June 30, 2024, respectively, and a gain of $0.5 million and loss of $0.4 million, for the three and six months ended June 30, 2023, respectively, within change in fair value of private placement warrants on the condensed consolidated statements of operations.</w:t>
      </w:r>
    </w:p>
    <w:p>
      <w:pPr>
        <w:pStyle w:val="Normal"/>
        <w:bidi w:val="0"/>
        <w:spacing w:before="0" w:after="0"/>
        <w:jc w:val="left"/>
        <w:rPr>
          <w:sz w:val="4"/>
          <w:szCs w:val="4"/>
        </w:rPr>
      </w:pPr>
      <w:r>
        <w:rPr>
          <w:sz w:val="4"/>
          <w:szCs w:val="4"/>
        </w:rPr>
      </w:r>
      <w:bookmarkStart w:id="1291" w:name="Tc_uotcAqFyo0muaJe2UBtwLA_8_5"/>
      <w:bookmarkStart w:id="1292" w:name="Tc_QTcbcAZ1Kkif5JX7Z7bq5A_8_2"/>
      <w:bookmarkStart w:id="1293" w:name="Tc_qzr-JUk3FUiSH1ZJUTwBxA_8_0"/>
      <w:bookmarkStart w:id="1294" w:name="Tc_57wa0H0XcEK0elNRDhE_zg_7_0"/>
      <w:bookmarkStart w:id="1295" w:name="Tc_G2ykZn7oQkmi6gY5ZQTDrQ_6_6"/>
      <w:bookmarkStart w:id="1296" w:name="Tc_2DkhyPFdQUeD2ywFDuc7xw_6_0"/>
      <w:bookmarkStart w:id="1297" w:name="Tc_p31j1fHtq020-4uQJwherg_5_0"/>
      <w:bookmarkStart w:id="1298" w:name="Tc_gnaOJrVODkmkSOd3IReRhw_4_0"/>
      <w:bookmarkStart w:id="1299" w:name="Tc_swh1-Da6AE2Ii2m_Nknihg_3_0"/>
      <w:bookmarkStart w:id="1300" w:name="Tc__F97SWK7-0SySRVLh3xTsQ_2_5"/>
      <w:bookmarkStart w:id="1301" w:name="Tc_8-1jT7WfIUCYLOs4L9TUhA_2_2"/>
      <w:bookmarkStart w:id="1302" w:name="Tc_tgJf80ta9kq0dZZS95wuVg_2_0"/>
      <w:bookmarkStart w:id="1303" w:name="Tc_l1PqY0FkgESSkVMnqddYCQ_1_5"/>
      <w:bookmarkStart w:id="1304" w:name="Tc_Jcw4anRIsEO-cGU1vwSjIA_1_2"/>
      <w:bookmarkStart w:id="1305" w:name="_f82e596a_7623_4575_96f4_2cea625f5eed"/>
      <w:bookmarkStart w:id="1306" w:name="Tc_uotcAqFyo0muaJe2UBtwLA_8_5"/>
      <w:bookmarkStart w:id="1307" w:name="Tc_QTcbcAZ1Kkif5JX7Z7bq5A_8_2"/>
      <w:bookmarkStart w:id="1308" w:name="Tc_qzr-JUk3FUiSH1ZJUTwBxA_8_0"/>
      <w:bookmarkStart w:id="1309" w:name="Tc_57wa0H0XcEK0elNRDhE_zg_7_0"/>
      <w:bookmarkStart w:id="1310" w:name="Tc_G2ykZn7oQkmi6gY5ZQTDrQ_6_6"/>
      <w:bookmarkStart w:id="1311" w:name="Tc_2DkhyPFdQUeD2ywFDuc7xw_6_0"/>
      <w:bookmarkStart w:id="1312" w:name="Tc_p31j1fHtq020-4uQJwherg_5_0"/>
      <w:bookmarkStart w:id="1313" w:name="Tc_gnaOJrVODkmkSOd3IReRhw_4_0"/>
      <w:bookmarkStart w:id="1314" w:name="Tc_swh1-Da6AE2Ii2m_Nknihg_3_0"/>
      <w:bookmarkStart w:id="1315" w:name="Tc__F97SWK7-0SySRVLh3xTsQ_2_5"/>
      <w:bookmarkStart w:id="1316" w:name="Tc_8-1jT7WfIUCYLOs4L9TUhA_2_2"/>
      <w:bookmarkStart w:id="1317" w:name="Tc_tgJf80ta9kq0dZZS95wuVg_2_0"/>
      <w:bookmarkStart w:id="1318" w:name="Tc_l1PqY0FkgESSkVMnqddYCQ_1_5"/>
      <w:bookmarkStart w:id="1319" w:name="Tc_Jcw4anRIsEO-cGU1vwSjIA_1_2"/>
      <w:bookmarkStart w:id="1320" w:name="_f82e596a_7623_4575_96f4_2cea625f5eed"/>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p>
    <w:tbl>
      <w:tblPr>
        <w:tblW w:w="3966" w:type="dxa"/>
        <w:jc w:val="left"/>
        <w:tblInd w:w="0" w:type="dxa"/>
        <w:tblLayout w:type="fixed"/>
        <w:tblCellMar>
          <w:top w:w="0" w:type="dxa"/>
          <w:left w:w="0" w:type="dxa"/>
          <w:bottom w:w="0" w:type="dxa"/>
          <w:right w:w="0"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358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Accounts Payable and Accrued Expenses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payable and accrued expenses is comprised of the following as of June 30, 2024 and December 31, 2023:</w:t>
      </w:r>
    </w:p>
    <w:p>
      <w:pPr>
        <w:pStyle w:val="TextBody"/>
        <w:bidi w:val="0"/>
        <w:spacing w:before="0" w:after="0"/>
        <w:ind w:left="0" w:right="0" w:hanging="0"/>
        <w:jc w:val="left"/>
        <w:rPr/>
      </w:pPr>
      <w:r>
        <w:rPr/>
        <w:t>​</w:t>
      </w:r>
    </w:p>
    <w:tbl>
      <w:tblPr>
        <w:tblW w:w="7194" w:type="dxa"/>
        <w:jc w:val="left"/>
        <w:tblInd w:w="0" w:type="dxa"/>
        <w:tblLayout w:type="fixed"/>
        <w:tblCellMar>
          <w:top w:w="0" w:type="dxa"/>
          <w:left w:w="0" w:type="dxa"/>
          <w:bottom w:w="0" w:type="dxa"/>
          <w:right w:w="0" w:type="dxa"/>
        </w:tblCellMar>
      </w:tblPr>
      <w:tblGrid>
        <w:gridCol w:w="3811"/>
        <w:gridCol w:w="326"/>
        <w:gridCol w:w="267"/>
        <w:gridCol w:w="858"/>
        <w:gridCol w:w="326"/>
        <w:gridCol w:w="341"/>
        <w:gridCol w:w="1265"/>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419985" cy="175260"/>
                      <wp:effectExtent l="0" t="0" r="0" b="0"/>
                      <wp:wrapNone/>
                      <wp:docPr id="119" name="Frame119"/>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9545" cy="175260"/>
                      <wp:effectExtent l="0" t="0" r="0" b="0"/>
                      <wp:wrapNone/>
                      <wp:docPr id="121" name="Frame12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44830" cy="175260"/>
                      <wp:effectExtent l="0" t="0" r="0" b="0"/>
                      <wp:wrapNone/>
                      <wp:docPr id="122" name="Frame122"/>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6535" cy="175260"/>
                      <wp:effectExtent l="0" t="0" r="0" b="0"/>
                      <wp:wrapNone/>
                      <wp:docPr id="124" name="Frame12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03275" cy="175260"/>
                      <wp:effectExtent l="0" t="0" r="0" b="0"/>
                      <wp:wrapNone/>
                      <wp:docPr id="125" name="Frame125"/>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center"/>
              <w:rPr/>
            </w:pPr>
            <w:r>
              <w:rPr/>
              <w:t>    </w:t>
            </w:r>
          </w:p>
        </w:tc>
        <w:tc>
          <w:tcPr>
            <w:tcW w:w="160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December 31, 2023</w:t>
            </w:r>
            <w:r>
              <w:rPr>
                <w:rFonts w:ascii="Times New Roman;Times;serif" w:hAnsi="Times New Roman;Times;serif"/>
                <w:sz w:val="12"/>
              </w:rPr>
              <w:t>1</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research and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7,149</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6,091</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2023 Lilly License costs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severance</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265"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15,073</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20,302</w:t>
            </w:r>
          </w:p>
        </w:tc>
      </w:tr>
    </w:tbl>
    <w:tbl>
      <w:tblPr>
        <w:tblW w:w="7592" w:type="dxa"/>
        <w:jc w:val="left"/>
        <w:tblInd w:w="0" w:type="dxa"/>
        <w:tblLayout w:type="fixed"/>
        <w:tblCellMar>
          <w:top w:w="0" w:type="dxa"/>
          <w:left w:w="0" w:type="dxa"/>
          <w:bottom w:w="0" w:type="dxa"/>
          <w:right w:w="0" w:type="dxa"/>
        </w:tblCellMar>
      </w:tblPr>
      <w:tblGrid>
        <w:gridCol w:w="346"/>
        <w:gridCol w:w="7246"/>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2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Comparative figures have been reclassified to conform with current period presentation.</w:t>
            </w:r>
          </w:p>
        </w:tc>
      </w:tr>
    </w:tbl>
    <w:p>
      <w:pPr>
        <w:pStyle w:val="TextBody"/>
        <w:bidi w:val="0"/>
        <w:spacing w:before="0" w:after="0"/>
        <w:ind w:left="0" w:right="0" w:hanging="0"/>
        <w:jc w:val="left"/>
        <w:rPr/>
      </w:pPr>
      <w:r>
        <w:rPr/>
        <w:t>​</w:t>
      </w:r>
    </w:p>
    <w:tbl>
      <w:tblPr>
        <w:tblW w:w="2226" w:type="dxa"/>
        <w:jc w:val="left"/>
        <w:tblInd w:w="0" w:type="dxa"/>
        <w:tblLayout w:type="fixed"/>
        <w:tblCellMar>
          <w:top w:w="0" w:type="dxa"/>
          <w:left w:w="0" w:type="dxa"/>
          <w:bottom w:w="0" w:type="dxa"/>
          <w:right w:w="0"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8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License Agreements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Pfizer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22, 2022, the Company entered into a license agreement and a Series A-1 Subscription and Shareholder’s Agreement (collectively, the “Pfizer Agreement”) with Pfizer. The Company is obligated to make 11 future development and regulatory milestone payments aggregating up to $70.0 million and sales milestone payments up to an aggregate of $525.0 million based on respective thresholds of net sales of products (developed from the licensed compound) (the “Products”), if any. The Company will also pay an annual earned royalty at a marginal royalty rate in the mid-single digits to low double digits (less than 20%), based on thresholds of net sales of Products, if any. Royalties are payable on a country-by-country basis for a certain period of years or upon the later expiration of regulatory exclusivity of the Company’s Products in a country.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also subject to a potential multi-million dollar transaction payment obligation if, within a certain period the Company has (a) certain changes in control, excluding an initial public offering or any business combination where the securities of the Company are listed on a stock exchange (e.g., a transaction with a special purpose acquisition company), or (b) the Company sublicenses or divests of its rights to the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the first $1.0 million development milestone as a component of research and development in the consolidated statement of operations during the year ended December 31, 2023. This amount due is included in accounts payable and accrued expenses on the condensed consolidated balance sheet as of June 30, 2024. The Company does not owe any other amounts under the Pfizer Agreement as of June 30,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Lonza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October 2023, the Company began drug substance manufacturing with a third party. As a result of manufacturing with a third party other than Lonza, under the terms of the Lonza License the first annual milestone payment of $0.4 million became due and was paid during the six months ended June 30, 2024. The Company recorded this payment within research and development expense in the condensed consolidated statement of operations during the three months ended March 31,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2022 Lilly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8, 2022, the Company’s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a finder’s fee in connection with arranging the acquisition, Z33 issued to Stone Peach Properties, LLC (“Stone Peach”) 4,900,222 shares of Z33 Series Seed Preferred Shares, which is included in the measurement of the cost of the acquired asset. Zura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Stone Peach may exercise its option at any time between the first anniversary and the second anniversary of the transaction. In April 2023, the Company agreed to, within </w:t>
      </w:r>
      <w:r>
        <w:rPr>
          <w:rFonts w:ascii="Times New Roman;Times;serif" w:hAnsi="Times New Roman;Times;serif"/>
          <w:b w:val="false"/>
          <w:i w:val="false"/>
          <w:caps w:val="false"/>
          <w:smallCaps w:val="false"/>
          <w:sz w:val="20"/>
        </w:rPr>
        <w:t>six</w:t>
      </w:r>
      <w:r>
        <w:rPr>
          <w:rFonts w:ascii="Times New Roman;Times;serif" w:hAnsi="Times New Roman;Times;serif"/>
          <w:sz w:val="20"/>
        </w:rPr>
        <w:t xml:space="preserve"> months of April 24, 2023, exercise its Call Option on 50% of the Z33 Series Seed Preferred Shares previously issued to Stone Peach. The Company agreed to settle its Call Option by issuing 2,000,000 Class A Ordinary Shares. 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obligated to pay $3.0 million to Lilly under the 2022 Lilly License upon the completion of a financing by the Company with gross proceeds exceeding $100 million.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if any. The Company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if any. The Company will account for these contingent payments when they become due. As of June 30, 2024, none of the contingent payments were due.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2023 Lilly License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April 26, 2023, the Company’s newly-formed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ZB17 made a payment of $5.0 million to Lilly during the six months ended June 30, 2024 in connection with the receipt of certain know-how, data, information and materials that Lilly was required to provide under the license agreement.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ZB17 granted to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Stone Peach Call Right represents noncontrolling interest in the Company’s subsidiary, ZB17. As of June 30, 2024, and December 31, 2023, the noncontrolling interest balance was $1.5 million.</w:t>
      </w:r>
    </w:p>
    <w:p>
      <w:pPr>
        <w:pStyle w:val="TextBody"/>
        <w:bidi w:val="0"/>
        <w:spacing w:lineRule="auto" w:line="240" w:before="0" w:after="220"/>
        <w:ind w:left="0" w:right="0" w:hanging="0"/>
        <w:jc w:val="both"/>
        <w:rPr>
          <w:rFonts w:ascii="Times New Roman;Times;serif" w:hAnsi="Times New Roman;Times;serif"/>
          <w:sz w:val="20"/>
        </w:rPr>
      </w:pPr>
      <w:r>
        <w:rPr>
          <w:rFonts w:ascii="Times New Roman;Times;serif" w:hAnsi="Times New Roman;Times;serif"/>
          <w:sz w:val="20"/>
        </w:rPr>
        <w:t>As additional consideration, Stone Peach receives annual payments first of $0.6 million, and increasing by 10% annually, so long as the Company maintains its license for ZB-106 on May 1</w:t>
      </w:r>
      <w:r>
        <w:rPr>
          <w:rFonts w:ascii="Times New Roman;Times;serif" w:hAnsi="Times New Roman;Times;serif"/>
          <w:sz w:val="15"/>
        </w:rPr>
        <w:t>st</w:t>
      </w:r>
      <w:r>
        <w:rPr>
          <w:rFonts w:ascii="Times New Roman;Times;serif" w:hAnsi="Times New Roman;Times;serif"/>
          <w:sz w:val="20"/>
        </w:rPr>
        <w:t xml:space="preserve"> of each year. An annual payment of $0.7 million became due and was paid during the three months ended June 30, 2024. The Company recorded this payment within research and development expense in the condensed consolidated statement of operations.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the Company’s fully diluted shares outstanding exceeded 52,500,000 shares prior to December 31, 2023, the $5.0 million fee was recorded in accounts payable and accrued expenses in the condensed consolidated balance sheet as of June 30, 2024 and December 31, 2023.</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Company is obligated to make 4 development milestone payments to Lilly up to an aggregate of $155.0 million, and sales milestone payments up to an aggregate of $440 million based on respective thresholds of net sales.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also obligated to pay BAFFX17 a fee equal to 3% of any milestone or royalty payments due to Lilly pursuant to the terms of either the 2022 Lilly License and the 2023 Lilly License with Lilly. Upon receiving written approval from the FDA, EMA, or similar regulatory authority of an Investigational New Drug (“IND”)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licensed compound. The Company will account for these contingent payments when they become due. As of June 30, 2024, none of the contingent payments were due.</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WuXi Biologics License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 July 2023, the Company entered into a cell line license agreement (the “Cell Line License Agreement”) with WuXi Biologics and its Affiliates (“WuXi Biologics”) for certain of WuXi Biologics’ know – 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21" w:name="Tc_Shas3WzCxUy5UBy8lUv8eQ_7_0"/>
      <w:bookmarkStart w:id="1322" w:name="Tc_GlZq0kKoC0acJGJ3c0xkIA_6_0"/>
      <w:bookmarkStart w:id="1323" w:name="Tc_uaONfg-fwUCiPjXL3vxBAQ_5_0"/>
      <w:bookmarkStart w:id="1324" w:name="Tc_nFvXw4xYp0yetnW5QW44QQ_4_0"/>
      <w:bookmarkStart w:id="1325" w:name="Tc_ShXPh0jhhEGXL51BZz6otA_3_0"/>
      <w:bookmarkStart w:id="1326" w:name="Tc_DgDNhPwUVUaCefleHwX4hw_2_0"/>
      <w:bookmarkStart w:id="1327" w:name="Tc_zdYdyFmEp0ug3Xd8D4x8MQ_1_2"/>
      <w:bookmarkStart w:id="1328" w:name="Tc_Shas3WzCxUy5UBy8lUv8eQ_7_0"/>
      <w:bookmarkStart w:id="1329" w:name="Tc_GlZq0kKoC0acJGJ3c0xkIA_6_0"/>
      <w:bookmarkStart w:id="1330" w:name="Tc_uaONfg-fwUCiPjXL3vxBAQ_5_0"/>
      <w:bookmarkStart w:id="1331" w:name="Tc_nFvXw4xYp0yetnW5QW44QQ_4_0"/>
      <w:bookmarkStart w:id="1332" w:name="Tc_ShXPh0jhhEGXL51BZz6otA_3_0"/>
      <w:bookmarkStart w:id="1333" w:name="Tc_DgDNhPwUVUaCefleHwX4hw_2_0"/>
      <w:bookmarkStart w:id="1334" w:name="Tc_zdYdyFmEp0ug3Xd8D4x8MQ_1_2"/>
      <w:bookmarkEnd w:id="1328"/>
      <w:bookmarkEnd w:id="1329"/>
      <w:bookmarkEnd w:id="1330"/>
      <w:bookmarkEnd w:id="1331"/>
      <w:bookmarkEnd w:id="1332"/>
      <w:bookmarkEnd w:id="1333"/>
      <w:bookmarkEnd w:id="1334"/>
    </w:p>
    <w:tbl>
      <w:tblPr>
        <w:tblW w:w="2331" w:type="dxa"/>
        <w:jc w:val="left"/>
        <w:tblInd w:w="0" w:type="dxa"/>
        <w:tblLayout w:type="fixed"/>
        <w:tblCellMar>
          <w:top w:w="0" w:type="dxa"/>
          <w:left w:w="0" w:type="dxa"/>
          <w:bottom w:w="0" w:type="dxa"/>
          <w:right w:w="0"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6.</w:t>
            </w:r>
          </w:p>
        </w:tc>
        <w:tc>
          <w:tcPr>
            <w:tcW w:w="195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Shareholders’ Equity</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Immediately prior to the Closing Date of the Business Combination, Pfizer was issued additional Series A-1 convertible preferred shares upon the closing of the Business Combination that were immediately converted to 267,939 Class A Ordinary Shares. The shares were issued in accordance with the anti-dilution provision of the Pfizer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the Closing Date and in accordance with the terms and subject to the conditions of the Business Combination, each Class A Ordinary Share of Legacy Zura, par value $0.001 per share, Series A-1 convertible preferred share, outstanding option (whether vested or unvested), and restricted share unit (whether vested or unvested) were canceled and converted into a comparable number of awards that consisted of either the rights to receive or acquire the Company’s Class A Ordinary Shares, par value $0.0001 per share, as determined by the exchange ratio pursuant to the Business Combination Agreement. The exchange ratio is approximately 108.083.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2023, in connection with the closing of the Business Combination and effective upon the Closing Date, the Company authorized 300,000,000 Class A Ordinary Shares, par value of $0.0001 and 1,000,000 preferred shares, par value of $0.0001.</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April 2024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18, 2024, the Company entered into subscription agreements (the “Investor Agreements”) with certain institutional and other accredited investors (the “Investors”), whereby the Company agreed to issue 18,732,301 Class A Ordinary Shares, par value $0.0001 per share and pre-funded warrants (the “2024 Pre-Funded Warrants”) to purchase up to 16,102,348 Class A Ordinary Shares. Each Class A Ordinary Share was sold at a price of $3.108 per Class A Ordinary Share and each 2024 Pre-Funded Warrant was sold at a price of $3.107 per 2024 Pre-Funded Warrant for an aggregate purchase price of $108.3 million. See Note 7 for further information on the Pre-Funded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18, 2024, the Company also entered into subscription agreements (the “Insider Agreements” and together with the Investor Agreements, the “April 2024 Private Placement”) with certain officers, directors and affiliates of the Company (“Insiders” and together with the Investors, the “Subscribers”), whereby the Company issued 1,357,827 Class A Ordinary Shares, par value $0.0001 per share sold a purchase price of $3.13 per Class A Ordinary Share for an aggregate purchase price of $4.2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April 2024 Private Placement closed on April 22, 2024, from which the Company received total gross proceeds of approximately $112.5 million, before deducting transaction costs of $7.2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Ordinary Shares Reserved for Issuance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shares reserved for issuance as of June 30, 2024 is summarized below:</w:t>
      </w:r>
    </w:p>
    <w:p>
      <w:pPr>
        <w:pStyle w:val="TextBody"/>
        <w:bidi w:val="0"/>
        <w:spacing w:before="0" w:after="0"/>
        <w:ind w:left="0" w:right="0" w:hanging="0"/>
        <w:jc w:val="left"/>
        <w:rPr/>
      </w:pPr>
      <w:r>
        <w:rPr/>
        <w:t>​</w:t>
      </w:r>
    </w:p>
    <w:tbl>
      <w:tblPr>
        <w:tblW w:w="9823" w:type="dxa"/>
        <w:jc w:val="left"/>
        <w:tblInd w:w="0" w:type="dxa"/>
        <w:tblLayout w:type="fixed"/>
        <w:tblCellMar>
          <w:top w:w="0" w:type="dxa"/>
          <w:left w:w="0" w:type="dxa"/>
          <w:bottom w:w="0" w:type="dxa"/>
          <w:right w:w="0" w:type="dxa"/>
        </w:tblCellMar>
      </w:tblPr>
      <w:tblGrid>
        <w:gridCol w:w="8326"/>
        <w:gridCol w:w="326"/>
        <w:gridCol w:w="1171"/>
      </w:tblGrid>
      <w:tr>
        <w:trPr/>
        <w:tc>
          <w:tcPr>
            <w:tcW w:w="8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287010" cy="175260"/>
                      <wp:effectExtent l="0" t="0" r="0" b="0"/>
                      <wp:wrapNone/>
                      <wp:docPr id="126" name="Frame126"/>
                      <a:graphic xmlns:a="http://schemas.openxmlformats.org/drawingml/2006/main">
                        <a:graphicData uri="http://schemas.microsoft.com/office/word/2010/wordprocessingShape">
                          <wps:wsp>
                            <wps:cNvSpPr txBox="1"/>
                            <wps:spPr>
                              <a:xfrm>
                                <a:off x="0" y="0"/>
                                <a:ext cx="528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43585" cy="175260"/>
                      <wp:effectExtent l="0" t="0" r="0" b="0"/>
                      <wp:wrapNone/>
                      <wp:docPr id="128" name="Frame12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83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warrants to purchase Class A Ordinary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32,694,344</w:t>
            </w:r>
          </w:p>
        </w:tc>
      </w:tr>
      <w:tr>
        <w:trPr/>
        <w:tc>
          <w:tcPr>
            <w:tcW w:w="83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options to purchase Class A Ordinary Shares</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10,782,788</w:t>
            </w:r>
          </w:p>
        </w:tc>
      </w:tr>
      <w:tr>
        <w:trPr/>
        <w:tc>
          <w:tcPr>
            <w:tcW w:w="83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grant under 2023 Equity Incentive Plan and 2023 Employee Stock Purchase Plan</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3,179,417</w:t>
            </w:r>
          </w:p>
        </w:tc>
      </w:tr>
      <w:tr>
        <w:trPr/>
        <w:tc>
          <w:tcPr>
            <w:tcW w:w="83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issuable upon exercise of Z33 Series Seed Preferred Shares Put Right</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2,000,000</w:t>
            </w:r>
          </w:p>
        </w:tc>
      </w:tr>
      <w:tr>
        <w:trPr/>
        <w:tc>
          <w:tcPr>
            <w:tcW w:w="83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w:t>
            </w:r>
          </w:p>
        </w:tc>
        <w:tc>
          <w:tcPr>
            <w:tcW w:w="326" w:type="dxa"/>
            <w:tcBorders/>
            <w:shd w:fill="CCEEFF" w:val="cle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1,442,473</w:t>
            </w:r>
          </w:p>
        </w:tc>
      </w:tr>
      <w:tr>
        <w:trPr/>
        <w:tc>
          <w:tcPr>
            <w:tcW w:w="83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reserved for issuance</w:t>
            </w:r>
          </w:p>
        </w:tc>
        <w:tc>
          <w:tcPr>
            <w:tcW w:w="32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50,099,022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Business Combination, the Company assumed 5,910,000 private placement warrants to purchase Class A that were held by JATT and 6,899,996 public warrants to purchase Class A Ordinary Shares that were held by JATT’s public shareholders. The Warrants will expire five years after the completion of the Business Combination, or earlier upon redemption or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no warrants have been exercised or redeemed.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335" w:name="Tc_rXT8BNRtJEWgtQ_rnSte5w_4_5"/>
      <w:bookmarkStart w:id="1336" w:name="Tc_A-c49nLTZ0q0S7ZfpPs_jg_4_2"/>
      <w:bookmarkStart w:id="1337" w:name="Tc_LitE1AXqMUyIrD-mEap47w_3_5"/>
      <w:bookmarkStart w:id="1338" w:name="Tc_pqDURl56LEGF5fPB_jNkqw_3_2"/>
      <w:bookmarkStart w:id="1339" w:name="Tc_gyph7CrL0kCkqbx1utTFBQ_2_5"/>
      <w:bookmarkStart w:id="1340" w:name="Tc_CPhKHMBWBUy3jafVwzKkdg_2_2"/>
      <w:bookmarkStart w:id="1341" w:name="Tc_Z3REXVZqD0qFIaCeTiSpkQ_1_5"/>
      <w:bookmarkStart w:id="1342" w:name="Tc_QI6oeO4BaEauLiIUBhcVqg_1_2"/>
      <w:bookmarkStart w:id="1343" w:name="Tc_wVOd1PP0DkmjiIhjPBD-Bg_1_0"/>
      <w:bookmarkStart w:id="1344" w:name="_e8873adc_1856_4a95_930a_335432f04ec2"/>
      <w:bookmarkEnd w:id="1335"/>
      <w:bookmarkEnd w:id="1336"/>
      <w:bookmarkEnd w:id="1337"/>
      <w:bookmarkEnd w:id="1338"/>
      <w:bookmarkEnd w:id="1339"/>
      <w:bookmarkEnd w:id="1340"/>
      <w:bookmarkEnd w:id="1341"/>
      <w:bookmarkEnd w:id="1342"/>
      <w:bookmarkEnd w:id="1343"/>
      <w:bookmarkEnd w:id="1344"/>
      <w:r>
        <w:rPr>
          <w:rFonts w:ascii="Times New Roman;Times;serif" w:hAnsi="Times New Roman;Times;serif"/>
          <w:b/>
          <w:i/>
          <w:sz w:val="20"/>
        </w:rPr>
        <w:t>Public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public warrants became exercisable into Class A Ordinary Shares commencing 30 days after the Business Combination and expire five years from the date of the Business Combination, or earlier upon redemption or liquidation. Each warrant entitles the holder to purchase one share of the Company’s Class A Ordinary Shares at a price of $11.50 per share, subject to certain adjustments.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redeem, with 30 days written notice, each whole outstanding public warrant for cash at a price of $0.01 per warrant if the Reference Value (as defined below) equals or exceeds $18.00 per share, subject to certain adjustments. The warrant holders have the right to exercise their outstanding warrants prior to the scheduled redemption date at $11.50 per share, subject to certain adjustments. If the Company calls the public warrants for redemption, the Company will have the option to require all holders that wish to exercise the Public Warrants to do so on a “cashless basis”, as described in the warrant agreement. For purposes of the redemption, “Reference Value” shall mean the last reported sales price of the Company’s Class A Ordinary Shares for any </w:t>
      </w:r>
      <w:r>
        <w:rPr>
          <w:rFonts w:ascii="Times New Roman;Times;serif" w:hAnsi="Times New Roman;Times;serif"/>
          <w:b w:val="false"/>
          <w:i w:val="false"/>
          <w:caps w:val="false"/>
          <w:smallCaps w:val="false"/>
          <w:sz w:val="20"/>
        </w:rPr>
        <w:t>twenty</w:t>
      </w:r>
      <w:r>
        <w:rPr>
          <w:rFonts w:ascii="Times New Roman;Times;serif" w:hAnsi="Times New Roman;Times;serif"/>
          <w:sz w:val="20"/>
        </w:rPr>
        <w:t> trading days within the thirty trading-day period ending on the third trading day prior to the date on which notice of the redemption is given.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Private Placement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private placement warrants are identical to the public warrants, except that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 If the private placement warrants are held by someone other than the initial purchasers or their permitted transferees, then such warrants will be redeemable by the Company and exercisable by the warrant holders on the same basis as the public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Pre-Funded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April 2023 Private Placement, the Company sold to accredited investors Pre-Funded Warrants to purchase up to 3,782,000 Class A Ordinary Shares at a price of $4.249 per Pre-Funded Warrant for an aggregate purchase price of approximately $16.1 million. Each Pre-Funded Warrant has an exercise price of $0.001 per Class A Ordinary Share and is exercisable for one Class A Ordinary Share at any time or times on or after April 26, 2023, until exercised in full.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April 2024 Private Placement, the Company sold to accredited investors Pre-Funded Warrants to purchase up to 16,102,348 Class A Ordinary Shares at a price of $3.107 per Pre-Funded Warrant for an aggregate purchase price of approximately $50.0 million. Each Pre-Funded Warrant has an exercise price of $0.001 per Class A Ordinary Share and is exercisable for one Class A Ordinary Share at any time or times on or after April 22, 2024, until exercised in full.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number of public, private placement, and Pre-Funded warrants outstanding, their exercise price, and expiration dates as of June 30, 2024:</w:t>
      </w:r>
    </w:p>
    <w:p>
      <w:pPr>
        <w:pStyle w:val="TextBody"/>
        <w:bidi w:val="0"/>
        <w:spacing w:before="0" w:after="0"/>
        <w:ind w:left="0" w:right="0" w:hanging="0"/>
        <w:jc w:val="both"/>
        <w:rPr/>
      </w:pPr>
      <w:r>
        <w:rPr/>
        <w:t>​</w:t>
      </w:r>
    </w:p>
    <w:tbl>
      <w:tblPr>
        <w:tblW w:w="4404" w:type="dxa"/>
        <w:jc w:val="left"/>
        <w:tblInd w:w="0" w:type="dxa"/>
        <w:tblLayout w:type="fixed"/>
        <w:tblCellMar>
          <w:top w:w="0" w:type="dxa"/>
          <w:left w:w="0" w:type="dxa"/>
          <w:bottom w:w="0" w:type="dxa"/>
          <w:right w:w="0" w:type="dxa"/>
        </w:tblCellMar>
      </w:tblPr>
      <w:tblGrid>
        <w:gridCol w:w="1306"/>
        <w:gridCol w:w="326"/>
        <w:gridCol w:w="303"/>
        <w:gridCol w:w="822"/>
        <w:gridCol w:w="326"/>
        <w:gridCol w:w="1321"/>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829310" cy="175260"/>
                      <wp:effectExtent l="0" t="0" r="0" b="0"/>
                      <wp:wrapNone/>
                      <wp:docPr id="129" name="Frame12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2405" cy="175260"/>
                      <wp:effectExtent l="0" t="0" r="0" b="0"/>
                      <wp:wrapNone/>
                      <wp:docPr id="131" name="Frame13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21970" cy="175260"/>
                      <wp:effectExtent l="0" t="0" r="0" b="0"/>
                      <wp:wrapNone/>
                      <wp:docPr id="132" name="Frame132"/>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838835" cy="175260"/>
                      <wp:effectExtent l="0" t="0" r="0" b="0"/>
                      <wp:wrapNone/>
                      <wp:docPr id="134" name="Frame13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Issued</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6,899,996</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2028</w:t>
            </w:r>
          </w:p>
        </w:tc>
      </w:tr>
      <w:tr>
        <w:trPr/>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5,910,000</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2028</w:t>
            </w:r>
          </w:p>
        </w:tc>
      </w:tr>
      <w:tr>
        <w:trPr/>
        <w:tc>
          <w:tcPr>
            <w:tcW w:w="13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19,884,348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0.001</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tbl>
      <w:tblPr>
        <w:tblW w:w="2826" w:type="dxa"/>
        <w:jc w:val="left"/>
        <w:tblInd w:w="0" w:type="dxa"/>
        <w:tblLayout w:type="fixed"/>
        <w:tblCellMar>
          <w:top w:w="0" w:type="dxa"/>
          <w:left w:w="0" w:type="dxa"/>
          <w:bottom w:w="0" w:type="dxa"/>
          <w:right w:w="0"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8.</w:t>
            </w:r>
          </w:p>
        </w:tc>
        <w:tc>
          <w:tcPr>
            <w:tcW w:w="24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stock appreciation rights (“SARs”), alone or in conjunction with other awards; restricted shares awards (“RSAs”) and restricted share units (“RSUs”); incentive bonuses, which may be paid in cash, shares, or a combination thereof; and other share-based awards. On June 1, 2023, the Company’s board of directors approved an increase to the number of Class A Ordinary Shares that may be issued under the Equity Incentive Plan by an additional 5,564,315 Class A Ordinary Shares.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45" w:name="Tc_CPYyl0CaRUyaU95_JqF1fA_10_9"/>
      <w:bookmarkStart w:id="1346" w:name="Tc_ro863-reTkqH8193YYbinw_10_4"/>
      <w:bookmarkStart w:id="1347" w:name="Tc_G4-kGb4wTU-hYzqBTGguMw_10_0"/>
      <w:bookmarkStart w:id="1348" w:name="Tc_C1SLSLgtBUKHpkr2F3odvQ_9_9"/>
      <w:bookmarkStart w:id="1349" w:name="Tc_FK02gbPbfUSYX-6DZjh74Q_9_4"/>
      <w:bookmarkStart w:id="1350" w:name="Tc_Ngf7jjrYfUe4a__uMfw2-g_9_0"/>
      <w:bookmarkStart w:id="1351" w:name="Tc_lUxnfhVYN0WxfFJzPkZgag_8_10"/>
      <w:bookmarkStart w:id="1352" w:name="Tc_GlI1ai5p3kSORrzlJ_WQcw_8_7"/>
      <w:bookmarkStart w:id="1353" w:name="Tc_PElK5XpmKkWOmY5cbOSftg_8_0"/>
      <w:bookmarkStart w:id="1354" w:name="Tc_zFz_KiRlLEq9zpCbNpYLVQ_7_10"/>
      <w:bookmarkStart w:id="1355" w:name="Tc_s0nODXWGVE-Hd35waycc1A_7_7"/>
      <w:bookmarkStart w:id="1356" w:name="Tc_KZZfkqEwK0SSqbVJQMz7Ow_7_0"/>
      <w:bookmarkStart w:id="1357" w:name="Tc_a0Ge2hjf_UuvfrJLvcxnMA_6_9"/>
      <w:bookmarkStart w:id="1358" w:name="Tc_-WPi-lYwEE63SuINxGEmig_6_4"/>
      <w:bookmarkStart w:id="1359" w:name="Tc_heiS9bTq90GU39gxCtUOGw_6_0"/>
      <w:bookmarkStart w:id="1360" w:name="Tc_NiSGoMYzjUeLNPmgTX5CiA_5_9"/>
      <w:bookmarkStart w:id="1361" w:name="Tc_31UO7nKvsU-Be6yDiuXaYA_5_7"/>
      <w:bookmarkStart w:id="1362" w:name="Tc_wuLEULT8sUW0CgZZ4O8Qhw_5_4"/>
      <w:bookmarkStart w:id="1363" w:name="Tc_YT3gGztAXkqY_J6D88bzUQ_5_2"/>
      <w:bookmarkStart w:id="1364" w:name="Tc_nznUA3LimkihEJAHE0K-TQ_4_9"/>
      <w:bookmarkStart w:id="1365" w:name="Tc_1JdLTj1nYkOpDO9IJ03vPQ_4_7"/>
      <w:bookmarkStart w:id="1366" w:name="Tc_NPY99qQI50upVxHSksliww_4_4"/>
      <w:bookmarkStart w:id="1367" w:name="Tc_XVxc6iUJXEqElkmVIobxUg_4_2"/>
      <w:bookmarkStart w:id="1368" w:name="Tc_fdIMxX8SSUKGM6Bd2agj3w_3_9"/>
      <w:bookmarkStart w:id="1369" w:name="Tc_nwjXdLGr4k2uW5Gw0LAwjQ_3_7"/>
      <w:bookmarkStart w:id="1370" w:name="Tc_Xt96zrkVZEyIzNWjuJ-Ipw_3_4"/>
      <w:bookmarkStart w:id="1371" w:name="Tc_HMaZWpd_jUep6zSfbOkeiQ_2_9"/>
      <w:bookmarkStart w:id="1372" w:name="Tc_a5-e0LXnz0GQTXePXaNtbQ_2_7"/>
      <w:bookmarkStart w:id="1373" w:name="Tc_XBIjKcirTkSGF7raQo5p5Q_2_4"/>
      <w:bookmarkStart w:id="1374" w:name="Tc_Flm4Uk7OrE6a-3DudwGcaw_1_7"/>
      <w:bookmarkStart w:id="1375" w:name="_df70f1dc_8b71_46c2_a198_3f6c221fc938"/>
      <w:bookmarkStart w:id="1376" w:name="Tc_vZBiiOpUv0SRj_pvDfGe5g_8_7"/>
      <w:bookmarkStart w:id="1377" w:name="Tc_TxC0oY2Xo0-nFSmZlBNBJA_8_6"/>
      <w:bookmarkStart w:id="1378" w:name="Tc_XT0dTxFdV0WsM1awxy4iDA_8_4"/>
      <w:bookmarkStart w:id="1379" w:name="Tc_Yu_Frpe2dUu3H09QQ3s7zg_8_3"/>
      <w:bookmarkStart w:id="1380" w:name="Tc_4C6Pbc4MB0G5tE2ur_OCPw_8_0"/>
      <w:bookmarkStart w:id="1381" w:name="Tc_4AI22imlV0mv2BSXiZLmjw_7_6"/>
      <w:bookmarkStart w:id="1382" w:name="Tc_vUJwngY4oEy1CD9ORCfc8g_7_3"/>
      <w:bookmarkStart w:id="1383" w:name="Tc_ui3WqZFCE0-tc5dxUea6rA_7_0"/>
      <w:bookmarkStart w:id="1384" w:name="Tc_S8WlDCS1o0-KbBj65DFzpg_6_7"/>
      <w:bookmarkStart w:id="1385" w:name="Tc_4q7_QRLMVUy4SYzlxi4bBA_6_4"/>
      <w:bookmarkStart w:id="1386" w:name="Tc_75pWAhFv5EuscQ7XsFhzIg_6_0"/>
      <w:bookmarkStart w:id="1387" w:name="Tc_HphziFlTuUis7G_-JhZTqQ_5_7"/>
      <w:bookmarkStart w:id="1388" w:name="Tc_iyfyqlYzCUedyW-p3dwpUA_5_4"/>
      <w:bookmarkStart w:id="1389" w:name="Tc_g_ToHK_dVUeuFVBh56mBsw_5_0"/>
      <w:bookmarkStart w:id="1390" w:name="Tc_9mORqA-GnEKqCw8sqlgyQw_4_5"/>
      <w:bookmarkStart w:id="1391" w:name="Tc_LuKR6mtft0CKjxF7macm_Q_4_2"/>
      <w:bookmarkStart w:id="1392" w:name="Tc_oB2YN0Gv1EGxAlQvar-F8w_4_0"/>
      <w:bookmarkStart w:id="1393" w:name="Tc_M0ZQoGA8pEq_8G77-ZtZEA_3_5"/>
      <w:bookmarkStart w:id="1394" w:name="Tc_y17QYmNgx0iV23bbbLvO_A_3_2"/>
      <w:bookmarkStart w:id="1395" w:name="Tc_NSRx7vBwRE-bDsYw9nz_eQ_2_2"/>
      <w:bookmarkStart w:id="1396" w:name="Tc_s1Q7W0SplUS8DRwHhifOGA_1_2"/>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r>
        <w:rPr>
          <w:rFonts w:ascii="Times New Roman;Times;serif" w:hAnsi="Times New Roman;Times;serif"/>
          <w:sz w:val="20"/>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 As of January 1, 2024, the Company’s board of directors decided not to apply an increase to the Class A Ordinary Shares issuable under the Equity Incentive Plan for the 2024 calendar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16, 2023, JATT’s board of directors approved the Zura Bio Limited 2023 Employee Stock Purchase Plan (the “ESPP”) which became effective on the day immediately preceding the Closing Date of the Business Combination. The maximum number of Class A Ordinary Shares that may be issued under the ESPP is 4,029,898, plus an aggregate number of Class A Ordinary Shares that are automatically added under the Equity Incentive Plan on January 1st of each calendar year unless otherwise determined by the Company’s board of directors, beginning on January 1, 2024, and ending on and including January 1, 2029, as discussed above. The ESPP enables eligible employees of the Company and designated affiliates to purchase Class A Ordinary Shares at a discount of 15%. As of June 30, 2024, the Company has </w:t>
      </w:r>
      <w:r>
        <w:rPr>
          <w:rFonts w:ascii="Times New Roman;Times;serif" w:hAnsi="Times New Roman;Times;serif"/>
          <w:b w:val="false"/>
          <w:i w:val="false"/>
          <w:caps w:val="false"/>
          <w:smallCaps w:val="false"/>
          <w:sz w:val="20"/>
        </w:rPr>
        <w:t>not</w:t>
      </w:r>
      <w:r>
        <w:rPr>
          <w:rFonts w:ascii="Times New Roman;Times;serif" w:hAnsi="Times New Roman;Times;serif"/>
          <w:sz w:val="20"/>
        </w:rPr>
        <w:t xml:space="preserve"> activated its ESPP.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a maximum of 13,624,111 Class A Ordinary Shares may be issued under either the Equity Incentive Plan and ESPP, collectively.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Equity Incentive Plan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the Equity Incentive Plan share options issued during the six months ended June 30, 2024 and 2023:</w:t>
      </w:r>
    </w:p>
    <w:p>
      <w:pPr>
        <w:pStyle w:val="TextBody"/>
        <w:bidi w:val="0"/>
        <w:spacing w:before="0" w:after="0"/>
        <w:ind w:left="0" w:right="0" w:hanging="0"/>
        <w:jc w:val="left"/>
        <w:rPr/>
      </w:pPr>
      <w:r>
        <w:rPr/>
        <w:t>​</w:t>
      </w:r>
    </w:p>
    <w:tbl>
      <w:tblPr>
        <w:tblW w:w="5228" w:type="dxa"/>
        <w:jc w:val="left"/>
        <w:tblInd w:w="0" w:type="dxa"/>
        <w:tblLayout w:type="fixed"/>
        <w:tblCellMar>
          <w:top w:w="0" w:type="dxa"/>
          <w:left w:w="0" w:type="dxa"/>
          <w:bottom w:w="0" w:type="dxa"/>
          <w:right w:w="0" w:type="dxa"/>
        </w:tblCellMar>
      </w:tblPr>
      <w:tblGrid>
        <w:gridCol w:w="2131"/>
        <w:gridCol w:w="326"/>
        <w:gridCol w:w="211"/>
        <w:gridCol w:w="826"/>
        <w:gridCol w:w="326"/>
        <w:gridCol w:w="211"/>
        <w:gridCol w:w="826"/>
        <w:gridCol w:w="37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53185" cy="175260"/>
                      <wp:effectExtent l="0" t="0" r="0" b="0"/>
                      <wp:wrapNone/>
                      <wp:docPr id="135" name="Frame135"/>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24510" cy="175260"/>
                      <wp:effectExtent l="0" t="0" r="0" b="0"/>
                      <wp:wrapNone/>
                      <wp:docPr id="138" name="Frame13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24510" cy="175260"/>
                      <wp:effectExtent l="0" t="0" r="0" b="0"/>
                      <wp:wrapNone/>
                      <wp:docPr id="141" name="Frame1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5585" cy="175260"/>
                      <wp:effectExtent l="0" t="0" r="0" b="0"/>
                      <wp:wrapNone/>
                      <wp:docPr id="142" name="Frame14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71"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71"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1"/>
              <w:ind w:left="0" w:right="0" w:hanging="0"/>
              <w:jc w:val="left"/>
              <w:rPr/>
            </w:pPr>
            <w:r>
              <w:rPr/>
              <w:t>    </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 years</w:t>
            </w:r>
          </w:p>
        </w:tc>
        <w:tc>
          <w:tcPr>
            <w:tcW w:w="371"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share option activity for the six months ended June 30, 2024:</w:t>
      </w:r>
    </w:p>
    <w:p>
      <w:pPr>
        <w:pStyle w:val="TextBody"/>
        <w:bidi w:val="0"/>
        <w:spacing w:before="0" w:after="0"/>
        <w:ind w:left="0" w:right="0" w:hanging="0"/>
        <w:jc w:val="left"/>
        <w:rPr/>
      </w:pPr>
      <w:r>
        <w:rPr/>
        <w:t>​</w:t>
      </w:r>
    </w:p>
    <w:tbl>
      <w:tblPr>
        <w:tblW w:w="9723" w:type="dxa"/>
        <w:jc w:val="left"/>
        <w:tblInd w:w="0" w:type="dxa"/>
        <w:tblLayout w:type="fixed"/>
        <w:tblCellMar>
          <w:top w:w="0" w:type="dxa"/>
          <w:left w:w="0" w:type="dxa"/>
          <w:bottom w:w="0" w:type="dxa"/>
          <w:right w:w="0" w:type="dxa"/>
        </w:tblCellMar>
      </w:tblPr>
      <w:tblGrid>
        <w:gridCol w:w="4096"/>
        <w:gridCol w:w="326"/>
        <w:gridCol w:w="1036"/>
        <w:gridCol w:w="326"/>
        <w:gridCol w:w="350"/>
        <w:gridCol w:w="776"/>
        <w:gridCol w:w="326"/>
        <w:gridCol w:w="991"/>
        <w:gridCol w:w="326"/>
        <w:gridCol w:w="264"/>
        <w:gridCol w:w="90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600960" cy="175260"/>
                      <wp:effectExtent l="0" t="0" r="0" b="0"/>
                      <wp:wrapNone/>
                      <wp:docPr id="143" name="Frame143"/>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57860" cy="175260"/>
                      <wp:effectExtent l="0" t="0" r="0" b="0"/>
                      <wp:wrapNone/>
                      <wp:docPr id="145" name="Frame1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22250" cy="175260"/>
                      <wp:effectExtent l="0" t="0" r="0" b="0"/>
                      <wp:wrapNone/>
                      <wp:docPr id="147" name="Frame14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92760" cy="175260"/>
                      <wp:effectExtent l="0" t="0" r="0" b="0"/>
                      <wp:wrapNone/>
                      <wp:docPr id="148" name="Frame148"/>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29285" cy="175260"/>
                      <wp:effectExtent l="0" t="0" r="0" b="0"/>
                      <wp:wrapNone/>
                      <wp:docPr id="150" name="Frame15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7640" cy="175260"/>
                      <wp:effectExtent l="0" t="0" r="0" b="0"/>
                      <wp:wrapNone/>
                      <wp:docPr id="152" name="Frame152"/>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75310" cy="175260"/>
                      <wp:effectExtent l="0" t="0" r="0" b="0"/>
                      <wp:wrapNone/>
                      <wp:docPr id="153" name="Frame15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50"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    </w:t>
            </w:r>
          </w:p>
        </w:tc>
        <w:tc>
          <w:tcPr>
            <w:tcW w:w="26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center"/>
              <w:rPr/>
            </w:pPr>
            <w:r>
              <w:rPr/>
              <w:t>​</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1"/>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5,791,065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17,752</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5,259,298</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(267,575)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June 30, 2024</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10,782,788</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12,864</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Options vested and exercisable at June 30, 2024</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2,678,918</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4,234</w:t>
            </w:r>
          </w:p>
        </w:tc>
      </w:tr>
    </w:tbl>
    <w:p>
      <w:pPr>
        <w:pStyle w:val="TextBody"/>
        <w:pBdr/>
        <w:bidi w:val="0"/>
        <w:spacing w:lineRule="auto" w:line="240" w:before="0" w:after="0"/>
        <w:ind w:left="0" w:right="0" w:hanging="36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Of the vested options as of June 30, 2024, 823,963 remain subject to restrictions on exercisability</w:t>
      </w:r>
    </w:p>
    <w:p>
      <w:pPr>
        <w:pStyle w:val="TextBody"/>
        <w:pBdr/>
        <w:bidi w:val="0"/>
        <w:spacing w:before="0" w:after="24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97" w:name="Tc_f2YYXIsKHkeD6o9Re8YsOQ_9_4"/>
      <w:bookmarkStart w:id="1398" w:name="Tc_CJzwG-94H0K8vxGVqcNTMw_9_0"/>
      <w:bookmarkStart w:id="1399" w:name="Tc_dqL41YT2DEGt2LnZx_W3ow_8_0"/>
      <w:bookmarkStart w:id="1400" w:name="Tc_McG1sNgpfEa0dPk85sx7ow_7_0"/>
      <w:bookmarkStart w:id="1401" w:name="Tc_Zlj1ghaiBEexlWlktjcReA_6_5"/>
      <w:bookmarkStart w:id="1402" w:name="Tc_cKeNM9B1wkqWLdKUAzrsvg_6_2"/>
      <w:bookmarkStart w:id="1403" w:name="Tc_RtPr6w34rEql0amL0lxRgw_6_0"/>
      <w:bookmarkStart w:id="1404" w:name="Tc_kHcRwLDIcUm59PSB3zQwXg_5_4"/>
      <w:bookmarkStart w:id="1405" w:name="Tc_fEHC-5LXEECHibCh63fFcQ_5_0"/>
      <w:bookmarkStart w:id="1406" w:name="Tc_AWLEZqClTEyd2dO25F2peQ_4_4"/>
      <w:bookmarkStart w:id="1407" w:name="Tc_AFXlxFcfh0ika_sifUGn5Q_4_2"/>
      <w:bookmarkStart w:id="1408" w:name="Tc_5AXscIKEUkWRYBZ0Qooiew_3_4"/>
      <w:bookmarkStart w:id="1409" w:name="Tc_g_ZnC93k5EqFSk4O0xi6xg_3_2"/>
      <w:bookmarkStart w:id="1410" w:name="Tc_pcR5O4a0o0ixQVofTaftIA_2_4"/>
      <w:bookmarkStart w:id="1411" w:name="Tc_jSm5mZRkkEuY4Imuyw2aVQ_1_4"/>
      <w:bookmarkStart w:id="1412" w:name="Tc_a-2DBEo_lEq4HW_odjkmBw_9_2"/>
      <w:bookmarkStart w:id="1413" w:name="Tc_KuqDT0tof0O_Ncl_SnR4kQ_9_0"/>
      <w:bookmarkStart w:id="1414" w:name="Tc_cWYfdQZhv0ixUu4Ga8rIcw_8_4"/>
      <w:bookmarkStart w:id="1415" w:name="Tc_h7gKfAPeQEWO6pXPzoekUA_8_3"/>
      <w:bookmarkStart w:id="1416" w:name="Tc_IVEQD-At0km91M3IsysSEA_8_0"/>
      <w:bookmarkStart w:id="1417" w:name="Tc_q_IHIV5pxUiUiN0wkSGAEw_7_3"/>
      <w:bookmarkStart w:id="1418" w:name="Tc_pXMG6D9jOESYjgWsdoFWLw_7_0"/>
      <w:bookmarkStart w:id="1419" w:name="Tc_ckyIg0EJkES5bJ-K4Y2ldg_6_4"/>
      <w:bookmarkStart w:id="1420" w:name="Tc_NU-PRo6OPki_N7wBeotprQ_6_0"/>
      <w:bookmarkStart w:id="1421" w:name="Tc_vgv3hhIuHUuTmIfMO1995w_5_4"/>
      <w:bookmarkStart w:id="1422" w:name="Tc_wGnySDMMpUmukw-Xcp3A9A_5_0"/>
      <w:bookmarkStart w:id="1423" w:name="Tc_7LAYKku8ZEGptvMjSjYWgg_4_2"/>
      <w:bookmarkStart w:id="1424" w:name="Tc_AeAVeOG4PUyiEwZMtipdAA_3_2"/>
      <w:bookmarkStart w:id="1425" w:name="Tc_zok3hwZUAEKfD9zEH5CBAA_2_2"/>
      <w:bookmarkStart w:id="1426" w:name="Tc_aBy6sORRG066lZlAFnrq3w_1_2"/>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r>
        <w:rPr>
          <w:rFonts w:ascii="Times New Roman;Times;serif" w:hAnsi="Times New Roman;Times;serif"/>
          <w:sz w:val="20"/>
        </w:rPr>
        <w:t>Included in the table above are 2,280,560 options to purchase Class A Ordinary Shares issued to certain directors, executives, and employees outside of the Equity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average grant date fair value of options granted during the six months ended June 30, 2024 and 2023 was $2.83 and $5.57,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Market-Based Share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20, 2023, the Company granted 306,373 options to purchase Class A Ordinary Shares (“Market-Based Share Options”) to a certain director of the board. These awards will vest only to the extent that the 20-day volume weighted average trading price (“VWAP”) of the Class A Ordinary Shares is over $30 per Class A Ordinary Share at any time prior to the </w:t>
      </w:r>
      <w:r>
        <w:rPr>
          <w:rFonts w:ascii="Times New Roman;Times;serif" w:hAnsi="Times New Roman;Times;serif"/>
          <w:b w:val="false"/>
          <w:i w:val="false"/>
          <w:caps w:val="false"/>
          <w:smallCaps w:val="false"/>
          <w:sz w:val="20"/>
        </w:rPr>
        <w:t>fifth anniversary</w:t>
      </w:r>
      <w:r>
        <w:rPr>
          <w:rFonts w:ascii="Times New Roman;Times;serif" w:hAnsi="Times New Roman;Times;serif"/>
          <w:sz w:val="20"/>
        </w:rPr>
        <w:t xml:space="preserve"> of the grant date. These awards have an exercise price of $8.16 and become exercisable when vested and the market condition is satisfied. These awards expire 10 years from the date of grant. The fair value of these Market-Based Share Options was estimated using a Monte Carlo valuation method. The following table sets forth the weighted-average assumptions used at the grant date to determine the fair value of the Market-Based Share Options granted during the six months ended June 30, 2023. No Market-Based Share Options were granted during the six months ended June 30, 2024:</w:t>
      </w:r>
    </w:p>
    <w:p>
      <w:pPr>
        <w:pStyle w:val="TextBody"/>
        <w:bidi w:val="0"/>
        <w:spacing w:before="0" w:after="0"/>
        <w:ind w:left="0" w:right="0" w:hanging="0"/>
        <w:jc w:val="left"/>
        <w:rPr/>
      </w:pPr>
      <w:r>
        <w:rPr/>
        <w:t>​</w:t>
      </w:r>
    </w:p>
    <w:tbl>
      <w:tblPr>
        <w:tblW w:w="5653" w:type="dxa"/>
        <w:jc w:val="left"/>
        <w:tblInd w:w="0" w:type="dxa"/>
        <w:tblLayout w:type="fixed"/>
        <w:tblCellMar>
          <w:top w:w="0" w:type="dxa"/>
          <w:left w:w="0" w:type="dxa"/>
          <w:bottom w:w="0" w:type="dxa"/>
          <w:right w:w="0" w:type="dxa"/>
        </w:tblCellMar>
      </w:tblPr>
      <w:tblGrid>
        <w:gridCol w:w="3601"/>
        <w:gridCol w:w="326"/>
        <w:gridCol w:w="287"/>
        <w:gridCol w:w="1123"/>
        <w:gridCol w:w="31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86635" cy="175260"/>
                      <wp:effectExtent l="0" t="0" r="0" b="0"/>
                      <wp:wrapNone/>
                      <wp:docPr id="154" name="Frame154"/>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2245" cy="175260"/>
                      <wp:effectExtent l="0" t="0" r="0" b="0"/>
                      <wp:wrapNone/>
                      <wp:docPr id="156" name="Frame15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13105" cy="175260"/>
                      <wp:effectExtent l="0" t="0" r="0" b="0"/>
                      <wp:wrapNone/>
                      <wp:docPr id="157" name="Frame157"/>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0660" cy="175260"/>
                      <wp:effectExtent l="0" t="0" r="0" b="0"/>
                      <wp:wrapNone/>
                      <wp:docPr id="158" name="Frame15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 years</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per Market-Based 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recognized related to Market-Based Share Options during the six months ended June 30, 2024 and 2023 was $0.2 million.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Share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issued RSUs to certain employees, executives, and directors pursuant to the Equity Incentive Plan. The fair value has been estimated based on the closing price of the stock on the grant date</w:t>
      </w:r>
    </w:p>
    <w:p>
      <w:pPr>
        <w:pStyle w:val="TextBody"/>
        <w:bidi w:val="0"/>
        <w:spacing w:before="0" w:after="0"/>
        <w:ind w:left="0" w:right="0" w:hanging="0"/>
        <w:jc w:val="left"/>
        <w:rPr/>
      </w:pPr>
      <w:r>
        <w:rPr/>
        <w:t>​</w:t>
      </w:r>
    </w:p>
    <w:tbl>
      <w:tblPr>
        <w:tblW w:w="5770" w:type="dxa"/>
        <w:jc w:val="left"/>
        <w:tblInd w:w="0" w:type="dxa"/>
        <w:tblLayout w:type="fixed"/>
        <w:tblCellMar>
          <w:top w:w="0" w:type="dxa"/>
          <w:left w:w="0" w:type="dxa"/>
          <w:bottom w:w="0" w:type="dxa"/>
          <w:right w:w="0" w:type="dxa"/>
        </w:tblCellMar>
      </w:tblPr>
      <w:tblGrid>
        <w:gridCol w:w="3196"/>
        <w:gridCol w:w="326"/>
        <w:gridCol w:w="931"/>
        <w:gridCol w:w="326"/>
        <w:gridCol w:w="266"/>
        <w:gridCol w:w="725"/>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29460" cy="175260"/>
                      <wp:effectExtent l="0" t="0" r="0" b="0"/>
                      <wp:wrapNone/>
                      <wp:docPr id="159" name="Frame15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91185" cy="175260"/>
                      <wp:effectExtent l="0" t="0" r="0" b="0"/>
                      <wp:wrapNone/>
                      <wp:docPr id="161" name="Frame1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8910" cy="175260"/>
                      <wp:effectExtent l="0" t="0" r="0" b="0"/>
                      <wp:wrapNone/>
                      <wp:docPr id="163" name="Frame16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60375" cy="175260"/>
                      <wp:effectExtent l="0" t="0" r="0" b="0"/>
                      <wp:wrapNone/>
                      <wp:docPr id="164" name="Frame164"/>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1,563,018</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(121,545)</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unissued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(289,503)</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at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1,151,970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6.09</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recognized related to RSUs during the three and six months ended June 30, 2024 was approximately $0.5 million and $1.1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1427" w:name="Tc_yCRQvSSUE0yOxXIx4xn9Mg_6_11"/>
      <w:bookmarkStart w:id="1428" w:name="Tc_ZDoELlFxo0mLurtyAmU1_w_6_8"/>
      <w:bookmarkStart w:id="1429" w:name="Tc_zzs0x8aIs0eRiAnIZYLHlg_6_5"/>
      <w:bookmarkStart w:id="1430" w:name="Tc_13z0ovbkrEGgsrqDzTiOlQ_6_2"/>
      <w:bookmarkStart w:id="1431" w:name="Tc_1sAmzjz6iki_IE9Q_stALw_6_0"/>
      <w:bookmarkStart w:id="1432" w:name="Tc_6G7xFIoKAUSMaG0aJoJcbg_5_0"/>
      <w:bookmarkStart w:id="1433" w:name="Tc_BTr0F7kGkUeY6mlzXj9NWQ_4_11"/>
      <w:bookmarkStart w:id="1434" w:name="Tc_ohpXCGgkEkO2atzPV_TBWQ_4_8"/>
      <w:bookmarkStart w:id="1435" w:name="Tc_wNXd8GDX4k-znIfZYXu1gA_4_6"/>
      <w:bookmarkStart w:id="1436" w:name="Tc_3yBY4tccNUqBQIdpPP-LKg_4_5"/>
      <w:bookmarkStart w:id="1437" w:name="Tc_gKJN8EMCm0y6Nf8rOuMnvQ_4_2"/>
      <w:bookmarkStart w:id="1438" w:name="Tc_LUNLi2TEVkeA1GEEYHftuw_4_0"/>
      <w:bookmarkStart w:id="1439" w:name="Tc_jYQxYjQiZUuUBAzQG7OXCg_3_11"/>
      <w:bookmarkStart w:id="1440" w:name="Tc_6uSUU6dp8EWtpcHiis5VOg_3_8"/>
      <w:bookmarkStart w:id="1441" w:name="Tc_vwcd9SkZmEW_OnEnpLC2aw_3_5"/>
      <w:bookmarkStart w:id="1442" w:name="Tc_1GhHnSxoR0WDrOf2V8uAeQ_3_2"/>
      <w:bookmarkStart w:id="1443" w:name="Tc_VyWEhwU7WEmrxEAD2wtouA_2_8"/>
      <w:bookmarkStart w:id="1444" w:name="Tc_HuoGFzLk8kutd1PwlfecXw_2_2"/>
      <w:bookmarkStart w:id="1445" w:name="Tc_hgSaJdKJjkGPSzVYRTEjwQ_1_8"/>
      <w:bookmarkStart w:id="1446" w:name="Tc_93LSyfG-z0qJiqElo4_svg_1_2"/>
      <w:bookmarkStart w:id="1447" w:name="Tc_dKJWxmL6MUulOuveLaj4hA_8_4"/>
      <w:bookmarkStart w:id="1448" w:name="Tc_fO0_HJkzy0aG8XQrIasNeA_8_0"/>
      <w:bookmarkStart w:id="1449" w:name="Tc_TEoEknrXREua1C5-v52eYw_7_0"/>
      <w:bookmarkStart w:id="1450" w:name="Tc_dWzcR7x-Bku6nsoRPai2VA_6_5"/>
      <w:bookmarkStart w:id="1451" w:name="Tc_TRtc1dJlSEyUnIwBP4q1jQ_6_2"/>
      <w:bookmarkStart w:id="1452" w:name="Tc_oymm311HTkKyXoSoQrNFXg_6_0"/>
      <w:bookmarkStart w:id="1453" w:name="Tc_PQmEHOGSWUeJCULA4YhLLA_5_4"/>
      <w:bookmarkStart w:id="1454" w:name="Tc_EEs7y3GR4EGikKe3MULuLg_5_0"/>
      <w:bookmarkStart w:id="1455" w:name="Tc_vgFkc0dYG0WOOu1OymeSxg_4_4"/>
      <w:bookmarkStart w:id="1456" w:name="Tc_gVDJIOwS80qAEBiUrxNIdw_4_2"/>
      <w:bookmarkStart w:id="1457" w:name="Tc_B2NopNyi20mnyin1NOsFnQ_3_4"/>
      <w:bookmarkStart w:id="1458" w:name="Tc_AIe07bkS7Eue25nWwdRlfg_3_2"/>
      <w:bookmarkStart w:id="1459" w:name="Tc_-StNCV4dJ0af6BpSVlOTHw_2_4"/>
      <w:bookmarkStart w:id="1460" w:name="Tc_qgjwZ63aB0-HEsaSMN3L4w_1_4"/>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r>
        <w:rPr>
          <w:rFonts w:ascii="Times New Roman;Times;serif" w:hAnsi="Times New Roman;Times;serif"/>
          <w:i/>
          <w:sz w:val="20"/>
        </w:rPr>
        <w:t>Restricted Share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converted RSU’s granted to a certain director pursuant to the Equity Incentive Plan into RSAs during the year ended December 31, 2023. The fair value was estimated based on the closing price of the shares on the original grant date.</w:t>
      </w:r>
    </w:p>
    <w:p>
      <w:pPr>
        <w:pStyle w:val="TextBody"/>
        <w:bidi w:val="0"/>
        <w:spacing w:before="0" w:after="0"/>
        <w:ind w:left="0" w:right="0" w:hanging="0"/>
        <w:jc w:val="left"/>
        <w:rPr/>
      </w:pPr>
      <w:r>
        <w:rPr/>
        <w:t>​</w:t>
      </w:r>
    </w:p>
    <w:tbl>
      <w:tblPr>
        <w:tblW w:w="5740" w:type="dxa"/>
        <w:jc w:val="left"/>
        <w:tblInd w:w="0" w:type="dxa"/>
        <w:tblLayout w:type="fixed"/>
        <w:tblCellMar>
          <w:top w:w="0" w:type="dxa"/>
          <w:left w:w="0" w:type="dxa"/>
          <w:bottom w:w="0" w:type="dxa"/>
          <w:right w:w="0" w:type="dxa"/>
        </w:tblCellMar>
      </w:tblPr>
      <w:tblGrid>
        <w:gridCol w:w="3196"/>
        <w:gridCol w:w="326"/>
        <w:gridCol w:w="901"/>
        <w:gridCol w:w="326"/>
        <w:gridCol w:w="266"/>
        <w:gridCol w:w="725"/>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29460" cy="175260"/>
                      <wp:effectExtent l="0" t="0" r="0" b="0"/>
                      <wp:wrapNone/>
                      <wp:docPr id="165" name="Frame165"/>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2135" cy="175260"/>
                      <wp:effectExtent l="0" t="0" r="0" b="0"/>
                      <wp:wrapNone/>
                      <wp:docPr id="167" name="Frame16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8910" cy="175260"/>
                      <wp:effectExtent l="0" t="0" r="0" b="0"/>
                      <wp:wrapNone/>
                      <wp:docPr id="169" name="Frame16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60375" cy="175260"/>
                      <wp:effectExtent l="0" t="0" r="0" b="0"/>
                      <wp:wrapNone/>
                      <wp:docPr id="170" name="Frame170"/>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RSAs</w:t>
            </w:r>
          </w:p>
        </w:tc>
        <w:tc>
          <w:tcPr>
            <w:tcW w:w="326" w:type="dxa"/>
            <w:tcBorders/>
            <w:vAlign w:val="center"/>
          </w:tcPr>
          <w:p>
            <w:pPr>
              <w:pStyle w:val="TableContents"/>
              <w:bidi w:val="0"/>
              <w:spacing w:before="0" w:after="0"/>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RSAs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499,993</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(124,998)</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RSAs at June 30, 2024</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374,995</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8.16</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expense recognized related to RSAs during the three and six months ended June 30, 2024 was $0.3 million and $0.5,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Equity Award Modification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10, 2024, the Company and its Chief Medical Officer (the “CMO”) entered into an agreement regarding the CMO’s departure from the Company (the “Severance Agreement”). In connection with the Severance Agreement, 67,525 of the share options previously granted to the CMO became fully vested and exercisable and 40,515 of the RSUs previously granted to the CMO became fully vested. All remaining share options and RSUs not vested were forfeited and cancelled. During the six months ended June 30, 2024, the Company recognized a reversal of approximately $0.1 million of share-based compensation expense related to this modification within research and development expense in the condensed consolidated statement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Share-based compensation expense for all equity arrangements for the three and six months ended June 30, 2024 and 2023 was as follows:</w:t>
      </w:r>
    </w:p>
    <w:p>
      <w:pPr>
        <w:pStyle w:val="TextBody"/>
        <w:bidi w:val="0"/>
        <w:spacing w:before="0" w:after="0"/>
        <w:ind w:left="0" w:right="0" w:hanging="0"/>
        <w:jc w:val="left"/>
        <w:rPr/>
      </w:pPr>
      <w:r>
        <w:rPr/>
        <w:t>​</w:t>
      </w:r>
    </w:p>
    <w:tbl>
      <w:tblPr>
        <w:tblW w:w="7973" w:type="dxa"/>
        <w:jc w:val="left"/>
        <w:tblInd w:w="0" w:type="dxa"/>
        <w:tblLayout w:type="fixed"/>
        <w:tblCellMar>
          <w:top w:w="0" w:type="dxa"/>
          <w:left w:w="0" w:type="dxa"/>
          <w:bottom w:w="0" w:type="dxa"/>
          <w:right w:w="0" w:type="dxa"/>
        </w:tblCellMar>
      </w:tblPr>
      <w:tblGrid>
        <w:gridCol w:w="3436"/>
        <w:gridCol w:w="326"/>
        <w:gridCol w:w="211"/>
        <w:gridCol w:w="571"/>
        <w:gridCol w:w="326"/>
        <w:gridCol w:w="211"/>
        <w:gridCol w:w="571"/>
        <w:gridCol w:w="326"/>
        <w:gridCol w:w="211"/>
        <w:gridCol w:w="571"/>
        <w:gridCol w:w="326"/>
        <w:gridCol w:w="211"/>
        <w:gridCol w:w="67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81860" cy="175260"/>
                      <wp:effectExtent l="0" t="0" r="0" b="0"/>
                      <wp:wrapNone/>
                      <wp:docPr id="171" name="Frame171"/>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62585" cy="175260"/>
                      <wp:effectExtent l="0" t="0" r="0" b="0"/>
                      <wp:wrapNone/>
                      <wp:docPr id="174" name="Frame1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2585" cy="175260"/>
                      <wp:effectExtent l="0" t="0" r="0" b="0"/>
                      <wp:wrapNone/>
                      <wp:docPr id="177" name="Frame1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2585" cy="175260"/>
                      <wp:effectExtent l="0" t="0" r="0" b="0"/>
                      <wp:wrapNone/>
                      <wp:docPr id="180" name="Frame1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9260" cy="175260"/>
                      <wp:effectExtent l="0" t="0" r="0" b="0"/>
                      <wp:wrapNone/>
                      <wp:docPr id="183" name="Frame1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left"/>
              <w:rPr/>
            </w:pPr>
            <w:r>
              <w:rPr/>
              <w:t>​</w:t>
            </w:r>
          </w:p>
        </w:tc>
        <w:tc>
          <w:tcPr>
            <w:tcW w:w="19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2,186</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4,685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2024, there was approximately $28.6 million of total unrecognized share-based compensation expense related to options granted to employees, executives, and directors that is expected to be recognized over a weighted average period of 3.3 years. As of June 30, 2024, there was approximately $6.1 million of total unrecognized share-based compensation expense related to RSUs granted to certain employees, executives, and directors under the Company’s Equity Incentive Plan that is expected to be recognized over a weighted average period of 2.9 years. As of June 30, 2024, there was approximately $2.8 million of total unrecognized share-based compensation expense related to RSAs granted to a certain director under the Company’s Equity Incentive Plan that is expected to be recognized over a weighted average period of 2.7 years.</w:t>
      </w:r>
    </w:p>
    <w:p>
      <w:pPr>
        <w:pStyle w:val="TextBody"/>
        <w:bidi w:val="0"/>
        <w:spacing w:before="0" w:after="0"/>
        <w:ind w:left="0" w:right="0" w:hanging="0"/>
        <w:jc w:val="both"/>
        <w:rPr/>
      </w:pPr>
      <w:r>
        <w:rPr/>
        <w:t>​</w:t>
      </w:r>
    </w:p>
    <w:tbl>
      <w:tblPr>
        <w:tblW w:w="3306" w:type="dxa"/>
        <w:jc w:val="left"/>
        <w:tblInd w:w="0" w:type="dxa"/>
        <w:tblLayout w:type="fixed"/>
        <w:tblCellMar>
          <w:top w:w="0" w:type="dxa"/>
          <w:left w:w="0" w:type="dxa"/>
          <w:bottom w:w="0" w:type="dxa"/>
          <w:right w:w="0"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9.</w:t>
            </w:r>
          </w:p>
        </w:tc>
        <w:tc>
          <w:tcPr>
            <w:tcW w:w="292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tbl>
      <w:tblPr>
        <w:tblW w:w="3696" w:type="dxa"/>
        <w:jc w:val="left"/>
        <w:tblInd w:w="0" w:type="dxa"/>
        <w:tblLayout w:type="fixed"/>
        <w:tblCellMar>
          <w:top w:w="0" w:type="dxa"/>
          <w:left w:w="0" w:type="dxa"/>
          <w:bottom w:w="0" w:type="dxa"/>
          <w:right w:w="0" w:type="dxa"/>
        </w:tblCellMar>
      </w:tblPr>
      <w:tblGrid>
        <w:gridCol w:w="124"/>
        <w:gridCol w:w="361"/>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10.</w:t>
            </w:r>
          </w:p>
        </w:tc>
        <w:tc>
          <w:tcPr>
            <w:tcW w:w="321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Redeemable Noncontrolling Interest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a finder’s fee for the 2022 Lilly License, the Company’s consolidated subsidiary Z33 issued 4,900,222 shares of Z33 Series Seed Preferred Shares to Stone Peach. Zura has the right, but not the obligation to purchase up to 50% of the Series Seed Preferred Shares issued to Stone Peach at a price per share of $2.448869 for a period of two years from the date of the agreement (the “Call Option”).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Stone Peach has the right, but not the obligation to sell up to 50% of the Series Seed Preferred Shares issued to Stone Peach to Zura for a price per share of $2.040724 (the “Put Option”). As it is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represents redeemable noncontrolling 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2023,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and as an adjustment to net loss to arrive at net loss attributable to Class A ordinary shareholders in the consolidated statement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 The amended settlement terms represented an extinguishment and reissuance of the Z33 Series Seed Preferred Shares. The $9.2 million difference between the estimated fair value of the new instrument issued and the carrying value of the Z33 Series Seed Preferred Shares was recorded as a deemed contribution from the redeemable noncontrolling interest and as an adjustment to net loss to arrive at net loss attributable to Class A ordinary shareholders in the consolidated statement of operations. On June 30, 2024, the redeemable noncontrolling interest was remeasured from its carrying value as of March 31, 2024 to its redemption price and the difference was recorded as an adjustment to net loss to arrive at net loss attributable to Class A ordinary shareholders for the three and six months ended June 30, 2024 in the condensed consolidated statement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and December 31, 2023, the redeemable noncontrolling interest balance was $14.0 million and $18.7 million, respectively.</w:t>
      </w:r>
    </w:p>
    <w:tbl>
      <w:tblPr>
        <w:tblW w:w="2196" w:type="dxa"/>
        <w:jc w:val="left"/>
        <w:tblInd w:w="0" w:type="dxa"/>
        <w:tblLayout w:type="fixed"/>
        <w:tblCellMar>
          <w:top w:w="0" w:type="dxa"/>
          <w:left w:w="0" w:type="dxa"/>
          <w:bottom w:w="0" w:type="dxa"/>
          <w:right w:w="0" w:type="dxa"/>
        </w:tblCellMar>
      </w:tblPr>
      <w:tblGrid>
        <w:gridCol w:w="124"/>
        <w:gridCol w:w="361"/>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11.</w:t>
            </w:r>
          </w:p>
        </w:tc>
        <w:tc>
          <w:tcPr>
            <w:tcW w:w="1711"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12, 2024, the Company commenced an exchange offer (the “Exchange Offer”) and consent solicitation (the “Consent Solicitation”) relating to its outstanding (i) public warrants that were issued in connection with its initial public offering to purchase Class A ordinary shares of the Company, par value $0.0001 per share, and (ii) private placement warrants that were issued in connection with its initial public offering to purchase Class A ordinary shares (together with the public warrants, the “IPO warrants”). The Company offered to all holders of the IPO warrants the opportunity to receive 0.30 Class A ordinary shares in exchange for each outstanding IPO warrant tendered by the holder and exchanged pursuant to the Exchange Offer. Concurrently with the Exchange Offer, the Company also solicited consents from holders of the IPO warrants to amend that certain warrant agreement, dated as of July 16, 2021, by and between the Company and Continental Stock Transfer &amp; Trust Company (“CST”), as warrant agent (the “Warrant Agreement”) to permit the Company to require that each IPO warrant outstanding upon the closing of the Exchange Offer be exchanged for 0.27 Class A ordinary shares, which is a ratio 10% less than the exchange ratio applicable to the Exchange Offer. Pursuant to the terms of the Warrant Agreement, all except certain specified modifications or amendments require the vote or written consent of holders of at least a majority of the outstanding public warrants and a majority of the outstanding private placement warrants.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Exchange Offer and Consent Solicitation expired at 11:59 p.m., Eastern Time on August 8, 2024. A total of 6,703,428 public warrants, or approximately 97.2% of the outstanding public warrants, and a total of 4,080,580 private placement warrants, or approximately 69.0% of the outstanding private placement warrants, were validly tendered and not validly withdrawn in the Exchange Offer and Consent Solicitation.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12, 2024, the Company completed the Exchange Offer and Consent Solicitation and issued 3,235,184 Class A ordinary shares in exchange for 10,784,008 IPO warrants. In connection with its completion of the Exchange Offer, the Company entered into an amendment, dated August 12, 2024 (the “Warrant Amendment”), to the Warrant Agreement to provide the Company with the right to mandatorily exchange the Company’s remaining outstanding IPO warrants for Class A ordinary shares at an exchange ratio of 0.27 Class A ordinary shares for each IPO warrant. The Company has exercised its right to exchange all remaining untendered IPO warrants in accordance with the terms of the Warrant Amendment (the “Post-Offer Exchange”). The Company has fixed the date for such exchange as August 27, 2024.</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24, 2024, the Company executed a settlement agreement (“Settlement Agreement”) in connection with the CEO transition effective April 8, 2024. In respect to 1,950,000 outstanding options held by the former CEO, the Company agreed to (1) accelerate the vesting of 1,000,000 options for his service as CEO through April 8, 2024, (2) revise the vesting schedule applicable to an additional 250,000 options which will vest equally on the first, second and third anniversaries of the Transition Date (as defined therein), and (3) revise the vesting schedule applicable to the remaining 700,000 options, which would vest subject to integral participation in a capital raise of at least $50M within 12 months of the Transition Date, which the Compensation Committee has agreed occurred and vested as of the date of the Settlement Agreement. The Company is currently evaluating the impact of this modification on the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61" w:name="Item2ManagementsDiscussionandAnalysisofF"/>
      <w:bookmarkStart w:id="1462" w:name="_c42f6ba5_e05a_4fca_acc5_9a2234d270b1"/>
      <w:bookmarkEnd w:id="1461"/>
      <w:bookmarkEnd w:id="146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financial statements as of December 31, 2023, included on Form 10-K filed with the SEC on March 28, 2024, and in conjunction with the unaudited condensed consolidated financial statements and notes thereto included elsewhere in this Quarterly Report on Form 10-Q.</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In addition to historical information, this discussion and analysis contains forward-looking statements. These forward-looking statements are subject to risks and uncertainties, including those discussed in the section titled “Risk Factors” in our Form 10-K filed with the SEC on March 28, 2024, that could cause actual results to differ materially from historical results or anticipated results.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 to the Company prior to the consummation of the Business Combination.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Zura Bio Limited, formerly known as JATT Acquisition Corp., is a multi-asset clinical-stage biotechnology company focused on developing novel medicines for immune and inflammatory disorders. The experienced leadership team aims to become a leader in the autoimmune and inflammatory field.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incorporated as a Cayman Islands exempted company on March 10, 2021. Our wholly owned subsidiary, Zura Bio Limited (“Zura Bio UK”) was formed in the United Kingdom, or UK, on January 18, 2022. Prior to March 20, 2023, our operations were conducted through Zura Bio UK.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 limited operating history. Since our inception, our operations have focused on organizing and staffing our company, business planning, raising capital and entering into collaboration agreements for conducting manufacturing, and research and development activities. Our lead product candidates are in the clinical testing stage; however, we have not conducted any clinical tests ourselves, nor have any been conducted during the period since our inception. We do not have any product candidates approved for sale and have not generated any revenue from product sales. We funded our operations up until June 30, 2024 through (i) the sale of equity, raising an aggregate of $10.0 million of gross proceeds from the sale of shares of convertible preferred stock of Zura Bio UK through March 31, 2023; (ii) the issuance of a promissory note, receiving net proceeds of $7.6 million in December 2022; (iii) proceeds from the Business Combination of $56.7 million in March 2023; (iv) the April 2023 Private Placement, raising an aggregate of $80.0 million of gross proceeds from the sale of Class A Ordinary Shares and Pre-Funded Warrants during the year ended December 31, 2023; and (v) the April 2024 Private Placement, raising an aggregate of $112.5 million of gross proceeds from the sale of Class A Ordinary Shares and Pre-Funded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our inception, we have incurred significant operating losses. Our net loss for the three and six months ended June 30, 2024, was $10.3 million and $18.1 million, respectively. As of June 30, 2024, we had an accumulated deficit of $121.6 million. We anticipate that our expenses will increase significantly in connection with our ongoing activities, as we:</w:t>
      </w:r>
    </w:p>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the preclinical and clinical development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our planned preclinical studies and clinical trials for our product candidates, as well as initiate and complete additional trials of future potential product candidates;</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scale up our clinical and regulatory capabilities;</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current good manufacturing practices, or cGMP, material for clinical trials or potential commercial sales;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clinical, quality, regulatory, manufacturing, scientific and administrative personnel;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commercialization infrastructure and scale up manufacturing and distribution capabilities to commercialize any product candidates for which we may obtain regulatory approval;</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our regulatory compliance efforts to incorporate requirements applicable to marketed products;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 for any product candidates that successfully complete clinical trials;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product development and planned future commercialization efforts; and</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in operating as a public company.</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Business Combination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20, 2023 (the “Closing Date”), we consummated the previously-announced transactions contemplated by the Business Combination Agreement, dated June 16, 2022, as amended on September 20, 2022, November 14, 2022, and January 13, 2023 by and among Zura Bio Limited, a limited company incorporated under the laws of England and Wales (“Zura Bio UK”), JATT Acquisition Corp, a Cayman Islands exempted company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Business Combination generated approximately $56.7 million in net proceeds. On March 21, 2023, our Class A Ordinary Shares and public warrants began trading on the Nasdaq under the symbols “ZURA” and “ZURAW,”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April 2024 Private Placement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18, 2024, we entered into subscription agreements (the “April 2024 Investor Agreements”) with certain institutional and other accredited investors (the “Investors”), whereby we issued 18,732,301 Class A Ordinary Shares, par value $0.0001 per share and pre-funded warrants (the “2024 Pre-Funded Warrants”) to purchase up to 16,102,348 Class A Ordinary Shares. Each Class A Ordinary Share was sold at a price of $3.108 per Class A Ordinary Share and each 2024 Pre-Funded Warrant was sold at a price of $3.107 per 2024 Pre-Funded Warrant for an aggregate purchase price of $108.3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18, 2024, we also entered into subscription agreements (the “April 2024 Insider Agreements” and together with the April 2024 Investor Agreements, the “April 2024 Private Placement”) with certain officers, directors and affiliates of the Company (“Insiders” and together with the Investors, the “2024 Subscribers”), whereby the Company issued 1,357,827 Class A Ordinary Shares, par value $0.0001 per share sold a purchase price of $3.13 per Class A Ordinary Share for an aggregate purchase price of $4.2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April 2024 Private Placement closed on April 22, 2024, from which we received gross proceeds of approximately $112.5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April 2023 Private Placement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“2023 Pre-Funded Warrants”) to purchase up to 3,782,000 Class A Ordinary Shares. Each Class A Ordinary Share was sold at a price of $4.25 per Class A Ordinary Share and each Pre-Funded Warrant was sold at a price of $4.249 per Pre-Funded Warrant for an aggregate purchase price of $80.0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2023 Lilly License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26, 2023, the Company’s newly formed subsidiary ZB17 LLC (“ZB17”) entered into a license agreement (the “2023 Lilly License” and, together with the 2022 Lilly License, the “Lilly Licenses”) with Lilly, for an exclusive license to develop, manufacture and commercialize a certain bispecific antibody relating to IL-17 and BAFF (“ZB-106”). ZB17 made a payment of $5.0 million to Lilly during the six months ended June 30, 2024, in connection with the receipt of certain know-how, data, information and materials that Lilly was required to provide under the license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ZB17 granted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Stone Peach Call Right represents noncontrolling interest in the Company’s subsidiary, ZB17.</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As additional consideration, Stone Peach receives annual payments first of $0.6 million, and increasing by 10% annually, so long as the Company maintains its license for ZB-106 on May 1</w:t>
      </w:r>
      <w:r>
        <w:rPr>
          <w:rFonts w:ascii="Times New Roman;Times;serif" w:hAnsi="Times New Roman;Times;serif"/>
          <w:sz w:val="15"/>
        </w:rPr>
        <w:t>st</w:t>
      </w:r>
      <w:r>
        <w:rPr>
          <w:rFonts w:ascii="Times New Roman;Times;serif" w:hAnsi="Times New Roman;Times;serif"/>
          <w:sz w:val="20"/>
        </w:rPr>
        <w:t xml:space="preserve"> of each year. An annual payment of $0.7 million became due and was paid during the three months ended June 30, 2024.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finder’s fee for arranging the acquisition of the 2023 Lilly License, we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the Company’s fully diluted shares outstanding exceeded 52,500,000 shares prior to December 31, 2023, the $5.0 million fee was recorded in accounts payable and accrued expenses in the condensed consolidated balance sheet as of June 30,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obligated to make 4 development milestone payments to Lilly up to an aggregate of $155.0 million, and sales milestone payments up to an aggregate of $440 million based on respective thresholds of net sales of products developed from ZB-106. The Company is also obligated to pay Lilly over a multi-year period (twelve years, or upon the later expiration of regulatory exclusivity of ZB-106 in a country) an annual earned royalty at a marginal royalty rate in the mid-single digits to low-double digits, with increasing rates depending on net sales in the respective calendar year, based on a percentage of sales within varying thresholds for a certain period of years. The Company is also obligated to pay BAFFX17 a fee equal to 3% of any milestone or royalty payments due to Lilly pursuant to the terms of either the 2022 Lilly License and the 2023 Lilly License with Lilly. Upon receiving written approval from the FDA, EMA, or similar regulatory authority of the Investigational New Drug (“IND”) and commencement and the commencement of a clinical trial in the applicable jurisdiction for ZB-106, Stone Peach will also receive a one-time payment of $4.5 million. Stone Peach will also receive a one-time milestone payment of $25 million upon either (i) certain equity-related transactions, or (ii) the receipt of regulatory approval from the applicable regulatory authority for any new indication in the applicable jurisdiction. Furthermore, Stone Peach was granted a royalty of 2% of the aggregate net sales of any products developed from the Compound. As of June 30, 2024, none of the contingent payments were due.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2022 Lilly License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 xml:space="preserve">On December 8, 2022, the Company’s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 </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As a finder’s fee in connection with arranging the acquisition, Z33 issued to Stone Peach Properties, LLC (“Stone Peach”) 4,900,222 shares of Z33 Series Seed Preferred Shares, which was included in the measurement of the cost of the acquired asset. As of June 30, 2024, we have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Stone Peach also has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The Z33 Series Seed Preferred Shares represent redeemable noncontrolling interest in our subsidiary, Z33.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Company is obligated to pay $3.0 million to Lilly under the 2022 Lilly License upon the completion of a financing by the Company with gross proceeds exceeding $100 million, in cash or in services, paid to Z33. If the $3.0 million milestone payment is not made by December 7, 2025, Lilly may terminate the 2022 Lilly License and reclaim the asset. The Company is further obligated to make 10 commercial, development and regulatory milestone payments up to an aggregate of $155.0 million and sales milestone payments up to an aggregate of $440.0 million based on respective thresholds of net sales of products developed from the licensed compound. The Company will also pay an annual earned royalty to Lilly at a marginal royalty rate between in the mid-single to low-double digits (less than 20%), with increasing rates based on net sales in the respective calendar year, based on a percentage of sales within varying thresholds for a certain period of the year. The Company will account for these contingent payments when they become due. As of June 30, 2024, none of the contingent payments were due.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Pfizer Agreement</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On March 22, 2022, the Company entered into a license agreement and a Series A-1 Subscription and Shareholder’s Agreement (collectively, the “Pfizer Agreement”) with Pfizer. The Company is obligated to make 11 future development and regulatory milestone payments aggregating up to $70.0 million and sales milestone payments up to an aggregate of $525.0 million based on respective thresholds of net sales of products (developed from the licensed compound) (the “Products”). The Company will also pay an annual earned royalty at a marginal royalty rate in the mid-single digits to low double digits (less than 20%), based on thresholds of net sales of Products. Royalties are payable on a country-by-country basis for a certain period of years or upon the later expiration of regulatory exclusivity of the Company’s Products in a country.</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Company is also subject to a potential multi-million dollar transaction payment if, within a certain period the Company has (a) certain changes in control, excluding an initial public offering or any business combination where the securities of the Company are listed on a stock exchange (e.g., a transaction with a special purpose acquisition company), or (b) the Company sublicenses or divests of its rights to the Products.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Company does not owe any other amounts under the Pfizer Agreement as of June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Chief Executive Officer Transition</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On March 24, 2024, the Board of Directors approved a CEO transition from Someit Sidhu, our Founder, Chief Executive Officer and Director, to Robert Lisicki, effective April 8, 2024. Dr. Sidhu remains on the Board as a Director and Mr. Lisicki joined the Board as a Director.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 Exchange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12, 2024, the Company commenced an exchange offer (the “Exchange Offer”) and consent solicitation (the “Consent Solicitation”) relating to its outstanding (i) public warrants that were issued in connection with its initial public offering to purchase Class A ordinary shares of the Company, par value $0.0001 per share, and (ii) private placement warrants that were issued in connection with its initial public offering to purchase Class A ordinary shares (together with the public warrants, the “IPO warrants”). The Company offered to all holders of the IPO warrants the opportunity to receive 0.30 Class A ordinary shares in exchange for each outstanding IPO warrant tendered by the holder and exchanged pursuant to the Exchange Offer. Concurrently with the Exchange Offer, the Company also solicited consents from holders of the IPO warrants to amend that certain warrant agreement, dated as of July 16, 2021, by and between the Company and Continental Stock Transfer &amp; Trust Company (“CST”), as warrant agent (the “Warrant Agreement”) to permit the Company to require that each IPO warrant outstanding upon the closing of the Exchange Offer be exchanged for 0.27 Class A ordinary shares, which is a ratio 10% less than the exchange ratio applicable to the Exchange Offer. Pursuant to the terms of the Warrant Agreement, all except certain specified modifications or amendments require the vote or written consent of holders of at least a majority of the outstanding public warrants and a majority of the outstanding private placement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Exchange Offer and Consent Solicitation expired at 11:59 p.m., Eastern Time on August 8, 2024. A total of 6,703,428 public warrants, or approximately 97.2% of the outstanding public warrants, and a total of 4,080,580 private placement warrants, or approximately 69.0% of the outstanding private placement warrants, were validly tendered and not validly withdrawn in the Exchange Offer and Consent Solicitation.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12, 2024, the Company completed the Exchange Offer and Consent Solicitation and issued 3,235,184 Class A ordinary shares in exchange for 10,784,008 IPO warrants. In connection with its completion of the Exchange Offer, the Company entered into an amendment, dated August 12, 2024 (the “Warrant Amendment”), to the Warrant Agreement to provide the Company with the right to mandatorily exchange the Company’s remaining outstanding IPO warrants for Class A ordinary shares at an exchange ratio of 0.27 Class A ordinary shares for each IPO warrant. The Company has exercised its right to exchange all remaining untendered IPO warrants in accordance with the terms of the Warrant Amendment (the “Post-Offer Exchange”). The Company has fixed the date for such exchange as August 27,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Impact of Global Economic Trends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Macroeconomic conditions, including uncertainties associated with the Israel-Hamas war, the ongoing conflict between Ukraine and Russia, 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(“R&amp;D”) expenses consist of all direct and indirect operating expenses supporting the processes in development, including consulting fees for medical and manufacturing advisory services, costs related to manufacturing material for clinical studies, payroll and benefits, which includes share-based compensation, for research and development employees, licensing fees, and study acquisition costs. Expenses are recognized as the related goods are delivered or the services are performed.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R&amp;D expenses include the cost of in-process research and development (“IPR&amp;D”) assets purchased in an asset acquisition transaction. IPR&amp;D assets are expensed unless the assets acquired are deemed to have an alternative future use,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are immediately expensed in the period in which they are incurred and include upfront payments, as well as transaction fees and subsequent pre-commercial milestone payments. Research and development costs incurred after the acquisition are expensed as incurred. R&amp;D expenses also include the remeasurement of the research and development license consideration liability. The research and development license consideration liability represented an obligation to issue either preferred shares of the Company’s subsidiary or Class A Ordinary Shares to Lilly as consideration for the 2022 Lilly License, which was ultimately settled through the issuance of Class A Ordinary Shares upon the closing of the Business Combination.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could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bonuses, benefits, share-based compensation and other related costs for those employees involved in research and development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incurred under agreements with clinical research organizations, investigative sites and consultants to conduct our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manufacturing material for preclinical studies and clinical trials, including fees paid to contract manufacturing organizations;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payments under the Company’s licensing agreements;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supplies and research materials;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regulatory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allocated expenses, which include direct and allocated expenses for rent, maintenance of facilities, insurance and equipment.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studies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to conduct preclinical studies required to advance our product candidates into clinical trials;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patient clinical trial costs, including based on the number of doses that patients receive;</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who enroll in each clinical trial;</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trials required for approval;</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clinical trials;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countries in which the clinical trials are conducted;</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additional safety monitoring requested by regulatory agencies;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participation in clinical trials and follow-up;</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of development of the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party contractors failing to comply with regulatory requirements or meet their contractual obligations in a timely manner, or at all;</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insurance, including product liability insurance, in connection with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(“G&amp;A”) expenses primarily consist of professional fees for legal, accounting, and consulting costs relating to corporate matters, as well as salaries and related costs for personnel in executive and administrative functions, including share-based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June 30, 2024 and 2023</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results of operations for the periods presented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34"/>
        <w:gridCol w:w="326"/>
        <w:gridCol w:w="211"/>
        <w:gridCol w:w="785"/>
        <w:gridCol w:w="326"/>
        <w:gridCol w:w="211"/>
        <w:gridCol w:w="785"/>
        <w:gridCol w:w="326"/>
        <w:gridCol w:w="211"/>
        <w:gridCol w:w="785"/>
        <w:gridCol w:w="326"/>
        <w:gridCol w:w="661"/>
        <w:gridCol w:w="318"/>
      </w:tblGrid>
      <w:tr>
        <w:trPr/>
        <w:tc>
          <w:tcPr>
            <w:tcW w:w="4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133090" cy="175260"/>
                      <wp:effectExtent l="0" t="0" r="0" b="0"/>
                      <wp:wrapNone/>
                      <wp:docPr id="184" name="Frame184"/>
                      <a:graphic xmlns:a="http://schemas.openxmlformats.org/drawingml/2006/main">
                        <a:graphicData uri="http://schemas.microsoft.com/office/word/2010/wordprocessingShape">
                          <wps:wsp>
                            <wps:cNvSpPr txBox="1"/>
                            <wps:spPr>
                              <a:xfrm>
                                <a:off x="0" y="0"/>
                                <a:ext cx="313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98475" cy="175260"/>
                      <wp:effectExtent l="0" t="0" r="0" b="0"/>
                      <wp:wrapNone/>
                      <wp:docPr id="187" name="Frame187"/>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98475" cy="175260"/>
                      <wp:effectExtent l="0" t="0" r="0" b="0"/>
                      <wp:wrapNone/>
                      <wp:docPr id="190" name="Frame190"/>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98475" cy="175260"/>
                      <wp:effectExtent l="0" t="0" r="0" b="0"/>
                      <wp:wrapNone/>
                      <wp:docPr id="193" name="Frame19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19735" cy="175260"/>
                      <wp:effectExtent l="0" t="0" r="0" b="0"/>
                      <wp:wrapNone/>
                      <wp:docPr id="195" name="Frame19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1930" cy="175260"/>
                      <wp:effectExtent l="0" t="0" r="0" b="0"/>
                      <wp:wrapNone/>
                      <wp:docPr id="196" name="Frame19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left"/>
              <w:rPr/>
            </w:pPr>
            <w:r>
              <w:rPr/>
              <w:t>​</w:t>
            </w:r>
          </w:p>
        </w:tc>
      </w:tr>
      <w:tr>
        <w:trPr/>
        <w:tc>
          <w:tcPr>
            <w:tcW w:w="49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    </w:t>
            </w:r>
          </w:p>
        </w:tc>
        <w:tc>
          <w:tcPr>
            <w:tcW w:w="9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8" w:type="dxa"/>
            <w:tcBorders/>
            <w:vAlign w:val="center"/>
          </w:tcPr>
          <w:p>
            <w:pPr>
              <w:pStyle w:val="TableContents"/>
              <w:bidi w:val="0"/>
              <w:spacing w:before="0" w:after="1"/>
              <w:ind w:left="0" w:right="0" w:hanging="0"/>
              <w:jc w:val="left"/>
              <w:rPr/>
            </w:pPr>
            <w:r>
              <w:rPr/>
              <w:t>​</w:t>
            </w:r>
          </w:p>
        </w:tc>
      </w:tr>
      <w:tr>
        <w:trPr/>
        <w:tc>
          <w:tcPr>
            <w:tcW w:w="49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8" w:type="dxa"/>
            <w:tcBorders/>
            <w:vAlign w:val="center"/>
          </w:tcPr>
          <w:p>
            <w:pPr>
              <w:pStyle w:val="TableContents"/>
              <w:bidi w:val="0"/>
              <w:spacing w:before="0" w:after="1"/>
              <w:ind w:left="0" w:right="0" w:hanging="0"/>
              <w:jc w:val="left"/>
              <w:rPr/>
            </w:pPr>
            <w:r>
              <w:rPr/>
              <w:t> </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661" w:type="dxa"/>
            <w:tcBorders/>
            <w:shd w:fill="CCEEFF" w:val="clear"/>
            <w:vAlign w:val="center"/>
          </w:tcPr>
          <w:p>
            <w:pPr>
              <w:pStyle w:val="TableContents"/>
              <w:bidi w:val="0"/>
              <w:spacing w:before="0" w:after="1"/>
              <w:ind w:left="0" w:right="0" w:hanging="0"/>
              <w:jc w:val="center"/>
              <w:rPr/>
            </w:pPr>
            <w:r>
              <w:rPr/>
              <w:t>​</w:t>
            </w:r>
          </w:p>
        </w:tc>
        <w:tc>
          <w:tcPr>
            <w:tcW w:w="318" w:type="dxa"/>
            <w:tcBorders/>
            <w:shd w:fill="CCEEFF" w:val="clear"/>
            <w:vAlign w:val="center"/>
          </w:tcPr>
          <w:p>
            <w:pPr>
              <w:pStyle w:val="TableContents"/>
              <w:bidi w:val="0"/>
              <w:spacing w:before="0" w:after="1"/>
              <w:ind w:left="0" w:right="0" w:hanging="0"/>
              <w:jc w:val="left"/>
              <w:rPr/>
            </w:pPr>
            <w:r>
              <w:rPr/>
              <w:t> </w:t>
            </w:r>
          </w:p>
        </w:tc>
      </w:tr>
      <w:tr>
        <w:trPr/>
        <w:tc>
          <w:tcPr>
            <w:tcW w:w="493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5,539</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28,230</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(22,691)</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6,220</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5,675</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w:t>
            </w:r>
          </w:p>
        </w:tc>
        <w:tc>
          <w:tcPr>
            <w:tcW w:w="326" w:type="dxa"/>
            <w:tcBorders/>
            <w:shd w:fill="CCEEFF" w:val="clear"/>
            <w:vAlign w:val="center"/>
          </w:tcPr>
          <w:p>
            <w:pPr>
              <w:pStyle w:val="TableContents"/>
              <w:bidi w:val="0"/>
              <w:spacing w:before="0" w:after="1"/>
              <w:ind w:left="0" w:right="0" w:hanging="0"/>
              <w:jc w:val="center"/>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11,759</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33,905</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(22,146)</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(11,759)</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(33,905)</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22,146</w:t>
            </w:r>
          </w:p>
        </w:tc>
        <w:tc>
          <w:tcPr>
            <w:tcW w:w="326" w:type="dxa"/>
            <w:tcBorders/>
            <w:shd w:fill="CCEEFF" w:val="clear"/>
            <w:vAlign w:val="center"/>
          </w:tcPr>
          <w:p>
            <w:pPr>
              <w:pStyle w:val="TableContents"/>
              <w:bidi w:val="0"/>
              <w:spacing w:before="0" w:after="1"/>
              <w:ind w:left="0" w:right="0" w:hanging="0"/>
              <w:jc w:val="center"/>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(income)/expense, net: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7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(income)/expense, net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493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23,696</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redeemable noncontrolling interest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23,696</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redeemable noncontrolling 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23,696</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 to redemption value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Deemed dividend to redeemable noncontrolling interest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3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 of Zura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21,359</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*Percentage change not meaningful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 (in thousands):</w:t>
      </w:r>
    </w:p>
    <w:tbl>
      <w:tblPr>
        <w:tblW w:w="7462" w:type="dxa"/>
        <w:jc w:val="left"/>
        <w:tblInd w:w="0" w:type="dxa"/>
        <w:tblLayout w:type="fixed"/>
        <w:tblCellMar>
          <w:top w:w="0" w:type="dxa"/>
          <w:left w:w="0" w:type="dxa"/>
          <w:bottom w:w="0" w:type="dxa"/>
          <w:right w:w="0" w:type="dxa"/>
        </w:tblCellMar>
      </w:tblPr>
      <w:tblGrid>
        <w:gridCol w:w="2311"/>
        <w:gridCol w:w="326"/>
        <w:gridCol w:w="231"/>
        <w:gridCol w:w="627"/>
        <w:gridCol w:w="358"/>
        <w:gridCol w:w="231"/>
        <w:gridCol w:w="742"/>
        <w:gridCol w:w="326"/>
        <w:gridCol w:w="211"/>
        <w:gridCol w:w="796"/>
        <w:gridCol w:w="326"/>
        <w:gridCol w:w="66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67485" cy="175260"/>
                      <wp:effectExtent l="0" t="0" r="0" b="0"/>
                      <wp:wrapNone/>
                      <wp:docPr id="197" name="Frame19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46685" cy="175260"/>
                      <wp:effectExtent l="0" t="0" r="0" b="0"/>
                      <wp:wrapNone/>
                      <wp:docPr id="199" name="Frame19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98145" cy="175260"/>
                      <wp:effectExtent l="0" t="0" r="0" b="0"/>
                      <wp:wrapNone/>
                      <wp:docPr id="200" name="Frame20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27330" cy="175260"/>
                      <wp:effectExtent l="0" t="0" r="0" b="0"/>
                      <wp:wrapNone/>
                      <wp:docPr id="201" name="Frame201"/>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46685" cy="175260"/>
                      <wp:effectExtent l="0" t="0" r="0" b="0"/>
                      <wp:wrapNone/>
                      <wp:docPr id="202" name="Frame20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71170" cy="175260"/>
                      <wp:effectExtent l="0" t="0" r="0" b="0"/>
                      <wp:wrapNone/>
                      <wp:docPr id="203" name="Frame203"/>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05460" cy="175260"/>
                      <wp:effectExtent l="0" t="0" r="0" b="0"/>
                      <wp:wrapNone/>
                      <wp:docPr id="206" name="Frame2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19735" cy="175260"/>
                      <wp:effectExtent l="0" t="0" r="0" b="0"/>
                      <wp:wrapNone/>
                      <wp:docPr id="208" name="Frame20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0660" cy="175260"/>
                      <wp:effectExtent l="0" t="0" r="0" b="0"/>
                      <wp:wrapNone/>
                      <wp:docPr id="209" name="Frame20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8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8" w:type="dxa"/>
            <w:tcBorders/>
            <w:vAlign w:val="center"/>
          </w:tcPr>
          <w:p>
            <w:pPr>
              <w:pStyle w:val="TableContents"/>
              <w:bidi w:val="0"/>
              <w:spacing w:before="0" w:after="1"/>
              <w:ind w:left="0" w:right="0" w:hanging="0"/>
              <w:jc w:val="center"/>
              <w:rPr/>
            </w:pPr>
            <w:r>
              <w:rPr/>
              <w:t>    </w:t>
            </w:r>
          </w:p>
        </w:tc>
        <w:tc>
          <w:tcPr>
            <w:tcW w:w="9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5,539</w:t>
            </w:r>
          </w:p>
        </w:tc>
        <w:tc>
          <w:tcPr>
            <w:tcW w:w="358"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(22,691)</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decreased by $22.7 million for the three months ended June 30, 2024 compared to the three months ended June 30, 2023. This was primarily due to $27.2 million related to the acquisition of an IPR&amp;D license from Lilly during the three months ended June 30, 2023. This decrease was partially offset by an increase of $1.5 million in expenses related to compensation for personnel in research and development functions including share-based compensation and an increase of $2.3 million of costs incurred for consulting services and manufacturing of our product candidates, in addition to an increase of $0.7 million for an annual milestone payment related to the 2023 Lilly License incurred during the three months ended June 30, 2024.</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 (in thousands):</w:t>
      </w:r>
    </w:p>
    <w:tbl>
      <w:tblPr>
        <w:tblW w:w="7114" w:type="dxa"/>
        <w:jc w:val="left"/>
        <w:tblInd w:w="0" w:type="dxa"/>
        <w:tblLayout w:type="fixed"/>
        <w:tblCellMar>
          <w:top w:w="0" w:type="dxa"/>
          <w:left w:w="0" w:type="dxa"/>
          <w:bottom w:w="0" w:type="dxa"/>
          <w:right w:w="0" w:type="dxa"/>
        </w:tblCellMar>
      </w:tblPr>
      <w:tblGrid>
        <w:gridCol w:w="2311"/>
        <w:gridCol w:w="326"/>
        <w:gridCol w:w="244"/>
        <w:gridCol w:w="661"/>
        <w:gridCol w:w="377"/>
        <w:gridCol w:w="244"/>
        <w:gridCol w:w="661"/>
        <w:gridCol w:w="326"/>
        <w:gridCol w:w="220"/>
        <w:gridCol w:w="441"/>
        <w:gridCol w:w="326"/>
        <w:gridCol w:w="66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67485" cy="175260"/>
                      <wp:effectExtent l="0" t="0" r="0" b="0"/>
                      <wp:wrapNone/>
                      <wp:docPr id="210" name="Frame21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54940" cy="175260"/>
                      <wp:effectExtent l="0" t="0" r="0" b="0"/>
                      <wp:wrapNone/>
                      <wp:docPr id="212" name="Frame212"/>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19735" cy="175260"/>
                      <wp:effectExtent l="0" t="0" r="0" b="0"/>
                      <wp:wrapNone/>
                      <wp:docPr id="213" name="Frame21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39395" cy="175260"/>
                      <wp:effectExtent l="0" t="0" r="0" b="0"/>
                      <wp:wrapNone/>
                      <wp:docPr id="214" name="Frame214"/>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4940" cy="175260"/>
                      <wp:effectExtent l="0" t="0" r="0" b="0"/>
                      <wp:wrapNone/>
                      <wp:docPr id="215" name="Frame215"/>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19735" cy="175260"/>
                      <wp:effectExtent l="0" t="0" r="0" b="0"/>
                      <wp:wrapNone/>
                      <wp:docPr id="216" name="Frame21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9700" cy="175260"/>
                      <wp:effectExtent l="0" t="0" r="0" b="0"/>
                      <wp:wrapNone/>
                      <wp:docPr id="218" name="Frame21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80035" cy="175260"/>
                      <wp:effectExtent l="0" t="0" r="0" b="0"/>
                      <wp:wrapNone/>
                      <wp:docPr id="219" name="Frame219"/>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19735" cy="175260"/>
                      <wp:effectExtent l="0" t="0" r="0" b="0"/>
                      <wp:wrapNone/>
                      <wp:docPr id="221" name="Frame22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0660" cy="175260"/>
                      <wp:effectExtent l="0" t="0" r="0" b="0"/>
                      <wp:wrapNone/>
                      <wp:docPr id="222" name="Frame2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8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center"/>
              <w:rPr/>
            </w:pPr>
            <w:r>
              <w:rPr/>
              <w:t>​</w:t>
            </w:r>
          </w:p>
        </w:tc>
        <w:tc>
          <w:tcPr>
            <w:tcW w:w="66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    </w:t>
            </w:r>
          </w:p>
        </w:tc>
        <w:tc>
          <w:tcPr>
            <w:tcW w:w="6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7" w:type="dxa"/>
            <w:tcBorders/>
            <w:vAlign w:val="center"/>
          </w:tcPr>
          <w:p>
            <w:pPr>
              <w:pStyle w:val="TableContents"/>
              <w:bidi w:val="0"/>
              <w:spacing w:before="0" w:after="1"/>
              <w:ind w:left="0" w:right="0" w:hanging="0"/>
              <w:jc w:val="center"/>
              <w:rPr/>
            </w:pPr>
            <w:r>
              <w:rPr/>
              <w:t>    </w:t>
            </w:r>
          </w:p>
        </w:tc>
        <w:tc>
          <w:tcPr>
            <w:tcW w:w="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6,220</w:t>
            </w:r>
          </w:p>
        </w:tc>
        <w:tc>
          <w:tcPr>
            <w:tcW w:w="377"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5,675</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w:t>
            </w:r>
          </w:p>
        </w:tc>
        <w:tc>
          <w:tcPr>
            <w:tcW w:w="32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by $0.5 million for the three months ended June 30, 2024 compared to the three months ended June 30, 2023. The increase was primarily due to increases of $0.4 million in expenses related compensation for personnel in executive and administrative functions including share-based compensation, as well as an increase of $0.1 million in professional fees for legal and accounting costs incurred related to our ongoing operations as a public company, as well as travel and office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Expense/(Income),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income increased by a nominal amount for the three months ended June 30, 2024 compared to the three months ended June 30, 2023. This increase was primarily due to a foreign exchange transaction gain for the three months ended June 30, 2024.</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increased by $2.2 million for the three months ended June 30, 2024 as compared to the three months ended June 30, 2023. This is due to an increase in our cash and cash equivalents balance during the three months ended June 30, 2024 as compared to the three months ended June 30, 2023, primarily due to the proceeds generated from the April 2024 Private Placement.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Dividend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Dividend income decreased by $0.4 million for the three months ended June 30, 2024 as compared to the three months ended June 30, 2023. We held no dividend-generating cash equivalents during the three months ended June 30, 2024.</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 in fair value of private placement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Revaluation loss on the liability-classified private placement warrants assumed in the Business Combination was $0.8 million for the three months ended June 30, 2024 as compared to $0.5 million for the three months ended June 30,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Accretion of redeemable noncontrolling interest to redemption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Accretion of redeemable noncontrolling interest to redemption value increased by $2.3 million for the three months ended June 30, 2024 as compared to the three months ended June 30, 2023. This increase is due to modifications of the terms of the Z33 Series Seed Preferred Shares issued to Stone Peach and the resulting remeasurements to redemption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Deemed Dividend to Redeemable Noncontrolling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Deemed dividend to the redeemable noncontrolling interest was $10.9 million for the three months ended June 30, 2023, due to the modification of the terms of the Z33 Series Seed Preferred Shares issued to Stone Peach. The Z33 Series Seed Preferred Shares were not modified during the three months ended June 30,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Six Months Ended June 30, 2024 and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 our results of operations for the periods presented (in thousands):</w:t>
      </w:r>
    </w:p>
    <w:tbl>
      <w:tblPr>
        <w:tblW w:w="10205" w:type="dxa"/>
        <w:jc w:val="left"/>
        <w:tblInd w:w="0" w:type="dxa"/>
        <w:tblLayout w:type="fixed"/>
        <w:tblCellMar>
          <w:top w:w="0" w:type="dxa"/>
          <w:left w:w="0" w:type="dxa"/>
          <w:bottom w:w="0" w:type="dxa"/>
          <w:right w:w="0" w:type="dxa"/>
        </w:tblCellMar>
      </w:tblPr>
      <w:tblGrid>
        <w:gridCol w:w="5154"/>
        <w:gridCol w:w="326"/>
        <w:gridCol w:w="211"/>
        <w:gridCol w:w="784"/>
        <w:gridCol w:w="326"/>
        <w:gridCol w:w="211"/>
        <w:gridCol w:w="784"/>
        <w:gridCol w:w="326"/>
        <w:gridCol w:w="211"/>
        <w:gridCol w:w="784"/>
        <w:gridCol w:w="109"/>
        <w:gridCol w:w="661"/>
        <w:gridCol w:w="318"/>
      </w:tblGrid>
      <w:tr>
        <w:trPr/>
        <w:tc>
          <w:tcPr>
            <w:tcW w:w="5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272790" cy="175260"/>
                      <wp:effectExtent l="0" t="0" r="0" b="0"/>
                      <wp:wrapNone/>
                      <wp:docPr id="223" name="Frame223"/>
                      <a:graphic xmlns:a="http://schemas.openxmlformats.org/drawingml/2006/main">
                        <a:graphicData uri="http://schemas.microsoft.com/office/word/2010/wordprocessingShape">
                          <wps:wsp>
                            <wps:cNvSpPr txBox="1"/>
                            <wps:spPr>
                              <a:xfrm>
                                <a:off x="0" y="0"/>
                                <a:ext cx="3272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97840" cy="175260"/>
                      <wp:effectExtent l="0" t="0" r="0" b="0"/>
                      <wp:wrapNone/>
                      <wp:docPr id="226" name="Frame226"/>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97840" cy="175260"/>
                      <wp:effectExtent l="0" t="0" r="0" b="0"/>
                      <wp:wrapNone/>
                      <wp:docPr id="229" name="Frame229"/>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97840" cy="175260"/>
                      <wp:effectExtent l="0" t="0" r="0" b="0"/>
                      <wp:wrapNone/>
                      <wp:docPr id="232" name="Frame232"/>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19735" cy="175260"/>
                      <wp:effectExtent l="0" t="0" r="0" b="0"/>
                      <wp:wrapNone/>
                      <wp:docPr id="234" name="Frame23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1930" cy="175260"/>
                      <wp:effectExtent l="0" t="0" r="0" b="0"/>
                      <wp:wrapNone/>
                      <wp:docPr id="235" name="Frame235"/>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1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4"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    </w:t>
            </w:r>
          </w:p>
        </w:tc>
        <w:tc>
          <w:tcPr>
            <w:tcW w:w="318" w:type="dxa"/>
            <w:tcBorders/>
            <w:vAlign w:val="center"/>
          </w:tcPr>
          <w:p>
            <w:pPr>
              <w:pStyle w:val="TableContents"/>
              <w:bidi w:val="0"/>
              <w:spacing w:before="0" w:after="1"/>
              <w:ind w:left="0" w:right="0" w:hanging="0"/>
              <w:jc w:val="left"/>
              <w:rPr/>
            </w:pPr>
            <w:r>
              <w:rPr/>
              <w:t>​</w:t>
            </w:r>
          </w:p>
        </w:tc>
      </w:tr>
      <w:tr>
        <w:trPr/>
        <w:tc>
          <w:tcPr>
            <w:tcW w:w="51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left"/>
              <w:rPr/>
            </w:pPr>
            <w:r>
              <w:rPr/>
              <w:t>​</w:t>
            </w:r>
          </w:p>
        </w:tc>
      </w:tr>
      <w:tr>
        <w:trPr/>
        <w:tc>
          <w:tcPr>
            <w:tcW w:w="51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8" w:type="dxa"/>
            <w:tcBorders/>
            <w:vAlign w:val="center"/>
          </w:tcPr>
          <w:p>
            <w:pPr>
              <w:pStyle w:val="TableContents"/>
              <w:bidi w:val="0"/>
              <w:spacing w:before="0" w:after="1"/>
              <w:ind w:left="0" w:right="0" w:hanging="0"/>
              <w:jc w:val="left"/>
              <w:rPr/>
            </w:pPr>
            <w:r>
              <w:rPr/>
              <w:t>​</w:t>
            </w:r>
          </w:p>
        </w:tc>
      </w:tr>
      <w:tr>
        <w:trPr/>
        <w:tc>
          <w:tcPr>
            <w:tcW w:w="51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8" w:type="dxa"/>
            <w:tcBorders/>
            <w:vAlign w:val="center"/>
          </w:tcPr>
          <w:p>
            <w:pPr>
              <w:pStyle w:val="TableContents"/>
              <w:bidi w:val="0"/>
              <w:spacing w:before="0" w:after="1"/>
              <w:ind w:left="0" w:right="0" w:hanging="0"/>
              <w:jc w:val="left"/>
              <w:rPr/>
            </w:pPr>
            <w:r>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  </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(23,982)</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2,496</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(21,486)</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21,486</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  </w:t>
            </w:r>
          </w:p>
        </w:tc>
        <w:tc>
          <w:tcPr>
            <w:tcW w:w="318" w:type="dxa"/>
            <w:tcBorders/>
            <w:vAlign w:val="center"/>
          </w:tcPr>
          <w:p>
            <w:pPr>
              <w:pStyle w:val="TableContents"/>
              <w:bidi w:val="0"/>
              <w:spacing w:before="0" w:after="1"/>
              <w:ind w:left="0" w:right="0" w:hanging="0"/>
              <w:jc w:val="left"/>
              <w:rPr/>
            </w:pPr>
            <w:r>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(3,410)</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private placement warrants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25,744</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25,744</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25,541</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redeemable noncontrolling interest to redemption value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(2,134)</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Deemed dividend to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 of redeemable noncontrolling interest from redemption value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7,017</w:t>
            </w:r>
          </w:p>
        </w:tc>
        <w:tc>
          <w:tcPr>
            <w:tcW w:w="109"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 of Zura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41,299</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*Percentage change not meaningful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 (in thousands):</w:t>
      </w:r>
    </w:p>
    <w:tbl>
      <w:tblPr>
        <w:tblW w:w="7268" w:type="dxa"/>
        <w:jc w:val="left"/>
        <w:tblInd w:w="0" w:type="dxa"/>
        <w:tblLayout w:type="fixed"/>
        <w:tblCellMar>
          <w:top w:w="0" w:type="dxa"/>
          <w:left w:w="0" w:type="dxa"/>
          <w:bottom w:w="0" w:type="dxa"/>
          <w:right w:w="0" w:type="dxa"/>
        </w:tblCellMar>
      </w:tblPr>
      <w:tblGrid>
        <w:gridCol w:w="2311"/>
        <w:gridCol w:w="326"/>
        <w:gridCol w:w="211"/>
        <w:gridCol w:w="571"/>
        <w:gridCol w:w="326"/>
        <w:gridCol w:w="211"/>
        <w:gridCol w:w="676"/>
        <w:gridCol w:w="326"/>
        <w:gridCol w:w="211"/>
        <w:gridCol w:w="796"/>
        <w:gridCol w:w="326"/>
        <w:gridCol w:w="66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67485" cy="175260"/>
                      <wp:effectExtent l="0" t="0" r="0" b="0"/>
                      <wp:wrapNone/>
                      <wp:docPr id="236" name="Frame23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62585" cy="175260"/>
                      <wp:effectExtent l="0" t="0" r="0" b="0"/>
                      <wp:wrapNone/>
                      <wp:docPr id="239" name="Frame2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29260" cy="175260"/>
                      <wp:effectExtent l="0" t="0" r="0" b="0"/>
                      <wp:wrapNone/>
                      <wp:docPr id="242" name="Frame2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05460" cy="175260"/>
                      <wp:effectExtent l="0" t="0" r="0" b="0"/>
                      <wp:wrapNone/>
                      <wp:docPr id="245" name="Frame2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19735" cy="175260"/>
                      <wp:effectExtent l="0" t="0" r="0" b="0"/>
                      <wp:wrapNone/>
                      <wp:docPr id="247" name="Frame24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0660" cy="175260"/>
                      <wp:effectExtent l="0" t="0" r="0" b="0"/>
                      <wp:wrapNone/>
                      <wp:docPr id="248" name="Frame2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6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(23,982)</w:t>
            </w:r>
          </w:p>
        </w:tc>
        <w:tc>
          <w:tcPr>
            <w:tcW w:w="32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decreased by $24.0 million for the six months ended June 30, 2024 compared to the six months ended June 30, 2023. This was primarily due to $27.2 million related to the acquisition of an IPR&amp;D license from Lilly during the six months ended June 30, 2023 and a decrease of $1.9 million related to the change in fair value of our research and development license consideration liability during the three months ended June 30, 2023. This decrease was partially offset by an increase of $0.7 million in expenses related to compensation for personnel in research and development functions including share-based compensation and an increase of $3.7 million of costs incurred for consulting services and manufacturing of our product candidates, in addition to an increase of $0.7 million for an annual milestone payment related to the 2023 Lilly License incurred during the six 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 (in thousands):</w:t>
      </w:r>
    </w:p>
    <w:tbl>
      <w:tblPr>
        <w:tblW w:w="7644" w:type="dxa"/>
        <w:jc w:val="left"/>
        <w:tblInd w:w="0" w:type="dxa"/>
        <w:tblLayout w:type="fixed"/>
        <w:tblCellMar>
          <w:top w:w="0" w:type="dxa"/>
          <w:left w:w="0" w:type="dxa"/>
          <w:bottom w:w="0" w:type="dxa"/>
          <w:right w:w="0" w:type="dxa"/>
        </w:tblCellMar>
      </w:tblPr>
      <w:tblGrid>
        <w:gridCol w:w="2311"/>
        <w:gridCol w:w="326"/>
        <w:gridCol w:w="270"/>
        <w:gridCol w:w="871"/>
        <w:gridCol w:w="326"/>
        <w:gridCol w:w="307"/>
        <w:gridCol w:w="834"/>
        <w:gridCol w:w="326"/>
        <w:gridCol w:w="326"/>
        <w:gridCol w:w="661"/>
        <w:gridCol w:w="109"/>
        <w:gridCol w:w="66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67485" cy="175260"/>
                      <wp:effectExtent l="0" t="0" r="0" b="0"/>
                      <wp:wrapNone/>
                      <wp:docPr id="249" name="Frame24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71450" cy="175260"/>
                      <wp:effectExtent l="0" t="0" r="0" b="0"/>
                      <wp:wrapNone/>
                      <wp:docPr id="251" name="Frame25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53085" cy="175260"/>
                      <wp:effectExtent l="0" t="0" r="0" b="0"/>
                      <wp:wrapNone/>
                      <wp:docPr id="252" name="Frame25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94945" cy="175260"/>
                      <wp:effectExtent l="0" t="0" r="0" b="0"/>
                      <wp:wrapNone/>
                      <wp:docPr id="254" name="Frame25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29590" cy="175260"/>
                      <wp:effectExtent l="0" t="0" r="0" b="0"/>
                      <wp:wrapNone/>
                      <wp:docPr id="255" name="Frame25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19735" cy="175260"/>
                      <wp:effectExtent l="0" t="0" r="0" b="0"/>
                      <wp:wrapNone/>
                      <wp:docPr id="258" name="Frame25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19735" cy="175260"/>
                      <wp:effectExtent l="0" t="0" r="0" b="0"/>
                      <wp:wrapNone/>
                      <wp:docPr id="260" name="Frame26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0660" cy="175260"/>
                      <wp:effectExtent l="0" t="0" r="0" b="0"/>
                      <wp:wrapNone/>
                      <wp:docPr id="261" name="Frame2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26" w:type="dxa"/>
            <w:tcBorders/>
            <w:vAlign w:val="center"/>
          </w:tcPr>
          <w:p>
            <w:pPr>
              <w:pStyle w:val="TableContents"/>
              <w:bidi w:val="0"/>
              <w:spacing w:before="0" w:after="1"/>
              <w:ind w:left="0" w:right="0" w:hanging="0"/>
              <w:jc w:val="center"/>
              <w:rPr/>
            </w:pPr>
            <w:r>
              <w:rPr/>
              <w:t>    </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11,006</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2,496</w:t>
            </w:r>
          </w:p>
        </w:tc>
        <w:tc>
          <w:tcPr>
            <w:tcW w:w="109"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by $2.5 million for the six months ended June 30, 2024 as compared to the six months ended June 30, 2023. The increase was primarily due to increases of $2.0 million in expenses related compensation for personnel in executive and administrative functions including share-based compensation, as well as an increase of $0.3 million in professional fees for legal and accounting costs incurred related to our ongoing operations as a public company and an increase of $0.2 million of travel and office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(income)/expense changed by a nominal amount for the six months ended June 30, 2024 compared to the six months ended June 30, 2023. This change was primarily due to a foreign exchange transaction gain for the six months ended June 30, 2024 as compared to a foreign exchange transaction loss for the six months ended June 30, 2023.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increased by $3.4 million for the six months ended June 30, 2024 as compared to the six months ended June 30, 2023. This is due to an increase in our cash and cash equivalents balance during the six months ended June 30, 2024 as compared to the six months ended June 30, 2023.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Dividend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Dividend income decreased by $0.4 million for the six months ended June 30, 2024 as compared to the six months ended June 30, 2023. We held no dividend-generating cash equivalents during the six months ended June 30, 2024.</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 in fair value of private placement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Revaluation loss on the liability-classified private placement warrants assumed in the Business Combination was $1.4 million during the six months ended June 30, 2024 compared to a revaluation loss of $0.4 million for the six months ended June 30, 2023.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 in fair value of note payable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Revaluation loss on the note payable was $2.2 million for the six months ended June 30, 2023, as the note was remeasured to its settlement value and settled at the closing of the Business Combination.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 attributable to redeemable noncontrolling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loss attributable to redeemable noncontrolling interest was $0.2 million for the six months ended June 30, 2023, representing the noncontrolling shareholder’s interest in the net loss of our consolidated subsidiary, Z33. Z33 had an immaterial amount of net loss for the six months ended June 30,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Adjustment of redeemable noncontrolling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2024, redeemable noncontrolling interest was adjusted from its redemption value to its initial fair value, decreased for the noncontrolling shareholder’s interest in net loss of Z33. This $7.0 million adjustment was the result of a decrease in the redemption price below the initial fair value, less the noncontrolling shareholder’s interest in net loss of Z33 as of March 31, 2024. The redeemable noncontrolling interest was remeasured to its redemption value as of June 30, 2024 resulting in accretion of redeemable noncontrolling interest to redemption value of $2.3 million for the six months ended June 30, 2024 as compared to $0.2 million for the six months ended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our inception, we have not generated any revenue and expect to continue to incur significant operating losses for the foreseeable future and may never become profitable. As of June 30, 2024, we had cash and cash equivalents of $188.4 million. As of June 30, 2024, we have funded our operations through (i) the sale of equity, raising an aggregate of $10.0 million of gross proceeds from the sale of our convertible preferred shares; (ii) the issuance of a promissory note, receiving net proceeds of $7.6 million; (iii) proceeds from the Business Combination of $56.7 million in March 2023; and (iv) the April 2023 Private Placement, raising an aggregate of $80.0 million of gross proceeds from the sale of Class A Ordinary Shares and pre-funded warrants in May and June 2023 and the April 2024 Private Placement, raising an additional $112.5 million of gross proceeds from the sale of Class A Ordinary Shares and pre-funded warrants.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Capital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also be responsible to Pfizer and Lilly for significant future contingent payments under the Pfizer Agreement, the 2022 Lilly License, and the 2023 Lilly License (collectively with the 2022 Lilly License,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We intend to fund these milestone payments using a portion of the proceeds from the Business Combination, the April 2023 Private Placement, and the April 2024 Private Placement. In addition to milestone payments, we are also required to pay Pfizer and Lilly under the Pfizer Agreement and Lilly Licenses, respectively, ongoing royalties in the mid-single digits to low double-digits (less than 20%) percentage range based upon thresholds of net sales of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devote most of the net proceeds from the Business Combination, the April 2023 Private Placement, and the April 2024 Private Placement to the preclinical and clinical development of our product candidates, our public company compliance costs and certain milestone payments. Based on our current business plans, we believe that our existing cash, cash equivalents and investments should be sufficient to fund our operating expenses and capital requirements through at least the next twelve months. Our estimate as to how long we expect our existing cash, cash equivalents and investments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develop, in-license or acquire other product candidates and technologies in our product candidates pipeline;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process development and manufacturing scale-up activities associated with our product candidates and other programs as we advance them through preclinical and clinical development;</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product candidates that we may pursue;</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our milestone payments to Pfizer under the Pfizer Agreement and to Lilly under the Lilly Licenses;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headcount growth and associated costs as we expand our research and development capabilities and establish and expand our commercial infrastructure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product manufacturing, marketing, sales and distributions, for any of our product candidates for which we receive marketing approval;</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payments to Pfizer under the Pfizer Agreement and Lilly under the Lilly Licenses;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preparing, filing and prosecuting patent applications, maintaining and enforcing our intellectual property rights and defending any intellectual property-related claims;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if any, received from sales of our product candidates for which we receive marketing approval; and</w:t>
            </w:r>
          </w:p>
        </w:tc>
      </w:tr>
    </w:tbl>
    <w:tbl>
      <w:tblPr>
        <w:tblW w:w="4026" w:type="dxa"/>
        <w:jc w:val="left"/>
        <w:tblInd w:w="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 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w:t>
      </w:r>
    </w:p>
    <w:tbl>
      <w:tblPr>
        <w:tblW w:w="6222" w:type="dxa"/>
        <w:jc w:val="left"/>
        <w:tblInd w:w="0" w:type="dxa"/>
        <w:tblLayout w:type="fixed"/>
        <w:tblCellMar>
          <w:top w:w="0" w:type="dxa"/>
          <w:left w:w="0" w:type="dxa"/>
          <w:bottom w:w="0" w:type="dxa"/>
          <w:right w:w="0" w:type="dxa"/>
        </w:tblCellMar>
      </w:tblPr>
      <w:tblGrid>
        <w:gridCol w:w="3466"/>
        <w:gridCol w:w="326"/>
        <w:gridCol w:w="211"/>
        <w:gridCol w:w="796"/>
        <w:gridCol w:w="326"/>
        <w:gridCol w:w="211"/>
        <w:gridCol w:w="88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200910" cy="175260"/>
                      <wp:effectExtent l="0" t="0" r="0" b="0"/>
                      <wp:wrapNone/>
                      <wp:docPr id="262" name="Frame262"/>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05460" cy="175260"/>
                      <wp:effectExtent l="0" t="0" r="0" b="0"/>
                      <wp:wrapNone/>
                      <wp:docPr id="265" name="Frame2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62610" cy="175260"/>
                      <wp:effectExtent l="0" t="0" r="0" b="0"/>
                      <wp:wrapNone/>
                      <wp:docPr id="268" name="Frame2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(8,430)</w:t>
            </w:r>
          </w:p>
        </w:tc>
      </w:tr>
      <w:tr>
        <w:trPr/>
        <w:tc>
          <w:tcPr>
            <w:tcW w:w="3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(5,750)</w:t>
            </w:r>
          </w:p>
        </w:tc>
      </w:tr>
      <w:tr>
        <w:trPr/>
        <w:tc>
          <w:tcPr>
            <w:tcW w:w="3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125,415</w:t>
            </w:r>
          </w:p>
        </w:tc>
      </w:tr>
      <w:tr>
        <w:trPr/>
        <w:tc>
          <w:tcPr>
            <w:tcW w:w="3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111,235</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Cash flows from 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used in operating activities for the six months ended June 30, 2024, was $11.6 million, which consisted of a net loss before redeemable noncontrolling interest of $18.1 million and a net change of $0.2 million in our net operating assets and liabilities, partially offset by $6.7 million in non-cash charges. The non-cash charges consisted of expense from share-based compensation of $5.3 million and a change in fair value on the private placement warrants of $1.4 million, partially offset by a nominal amount of foreign exchange transaction gains.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used in operating activities for the six months ended June 30, 2023, was $8.4 million, which consisted of a net loss before redeemable noncontrolling interest of $43.8 million and a net change of $0.7 million in our net operating assets and liabilities, partially offset by $36.1 million in non-cash charges. The non-cash charges consisted of expense incurred in connection with the 2023 Lilly License of $27.4 million, a change in fair value of our promissory note of $2.2 million, a change in fair value of our research and development license consideration liability of $1.9 million, share-based payment expense of $2.2 million related to the anti-dilution shares issued to Pfizer, additional share-based payments of $2.5 million and a change in fair value on the private placement warrants of $0.3 million partially offset by foreign exchange transaction losses of $0.4 million.</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Cash flows from 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used in investing activities for the six months ended June 30, 2024 was $5.0 million, which was primarily related to the cash consideration paid to acquire the 2023 Lilly License as well as a nominal amount of equipment purchased during the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used in investing activities for the six months ended June 30, 2023 was $5.8 million, which was entirely related to cash consideration paid to acquire the 2023 Lilly License.</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Cash flows from 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provided by financing activities for the six months ended June 30, 2024 was $105.3 million, which consisted of $62.5 million of proceeds from the issuance of Class A Ordinary Shares in connection with the April 2024 Private Placement, $50.0 million of proceeds from the issuance of Pre-Funded Warrants in connection with the April 2024 Private Placement, partially offset by $7.2 million of transaction costs incurred in connection with such financing.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provided by financing activities for the six months ended June 30, 2023 was $125.4 million, which consisted of $56.7 million of proceeds from the issuance of shares upon the closing of the Business Combination, and $63.9 million of proceeds from the issuance of Class A Ordinary Shares in connection with the April 2023 Private Placement, $16.1 million of proceeds from the issuance of Pre-Funded Warrants in connection with the April 2023 Private Placement, partially offset by a $10.0 million repayment of our promissory note and $1.2 million of payments of deferred transaction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Contractual Obligations and Other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Lonza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entered into the Lonza License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 During October 2023, the Company began drug substance manufacturing with a third party. As a result of manufacturing with a third party other than Lonza, under the terms of the Lonza License the first annual milestone payment of $0.4 million became due and was paid during the six months ended June 30, 2024 We did not owe any other amounts under the Lonza License as of June 30, 2024.</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WuXi Biologics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2023, we entered into a master services agreement with WuXi Biologics (the “WuXi Biologics MSA”). Under the WuXi Biologics MSA, we are obligated to pay WuXi Biologics a service fee and all non-cancellable obligations in the amount specified in each work order associated with the agreement for the provision of services. The People’s Republic of China (“PRC”), and WuXi Biologics specifically, have faced increased scrutiny by the U.S. government, which could impact our ability to supply torudokimab to meet future demand or cause us to incur additional cost to transfer services to another contract manufacturing organization.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WuXi Biologics MSA terminates on the completion of services under all work orders executed by the parties,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Either party may terminate a work order at any time upon three months’ prior notice with reasonable cause, provided however that if WuXi Biologics terminates a work order in such manner, no termination or cancellation fees shall be paid by us and immediately for cause upon the other party’s material breach that remains uncured for 30 days after notice of such breach.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2023, we entered into a cell line license agreement (the “Cell Line License Agreement”) with WuXi Biologics for torudokimab. The Cell Line License Agreement provides the Company with a non-exclusive, worldwide, sublicensable license to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2024, we entered into a start-up agreement with a third-party CRO to manage and conduct our planned Phase 2 clinical trial for tibulizumab in systemic sclerosis. The total cost for the start-up agreement is approximately $4.1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included future milestone or royalty payments or other contractual payment obligations as the timing and amount of such obligations are unknown or uncertain and are contingent upon the initiation, continuation, and/or successful completion of future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is based on our unaudited interim condensed consolidated financial statements, which have been prepared in accordance with U.S. Generally Accepted Accounting Principles, and on a basis consistent with those accounting principles followed by us and disclosed in Note 2 to our most recent annual audited consolidated financial statements in the 2023 Annual Report. The preparation of these unaudited interim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as described under Note 2 of our unaudited interim condensed consolidated financial statements, there have been no material changes to our critical accounting policies from those described in “Management’s Discussion and Analysis of Financial Condition and Results of Operations,” included in our 2023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 to our unaudited condensed consolidated financial statements located in “Part I – Financial Information, Item 1. Financial Statements” in this Quarterly Report on Form 10-Q for a description of recent accounting pronouncements applicable to our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Upon closing of the Business Combination, we remained an emerging growth company and may elect to extend the transition period for complying with new or revised accounting standards, which delays the adoption of these accounting standards until they would apply to private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as an emerging growth company, we may take advantage of specified reduced disclosure and other requirements that are otherwise applicable generally to public companies. These provisions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an exception from compliance with the auditor attestation requirements of Section 404 of the Sarbanes-Oxley Act of 2002, as amended;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reduced disclosure about our executive compensation arrangements in our periodic reports, proxy statements and registrations statements;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would cease to qualify as an emerging growth company on the date that is the earliest of: (i) December 31, 2026, (ii) the last day of the fiscal year in which we have more than $1.07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Accordingly, the information contained herein may be different than you might obtain from other public companies in which you hold equity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also a “smaller reporting company” as defined under the Securities Act and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pStyle w:val="TextBody"/>
        <w:bidi w:val="0"/>
        <w:spacing w:before="0" w:after="240"/>
        <w:ind w:left="0" w:right="0" w:hanging="0"/>
        <w:jc w:val="both"/>
        <w:rPr>
          <w:rFonts w:ascii="Times New Roman;Times;serif" w:hAnsi="Times New Roman;Times;serif"/>
          <w:b/>
          <w:sz w:val="20"/>
        </w:rPr>
      </w:pPr>
      <w:bookmarkStart w:id="1463" w:name="Item3QuantitativeandQualitativeDisclosur"/>
      <w:bookmarkStart w:id="1464" w:name="_492ddded_0493_4f25_a5ec_c730f74c862a"/>
      <w:bookmarkEnd w:id="1463"/>
      <w:bookmarkEnd w:id="1464"/>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“smaller reporting company,” as defined by Item 10 of Regulation S-K, we are not required to provide the information otherwise required by this Item 3.</w:t>
      </w:r>
    </w:p>
    <w:p>
      <w:pPr>
        <w:pStyle w:val="TextBody"/>
        <w:bidi w:val="0"/>
        <w:spacing w:before="0" w:after="240"/>
        <w:ind w:left="0" w:right="0" w:hanging="0"/>
        <w:jc w:val="both"/>
        <w:rPr>
          <w:rFonts w:ascii="Times New Roman;Times;serif" w:hAnsi="Times New Roman;Times;serif"/>
          <w:b/>
          <w:sz w:val="20"/>
        </w:rPr>
      </w:pPr>
      <w:bookmarkStart w:id="1465" w:name="Item4ControlsandProcedures_48500"/>
      <w:bookmarkStart w:id="1466" w:name="_c6d24dbc_d7d4_48bb_9260_b793e244f2f9"/>
      <w:bookmarkEnd w:id="1465"/>
      <w:bookmarkEnd w:id="1466"/>
      <w:r>
        <w:rPr>
          <w:rFonts w:ascii="Times New Roman;Times;serif" w:hAnsi="Times New Roman;Times;serif"/>
          <w:b/>
          <w:sz w:val="20"/>
        </w:rPr>
        <w:t>Item 4. Controls and Procedures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reports filed or submitted under the Securities Exchange Act of 1934, as amended (the “Exchange Act”), is recorded, processed, summarized and reported within the time period specified in the SEC’s rules and forms, and that such information is accumulated and communicated to management including our Chief Executive Officer, Chief Financial Officer, as appropriate, to allow timely decisions regarding required disclosure. As of June 30, 2024, our Chief Executive Officer and Chief Financial Officer carried out an evaluation with the participation of management of the effectiveness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June 30, 2024.</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was no change in our internal control over financial reporting identified in connection with the evaluation required by Rule 13a-15(d) and 15d-15(d) of the Securities Exchange Act of 1934 that occurred during the quarter ended June 30, 2024, that has materially affected, or is reasonably likely to materially affect, our internal control over financial reporting.</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Inherent Limitations on Effectiveness of Internal Controls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67" w:name="PARTII_944256"/>
      <w:bookmarkStart w:id="1468" w:name="_8660cda5_f282_4947_b356_32ca4a922707"/>
      <w:bookmarkEnd w:id="1467"/>
      <w:bookmarkEnd w:id="1468"/>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1469" w:name="Item1LegalProceedings_331504"/>
      <w:bookmarkEnd w:id="1469"/>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pStyle w:val="TextBody"/>
        <w:bidi w:val="0"/>
        <w:spacing w:before="0" w:after="240"/>
        <w:ind w:left="0" w:right="0" w:hanging="0"/>
        <w:jc w:val="left"/>
        <w:rPr>
          <w:rFonts w:ascii="Times New Roman;Times;serif" w:hAnsi="Times New Roman;Times;serif"/>
          <w:b/>
          <w:sz w:val="20"/>
        </w:rPr>
      </w:pPr>
      <w:bookmarkStart w:id="1470" w:name="Item1ARiskFactors_565755"/>
      <w:bookmarkStart w:id="1471" w:name="_c58456de_3b1c_4a90_a984_a2e072528527"/>
      <w:bookmarkEnd w:id="1470"/>
      <w:bookmarkEnd w:id="1471"/>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Please refer to the risk factors set forth under the heading “Risk Factors” in our Annual Report on Form 10-K for the year ended December 31, 2023. We may disclose changes to risk factors or additional risk factors from time to time in our future filings with the SEC.</w:t>
      </w:r>
    </w:p>
    <w:p>
      <w:pPr>
        <w:pStyle w:val="TextBody"/>
        <w:bidi w:val="0"/>
        <w:spacing w:before="0" w:after="240"/>
        <w:ind w:left="0" w:right="0" w:hanging="0"/>
        <w:jc w:val="left"/>
        <w:rPr>
          <w:rFonts w:ascii="Times New Roman;Times;serif" w:hAnsi="Times New Roman;Times;serif"/>
          <w:b/>
          <w:sz w:val="20"/>
        </w:rPr>
      </w:pPr>
      <w:bookmarkStart w:id="1472" w:name="Item2UnregisteredSalesofEquitySecurities"/>
      <w:bookmarkStart w:id="1473" w:name="_25bc2b7c_8f1a_4584_88da_14f5f4e9ff56"/>
      <w:bookmarkEnd w:id="1472"/>
      <w:bookmarkEnd w:id="1473"/>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474" w:name="Item3DefaultsuponSeniorSecurities_38855"/>
      <w:bookmarkStart w:id="1475" w:name="_ab9c5329_02c1_4757_bf81_e1a954bdaff4"/>
      <w:bookmarkEnd w:id="1474"/>
      <w:bookmarkEnd w:id="1475"/>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476" w:name="Item4MineSafetyDisclosures_150335"/>
      <w:bookmarkStart w:id="1477" w:name="_92f6df26_1c00_4e2c_bc16_2f130cbe886d"/>
      <w:bookmarkEnd w:id="1476"/>
      <w:bookmarkEnd w:id="1477"/>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478" w:name="Item5OtherInformation_142054"/>
      <w:bookmarkStart w:id="1479" w:name="_375ffefe_3c36_4f5d_b7b2_c3093e6293d7"/>
      <w:bookmarkEnd w:id="1478"/>
      <w:bookmarkEnd w:id="1479"/>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board of directors has set October 23, 2024 as the date for its 2024 annual meeting of stockholders (the “Annual Meeting”). In accordance with the requirements set forth in our Second Amended and Restated Memorandum and Articles of Association (“Articles”), any stockholder seeking to raise a proposal or to make a nomination for consideration at the Annual Meeting must comply with the requirements set forth in our Articles and the requirements of Rule 14a-8 of the Exchange Act, including by delivering a notice of their proposal or nomination to the Company’s Secretary at 1489 W. Warm Springs Rd. #110, Henderson, NV 89014, no later than the close of business on August 26 , 2024. In addition, stockholders who intend to solicit proxies in support of director nominees other than the Company’s nominees must provide in their notice any additional information required by Rule 14a-19(b) under the Exchange Act.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80" w:name="Item6Exhibits_101742"/>
      <w:bookmarkStart w:id="1481" w:name="_161fed72_9afe_4e40_bf2a_56bf65466de1"/>
      <w:bookmarkEnd w:id="1480"/>
      <w:bookmarkEnd w:id="1481"/>
      <w:r>
        <w:rPr>
          <w:rFonts w:ascii="Times New Roman;Times;serif" w:hAnsi="Times New Roman;Times;serif"/>
          <w:b/>
          <w:sz w:val="20"/>
        </w:rPr>
        <w:t>Item 6. Exhibits.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0" w:type="dxa"/>
          <w:right w:w="0" w:type="dxa"/>
        </w:tblCellMar>
      </w:tblPr>
      <w:tblGrid>
        <w:gridCol w:w="751"/>
        <w:gridCol w:w="386"/>
        <w:gridCol w:w="9068"/>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76885" cy="29210"/>
                      <wp:effectExtent l="0" t="0" r="0" b="0"/>
                      <wp:wrapNone/>
                      <wp:docPr id="269" name="Frame269"/>
                      <a:graphic xmlns:a="http://schemas.openxmlformats.org/drawingml/2006/main">
                        <a:graphicData uri="http://schemas.microsoft.com/office/word/2010/wordprocessingShape">
                          <wps:wsp>
                            <wps:cNvSpPr txBox="1"/>
                            <wps:spPr>
                              <a:xfrm>
                                <a:off x="0" y="0"/>
                                <a:ext cx="476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758180" cy="29210"/>
                      <wp:effectExtent l="0" t="0" r="0" b="0"/>
                      <wp:wrapNone/>
                      <wp:docPr id="270" name="Frame270"/>
                      <a:graphic xmlns:a="http://schemas.openxmlformats.org/drawingml/2006/main">
                        <a:graphicData uri="http://schemas.microsoft.com/office/word/2010/wordprocessingShape">
                          <wps:wsp>
                            <wps:cNvSpPr txBox="1"/>
                            <wps:spPr>
                              <a:xfrm>
                                <a:off x="0" y="0"/>
                                <a:ext cx="57581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386" w:type="dxa"/>
            <w:tcBorders/>
            <w:vAlign w:val="center"/>
          </w:tcPr>
          <w:p>
            <w:pPr>
              <w:pStyle w:val="TableContents"/>
              <w:bidi w:val="0"/>
              <w:spacing w:before="0" w:after="0"/>
              <w:ind w:left="0" w:right="0" w:hanging="0"/>
              <w:jc w:val="left"/>
              <w:rPr/>
            </w:pPr>
            <w:r>
              <w:rPr/>
              <w:t>     </w:t>
            </w:r>
          </w:p>
        </w:tc>
        <w:tc>
          <w:tcPr>
            <w:tcW w:w="90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Third Amendment dated as of January 13, 2023 to the Business Combination Agreement by and among JATT Acquisition Corp., JATT Merger Sub, JATT Merger Sub 2, Zura Holdings, Ltd. and Zura Bio Limited (incorporated by reference to Exhibit 2.1 of JATT’s Current Report on Form 8-K (File No. 001-40598), filed with the SEC on January 19, 2023).</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8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Memorandum of Association of Zura Bio Limited (incorporated by reference to Exhibit 3.1 to the Current Report on Form 8-K, filed with the SEC on March 24, 2023).</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8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Warrant Certificate of Zura (incorporated by reference to Exhibit 4.6 of JATT’s Form S-4 (File No. 333-267005) filed with the SEC on August 19, 2022).</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8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Pre-Funded Warrant to Purchase Ordinary Shares (incorporated herein by reference to Exhibit 4.1 to the Company’s Current Report on Form 8-K, filed with the SEC on May 3, 2023).</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8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Form of Pre-Funded Warrant to purchase Ordinary Shares (incorporated by reference to Exhibit 4.1 to the Current Report on Form 8-K filed with the Securities and Exchange Commission on April 23, 2024).</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8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Subscription Agreement (incorporated by reference to Exhibit 10.1 to the Current Report on Form 8-K filed with the Securities and Exchange Commission on April 23, 2024).</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8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Settlement Agreement by and between Zura Bio Limited and Someit Sidhu dated July 24, 2024 (incorporated by reference to Exhibit 10.1 to the Current Report on Form 8-K filed with the Securities and Exchange Commission on July 25, 2024).</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86" w:type="dxa"/>
            <w:tcBorders/>
            <w:vAlign w:val="center"/>
          </w:tcPr>
          <w:p>
            <w:pPr>
              <w:pStyle w:val="TableContents"/>
              <w:bidi w:val="0"/>
              <w:spacing w:before="0" w:after="0"/>
              <w:ind w:left="0" w:right="0" w:hanging="0"/>
              <w:jc w:val="left"/>
              <w:rPr/>
            </w:pPr>
            <w:r>
              <w:rPr/>
              <w:t>​</w:t>
            </w:r>
          </w:p>
        </w:tc>
        <w:tc>
          <w:tcPr>
            <w:tcW w:w="906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Amendment to Warrant Agreement, by and between Zura Bio Limited and Continental Stock Transfer &amp; Trust Company, dated August 12, 2024 (incorporated by reference to Exhibit 10.1 to the Current Report on Form 8-K filed with the Securities and Exchange Commission on August 12, 2024).</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both"/>
              <w:rPr/>
            </w:pPr>
            <w:hyperlink w:anchor="zura-2024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both"/>
              <w:rPr/>
            </w:pPr>
            <w:hyperlink w:anchor="zura-2024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both"/>
              <w:rPr/>
            </w:pPr>
            <w:hyperlink w:anchor="zura-2024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both"/>
              <w:rPr/>
            </w:pPr>
            <w:hyperlink w:anchor="zura-2024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86" w:type="dxa"/>
            <w:tcBorders/>
            <w:vAlign w:val="center"/>
          </w:tcPr>
          <w:p>
            <w:pPr>
              <w:pStyle w:val="TableContents"/>
              <w:bidi w:val="0"/>
              <w:spacing w:before="0" w:after="283"/>
              <w:ind w:left="0" w:right="0" w:hanging="0"/>
              <w:jc w:val="left"/>
              <w:rPr>
                <w:sz w:val="4"/>
                <w:szCs w:val="4"/>
              </w:rPr>
            </w:pPr>
            <w:r>
              <w:rPr>
                <w:sz w:val="4"/>
                <w:szCs w:val="4"/>
              </w:rPr>
            </w:r>
          </w:p>
        </w:tc>
        <w:tc>
          <w:tcPr>
            <w:tcW w:w="90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82" w:name="SIGNATURES_615896"/>
      <w:bookmarkStart w:id="1483" w:name="_302069d4_e490_494b_8f60_b3ec54a5723b"/>
      <w:bookmarkEnd w:id="1482"/>
      <w:bookmarkEnd w:id="1483"/>
      <w:r>
        <w:rPr>
          <w:rFonts w:ascii="Times New Roman;Times;serif" w:hAnsi="Times New Roman;Times;serif"/>
          <w:b/>
          <w:sz w:val="20"/>
        </w:rPr>
        <w:t>SIGNATURES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728" w:type="dxa"/>
        <w:jc w:val="left"/>
        <w:tblInd w:w="0" w:type="dxa"/>
        <w:tblLayout w:type="fixed"/>
        <w:tblCellMar>
          <w:top w:w="0" w:type="dxa"/>
          <w:left w:w="0" w:type="dxa"/>
          <w:bottom w:w="0" w:type="dxa"/>
          <w:right w:w="0" w:type="dxa"/>
        </w:tblCellMar>
      </w:tblPr>
      <w:tblGrid>
        <w:gridCol w:w="1951"/>
        <w:gridCol w:w="631"/>
        <w:gridCol w:w="514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38885" cy="29210"/>
                      <wp:effectExtent l="0" t="0" r="0" b="0"/>
                      <wp:wrapNone/>
                      <wp:docPr id="271" name="Frame271"/>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00685" cy="29210"/>
                      <wp:effectExtent l="0" t="0" r="0" b="0"/>
                      <wp:wrapNone/>
                      <wp:docPr id="272" name="Frame272"/>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267710" cy="29210"/>
                      <wp:effectExtent l="0" t="0" r="0" b="0"/>
                      <wp:wrapNone/>
                      <wp:docPr id="273" name="Frame273"/>
                      <a:graphic xmlns:a="http://schemas.openxmlformats.org/drawingml/2006/main">
                        <a:graphicData uri="http://schemas.microsoft.com/office/word/2010/wordprocessingShape">
                          <wps:wsp>
                            <wps:cNvSpPr txBox="1"/>
                            <wps:spPr>
                              <a:xfrm>
                                <a:off x="0" y="0"/>
                                <a:ext cx="3267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57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ZURA BIO LIMITED</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Lisicki</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Lisicki</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Verender Badial</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Verender Badial</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240"/>
        <w:ind w:left="0" w:right="0" w:hanging="0"/>
        <w:jc w:val="right"/>
        <w:rPr>
          <w:rFonts w:ascii="Times New Roman;Times;serif" w:hAnsi="Times New Roman;Times;serif"/>
          <w:b/>
          <w:sz w:val="20"/>
        </w:rPr>
      </w:pPr>
      <w:bookmarkStart w:id="1484" w:name="zura-20240630xex31d1.htm"/>
      <w:bookmarkStart w:id="1485" w:name="kszura20240630xex31d1"/>
      <w:bookmarkEnd w:id="1484"/>
      <w:bookmarkEnd w:id="1485"/>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Robert Lisicki,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Zura Bio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tbl>
      <w:tblPr>
        <w:tblW w:w="4427" w:type="dxa"/>
        <w:jc w:val="center"/>
        <w:tblInd w:w="0" w:type="dxa"/>
        <w:tblLayout w:type="fixed"/>
        <w:tblCellMar>
          <w:top w:w="0" w:type="dxa"/>
          <w:left w:w="0" w:type="dxa"/>
          <w:bottom w:w="0" w:type="dxa"/>
          <w:right w:w="0" w:type="dxa"/>
        </w:tblCellMar>
      </w:tblPr>
      <w:tblGrid>
        <w:gridCol w:w="1951"/>
        <w:gridCol w:w="2476"/>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Lisicki</w:t>
            </w:r>
          </w:p>
        </w:tc>
      </w:tr>
      <w:tr>
        <w:trPr/>
        <w:tc>
          <w:tcPr>
            <w:tcW w:w="1951"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86" w:name="zura-20240630xex31d2.htm"/>
      <w:bookmarkStart w:id="1487" w:name="kszura20240630xex31d2"/>
      <w:bookmarkEnd w:id="1486"/>
      <w:bookmarkEnd w:id="1487"/>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Verender Badial,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Zura Bio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tbl>
      <w:tblPr>
        <w:tblW w:w="5717" w:type="dxa"/>
        <w:jc w:val="center"/>
        <w:tblInd w:w="0" w:type="dxa"/>
        <w:tblLayout w:type="fixed"/>
        <w:tblCellMar>
          <w:top w:w="0" w:type="dxa"/>
          <w:left w:w="0" w:type="dxa"/>
          <w:bottom w:w="0" w:type="dxa"/>
          <w:right w:w="0" w:type="dxa"/>
        </w:tblCellMar>
      </w:tblPr>
      <w:tblGrid>
        <w:gridCol w:w="1951"/>
        <w:gridCol w:w="3766"/>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Verender Badial</w:t>
            </w:r>
          </w:p>
        </w:tc>
      </w:tr>
      <w:tr>
        <w:trPr/>
        <w:tc>
          <w:tcPr>
            <w:tcW w:w="1951"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88" w:name="zura-20240630xex32d1.htm"/>
      <w:bookmarkStart w:id="1489" w:name="kszura20240630xex32d1"/>
      <w:bookmarkEnd w:id="1488"/>
      <w:bookmarkEnd w:id="148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Zura Bio Limited (the “Company”) on Form 10-Q for the quarterly period ended June 30, 2024, as filed with the Securities and Exchange Commission (the “Report”), I, Robert Lisicki, Chief Executive Officer of the Company, certify, pursuant to 18 U.S.C. §1350, as adopted pursuant to §906 of the Sarbanes-Oxley Act of 2002, that, to the best of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tbl>
      <w:tblPr>
        <w:tblW w:w="4532" w:type="dxa"/>
        <w:jc w:val="center"/>
        <w:tblInd w:w="0" w:type="dxa"/>
        <w:tblLayout w:type="fixed"/>
        <w:tblCellMar>
          <w:top w:w="0" w:type="dxa"/>
          <w:left w:w="0" w:type="dxa"/>
          <w:bottom w:w="0" w:type="dxa"/>
          <w:right w:w="0" w:type="dxa"/>
        </w:tblCellMar>
      </w:tblPr>
      <w:tblGrid>
        <w:gridCol w:w="2056"/>
        <w:gridCol w:w="2476"/>
      </w:tblGrid>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2024</w:t>
            </w:r>
          </w:p>
        </w:tc>
        <w:tc>
          <w:tcPr>
            <w:tcW w:w="2476"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Lisicki</w:t>
            </w:r>
          </w:p>
        </w:tc>
      </w:tr>
      <w:tr>
        <w:trPr/>
        <w:tc>
          <w:tcPr>
            <w:tcW w:w="205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Lisicki</w:t>
            </w:r>
          </w:p>
        </w:tc>
      </w:tr>
      <w:tr>
        <w:trPr/>
        <w:tc>
          <w:tcPr>
            <w:tcW w:w="205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90" w:name="zura-20240630xex32d2.htm"/>
      <w:bookmarkStart w:id="1491" w:name="kszura20240630xex32d2"/>
      <w:bookmarkEnd w:id="1490"/>
      <w:bookmarkEnd w:id="149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Zura Bio Limited (the “Company”) on Form 10-Q for the quarterly period ended June 30, 2024, as filed with the Securities and Exchange Commission (the “Report”), I, Verender Badial, Chief Financial Officer of the Company, certify, pursuant to 18 U.S.C. §1350, as adopted pursuant to §906 of the Sarbanes-Oxley Act of 2002, that, to the best of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tbl>
      <w:tblPr>
        <w:tblW w:w="5822" w:type="dxa"/>
        <w:jc w:val="center"/>
        <w:tblInd w:w="0" w:type="dxa"/>
        <w:tblLayout w:type="fixed"/>
        <w:tblCellMar>
          <w:top w:w="0" w:type="dxa"/>
          <w:left w:w="0" w:type="dxa"/>
          <w:bottom w:w="0" w:type="dxa"/>
          <w:right w:w="0" w:type="dxa"/>
        </w:tblCellMar>
      </w:tblPr>
      <w:tblGrid>
        <w:gridCol w:w="2056"/>
        <w:gridCol w:w="3766"/>
      </w:tblGrid>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2024</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Verender Badial</w:t>
            </w:r>
          </w:p>
        </w:tc>
      </w:tr>
      <w:tr>
        <w:trPr/>
        <w:tc>
          <w:tcPr>
            <w:tcW w:w="205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644/000110465923005068/tm233516d1_ex2-1.htm" TargetMode="External"/><Relationship Id="rId3" Type="http://schemas.openxmlformats.org/officeDocument/2006/relationships/hyperlink" Target="https://www.sec.gov/Archives/edgar/data/1855644/000110465923036697/tm2310353d1_ex3-1.htm" TargetMode="External"/><Relationship Id="rId4" Type="http://schemas.openxmlformats.org/officeDocument/2006/relationships/hyperlink" Target="https://www.sec.gov/Archives/edgar/data/1855644/000110465922093035/jatt-20220630xex4d6.htm" TargetMode="External"/><Relationship Id="rId5" Type="http://schemas.openxmlformats.org/officeDocument/2006/relationships/hyperlink" Target="https://www.sec.gov/Archives/edgar/data/1855644/000110465923055196/tm2314291d1_ex4-1.htm" TargetMode="External"/><Relationship Id="rId6" Type="http://schemas.openxmlformats.org/officeDocument/2006/relationships/hyperlink" Target="https://www.sec.gov/Archives/edgar/data/1855644/000110465924050169/tm2412407d1_ex4-1.htm" TargetMode="External"/><Relationship Id="rId7" Type="http://schemas.openxmlformats.org/officeDocument/2006/relationships/hyperlink" Target="https://www.sec.gov/Archives/edgar/data/1855644/000110465924050169/tm2412407d1_ex10-1.htm" TargetMode="External"/><Relationship Id="rId8" Type="http://schemas.openxmlformats.org/officeDocument/2006/relationships/hyperlink" Target="https://www.sec.gov/Archives/edgar/data/1855644/000110465924082476/tm2420123d1_ex10-1.htm" TargetMode="External"/><Relationship Id="rId9" Type="http://schemas.openxmlformats.org/officeDocument/2006/relationships/hyperlink" Target="https://www.sec.gov/Archives/edgar/data/0001855644/000110465924088395/tm2421034d1_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23865</Words>
  <Characters>130866</Characters>
  <CharactersWithSpaces>155890</CharactersWithSpaces>
  <Paragraphs>4968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