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47625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102235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5" w:lineRule="exact"/>
        <w:rPr>
          <w:sz w:val="24"/>
          <w:szCs w:val="24"/>
          <w:color w:val="auto"/>
        </w:rPr>
      </w:pPr>
    </w:p>
    <w:p>
      <w:pPr>
        <w:ind w:left="1680" w:hanging="175"/>
        <w:spacing w:after="0"/>
        <w:tabs>
          <w:tab w:leader="none" w:pos="1680" w:val="left"/>
        </w:tabs>
        <w:numPr>
          <w:ilvl w:val="0"/>
          <w:numId w:val="1"/>
        </w:numPr>
        <w:rPr>
          <w:rFonts w:ascii="Arial" w:cs="Arial" w:eastAsia="Arial" w:hAnsi="Arial"/>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4"/>
          <w:szCs w:val="14"/>
          <w:b w:val="1"/>
          <w:bCs w:val="1"/>
          <w:color w:val="auto"/>
        </w:rPr>
        <w:t>December 31, 2021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 w:lineRule="exact"/>
        <w:rPr>
          <w:sz w:val="24"/>
          <w:szCs w:val="24"/>
          <w:color w:val="auto"/>
        </w:rPr>
      </w:pPr>
    </w:p>
    <w:p>
      <w:pPr>
        <w:ind w:left="180" w:hanging="171"/>
        <w:spacing w:after="0"/>
        <w:tabs>
          <w:tab w:leader="none" w:pos="180" w:val="left"/>
        </w:tabs>
        <w:numPr>
          <w:ilvl w:val="0"/>
          <w:numId w:val="2"/>
        </w:numPr>
        <w:rPr>
          <w:rFonts w:ascii="Arial" w:cs="Arial" w:eastAsia="Arial" w:hAnsi="Arial"/>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w:t>
      </w:r>
    </w:p>
    <w:p>
      <w:pPr>
        <w:ind w:left="5000"/>
        <w:spacing w:after="0"/>
        <w:rPr>
          <w:rFonts w:ascii="Arial" w:cs="Arial" w:eastAsia="Arial" w:hAnsi="Arial"/>
          <w:sz w:val="14"/>
          <w:szCs w:val="14"/>
          <w:color w:val="auto"/>
          <w:highlight w:val="black"/>
        </w:rPr>
      </w:pPr>
      <w:r>
        <w:rPr>
          <w:rFonts w:ascii="Times New Roman" w:cs="Times New Roman" w:eastAsia="Times New Roman" w:hAnsi="Times New Roman"/>
          <w:sz w:val="14"/>
          <w:szCs w:val="14"/>
          <w:b w:val="1"/>
          <w:bCs w:val="1"/>
          <w:color w:val="auto"/>
        </w:rPr>
        <w:t>TO</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Commission File Number:001-40598</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560" w:type="dxa"/>
            <w:vAlign w:val="bottom"/>
            <w:tcBorders>
              <w:bottom w:val="single" w:sz="8" w:color="auto"/>
            </w:tcBorders>
            <w:gridSpan w:val="4"/>
          </w:tcPr>
          <w:p>
            <w:pPr>
              <w:spacing w:after="0"/>
              <w:rPr>
                <w:sz w:val="10"/>
                <w:szCs w:val="10"/>
                <w:color w:val="auto"/>
              </w:rPr>
            </w:pPr>
          </w:p>
        </w:tc>
        <w:tc>
          <w:tcPr>
            <w:tcW w:w="540" w:type="dxa"/>
            <w:vAlign w:val="bottom"/>
            <w:gridSpan w:val="2"/>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2"/>
        </w:trPr>
        <w:tc>
          <w:tcPr>
            <w:tcW w:w="3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gridSpan w:val="6"/>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8"/>
              </w:rPr>
              <w:t>JATT ACQUISITION CORP</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35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420" w:type="dxa"/>
            <w:vAlign w:val="bottom"/>
            <w:vMerge w:val="restart"/>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vMerge w:val="restart"/>
          </w:tcPr>
          <w:p>
            <w:pPr>
              <w:jc w:val="center"/>
              <w:ind w:right="1689"/>
              <w:spacing w:after="0"/>
              <w:rPr>
                <w:sz w:val="20"/>
                <w:szCs w:val="20"/>
                <w:color w:val="auto"/>
              </w:rPr>
            </w:pPr>
            <w:r>
              <w:rPr>
                <w:rFonts w:ascii="Times New Roman" w:cs="Times New Roman" w:eastAsia="Times New Roman" w:hAnsi="Times New Roman"/>
                <w:sz w:val="14"/>
                <w:szCs w:val="14"/>
                <w:b w:val="1"/>
                <w:bCs w:val="1"/>
                <w:color w:val="auto"/>
              </w:rPr>
              <w:t>NA</w:t>
            </w:r>
          </w:p>
        </w:tc>
        <w:tc>
          <w:tcPr>
            <w:tcW w:w="0" w:type="dxa"/>
            <w:vAlign w:val="bottom"/>
          </w:tcPr>
          <w:p>
            <w:pPr>
              <w:spacing w:after="0"/>
              <w:rPr>
                <w:sz w:val="1"/>
                <w:szCs w:val="1"/>
                <w:color w:val="auto"/>
              </w:rPr>
            </w:pPr>
          </w:p>
        </w:tc>
      </w:tr>
      <w:tr>
        <w:trPr>
          <w:trHeight w:val="241"/>
        </w:trPr>
        <w:tc>
          <w:tcPr>
            <w:tcW w:w="34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420" w:type="dxa"/>
            <w:vAlign w:val="bottom"/>
          </w:tcPr>
          <w:p>
            <w:pPr>
              <w:jc w:val="center"/>
              <w:ind w:left="138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jc w:val="center"/>
              <w:ind w:right="1689"/>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42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tcPr>
          <w:p>
            <w:pPr>
              <w:jc w:val="center"/>
              <w:ind w:right="172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15"/>
        </w:trPr>
        <w:tc>
          <w:tcPr>
            <w:tcW w:w="3420" w:type="dxa"/>
            <w:vAlign w:val="bottom"/>
          </w:tcPr>
          <w:p>
            <w:pPr>
              <w:jc w:val="center"/>
              <w:ind w:left="1609"/>
              <w:spacing w:after="0"/>
              <w:rPr>
                <w:sz w:val="20"/>
                <w:szCs w:val="20"/>
                <w:color w:val="auto"/>
              </w:rPr>
            </w:pPr>
            <w:r>
              <w:rPr>
                <w:rFonts w:ascii="Times New Roman" w:cs="Times New Roman" w:eastAsia="Times New Roman" w:hAnsi="Times New Roman"/>
                <w:sz w:val="14"/>
                <w:szCs w:val="14"/>
                <w:b w:val="1"/>
                <w:bCs w:val="1"/>
                <w:color w:val="auto"/>
              </w:rPr>
              <w:t>PO Box 309, Ugland House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920" w:type="dxa"/>
            <w:vAlign w:val="bottom"/>
            <w:gridSpan w:val="8"/>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Grand Cayman, Cayman Islands</w:t>
            </w:r>
          </w:p>
        </w:tc>
        <w:tc>
          <w:tcPr>
            <w:tcW w:w="3300" w:type="dxa"/>
            <w:vAlign w:val="bottom"/>
            <w:vMerge w:val="restart"/>
          </w:tcPr>
          <w:p>
            <w:pPr>
              <w:jc w:val="center"/>
              <w:ind w:right="1729"/>
              <w:spacing w:after="0"/>
              <w:rPr>
                <w:sz w:val="20"/>
                <w:szCs w:val="20"/>
                <w:color w:val="auto"/>
              </w:rPr>
            </w:pPr>
            <w:r>
              <w:rPr>
                <w:rFonts w:ascii="Times New Roman" w:cs="Times New Roman" w:eastAsia="Times New Roman" w:hAnsi="Times New Roman"/>
                <w:sz w:val="14"/>
                <w:szCs w:val="14"/>
                <w:b w:val="1"/>
                <w:bCs w:val="1"/>
                <w:color w:val="auto"/>
              </w:rPr>
              <w:t>E9 KY1-1104</w:t>
            </w:r>
          </w:p>
        </w:tc>
        <w:tc>
          <w:tcPr>
            <w:tcW w:w="0" w:type="dxa"/>
            <w:vAlign w:val="bottom"/>
          </w:tcPr>
          <w:p>
            <w:pPr>
              <w:spacing w:after="0"/>
              <w:rPr>
                <w:sz w:val="1"/>
                <w:szCs w:val="1"/>
                <w:color w:val="auto"/>
              </w:rPr>
            </w:pPr>
          </w:p>
        </w:tc>
      </w:tr>
      <w:tr>
        <w:trPr>
          <w:trHeight w:val="28"/>
        </w:trPr>
        <w:tc>
          <w:tcPr>
            <w:tcW w:w="6920" w:type="dxa"/>
            <w:vAlign w:val="bottom"/>
            <w:gridSpan w:val="8"/>
            <w:vMerge w:val="restart"/>
          </w:tcPr>
          <w:p>
            <w:pPr>
              <w:jc w:val="center"/>
              <w:ind w:right="18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920" w:type="dxa"/>
            <w:vAlign w:val="bottom"/>
            <w:gridSpan w:val="8"/>
            <w:vMerge w:val="continue"/>
          </w:tcPr>
          <w:p>
            <w:pPr>
              <w:spacing w:after="0"/>
              <w:rPr>
                <w:sz w:val="16"/>
                <w:szCs w:val="16"/>
                <w:color w:val="auto"/>
              </w:rPr>
            </w:pPr>
          </w:p>
        </w:tc>
        <w:tc>
          <w:tcPr>
            <w:tcW w:w="3300" w:type="dxa"/>
            <w:vAlign w:val="bottom"/>
          </w:tcPr>
          <w:p>
            <w:pPr>
              <w:jc w:val="center"/>
              <w:ind w:right="174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78"/>
        </w:trPr>
        <w:tc>
          <w:tcPr>
            <w:tcW w:w="10220" w:type="dxa"/>
            <w:vAlign w:val="bottom"/>
            <w:gridSpan w:val="9"/>
          </w:tcPr>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+44 7706 73221</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35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20" w:type="dxa"/>
            <w:vAlign w:val="bottom"/>
            <w:vMerge w:val="restart"/>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300" w:type="dxa"/>
            <w:vAlign w:val="bottom"/>
            <w:vMerge w:val="restart"/>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Borders>
              <w:top w:val="single" w:sz="8" w:color="auto"/>
            </w:tcBorders>
          </w:tcPr>
          <w:p>
            <w:pPr>
              <w:jc w:val="center"/>
              <w:ind w:left="649"/>
              <w:spacing w:after="0" w:line="118" w:lineRule="exact"/>
              <w:rPr>
                <w:sz w:val="20"/>
                <w:szCs w:val="20"/>
                <w:color w:val="auto"/>
              </w:rPr>
            </w:pPr>
            <w:r>
              <w:rPr>
                <w:rFonts w:ascii="Times New Roman" w:cs="Times New Roman" w:eastAsia="Times New Roman" w:hAnsi="Times New Roman"/>
                <w:sz w:val="13"/>
                <w:szCs w:val="13"/>
                <w:b w:val="1"/>
                <w:bCs w:val="1"/>
                <w:color w:val="auto"/>
              </w:rPr>
              <w:t>Class A Ordinary Shares</w:t>
            </w:r>
          </w:p>
        </w:tc>
        <w:tc>
          <w:tcPr>
            <w:tcW w:w="4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JATT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300" w:type="dxa"/>
            <w:vAlign w:val="bottom"/>
            <w:tcBorders>
              <w:top w:val="single" w:sz="8" w:color="auto"/>
            </w:tcBorders>
          </w:tcPr>
          <w:p>
            <w:pPr>
              <w:jc w:val="center"/>
              <w:ind w:right="249"/>
              <w:spacing w:after="0" w:line="118" w:lineRule="exact"/>
              <w:rPr>
                <w:sz w:val="20"/>
                <w:szCs w:val="20"/>
                <w:color w:val="auto"/>
              </w:rPr>
            </w:pPr>
            <w:r>
              <w:rPr>
                <w:rFonts w:ascii="Times New Roman" w:cs="Times New Roman" w:eastAsia="Times New Roman" w:hAnsi="Times New Roman"/>
                <w:sz w:val="13"/>
                <w:szCs w:val="13"/>
                <w:b w:val="1"/>
                <w:bCs w:val="1"/>
                <w:color w:val="auto"/>
              </w:rPr>
              <w:t>The New York Stock Exchange</w:t>
            </w:r>
          </w:p>
        </w:tc>
        <w:tc>
          <w:tcPr>
            <w:tcW w:w="0" w:type="dxa"/>
            <w:vAlign w:val="bottom"/>
          </w:tcPr>
          <w:p>
            <w:pPr>
              <w:spacing w:after="0"/>
              <w:rPr>
                <w:sz w:val="1"/>
                <w:szCs w:val="1"/>
                <w:color w:val="auto"/>
              </w:rPr>
            </w:pPr>
          </w:p>
        </w:tc>
      </w:tr>
      <w:tr>
        <w:trPr>
          <w:trHeight w:val="149"/>
        </w:trPr>
        <w:tc>
          <w:tcPr>
            <w:tcW w:w="3420" w:type="dxa"/>
            <w:vAlign w:val="bottom"/>
          </w:tcPr>
          <w:p>
            <w:pPr>
              <w:jc w:val="center"/>
              <w:ind w:left="649"/>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JATT WS</w:t>
            </w:r>
          </w:p>
        </w:tc>
        <w:tc>
          <w:tcPr>
            <w:tcW w:w="3300" w:type="dxa"/>
            <w:vAlign w:val="bottom"/>
          </w:tcPr>
          <w:p>
            <w:pPr>
              <w:jc w:val="center"/>
              <w:ind w:right="249"/>
              <w:spacing w:after="0" w:line="149" w:lineRule="exact"/>
              <w:rPr>
                <w:sz w:val="20"/>
                <w:szCs w:val="20"/>
                <w:color w:val="auto"/>
              </w:rPr>
            </w:pPr>
            <w:r>
              <w:rPr>
                <w:rFonts w:ascii="Times New Roman" w:cs="Times New Roman" w:eastAsia="Times New Roman" w:hAnsi="Times New Roman"/>
                <w:sz w:val="14"/>
                <w:szCs w:val="14"/>
                <w:b w:val="1"/>
                <w:bCs w:val="1"/>
                <w:color w:val="auto"/>
              </w:rPr>
              <w:t>The New York Stock Exchange</w:t>
            </w:r>
          </w:p>
        </w:tc>
        <w:tc>
          <w:tcPr>
            <w:tcW w:w="0" w:type="dxa"/>
            <w:vAlign w:val="bottom"/>
          </w:tcPr>
          <w:p>
            <w:pPr>
              <w:spacing w:after="0"/>
              <w:rPr>
                <w:sz w:val="1"/>
                <w:szCs w:val="1"/>
                <w:color w:val="auto"/>
              </w:rPr>
            </w:pPr>
          </w:p>
        </w:tc>
      </w:tr>
      <w:tr>
        <w:trPr>
          <w:trHeight w:val="190"/>
        </w:trPr>
        <w:tc>
          <w:tcPr>
            <w:tcW w:w="342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JATT U</w:t>
            </w:r>
          </w:p>
        </w:tc>
        <w:tc>
          <w:tcPr>
            <w:tcW w:w="330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c>
          <w:tcPr>
            <w:tcW w:w="0" w:type="dxa"/>
            <w:vAlign w:val="bottom"/>
          </w:tcPr>
          <w:p>
            <w:pPr>
              <w:spacing w:after="0"/>
              <w:rPr>
                <w:sz w:val="1"/>
                <w:szCs w:val="1"/>
                <w:color w:val="auto"/>
              </w:rPr>
            </w:pPr>
          </w:p>
        </w:tc>
      </w:tr>
    </w:tbl>
    <w:p>
      <w:pPr>
        <w:spacing w:after="0" w:line="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67945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6" w:lineRule="exact"/>
        <w:rPr>
          <w:sz w:val="24"/>
          <w:szCs w:val="24"/>
          <w:color w:val="auto"/>
        </w:rPr>
      </w:pPr>
    </w:p>
    <w:p>
      <w:pPr>
        <w:ind w:right="258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and post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 (Check one):</w:t>
      </w:r>
    </w:p>
    <w:p>
      <w:pPr>
        <w:spacing w:after="0" w:line="165"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2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06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75"/>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26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406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60"/>
              <w:spacing w:after="0" w:line="176" w:lineRule="exact"/>
              <w:rPr>
                <w:sz w:val="20"/>
                <w:szCs w:val="20"/>
                <w:color w:val="auto"/>
              </w:rPr>
            </w:pPr>
            <w:r>
              <w:rPr>
                <w:rFonts w:ascii="Arial Unicode MS" w:cs="Arial Unicode MS" w:eastAsia="Arial Unicode MS" w:hAnsi="Arial Unicode MS"/>
                <w:sz w:val="14"/>
                <w:szCs w:val="14"/>
                <w:color w:val="auto"/>
              </w:rPr>
              <w:t>☒</w:t>
            </w:r>
          </w:p>
        </w:tc>
      </w:tr>
      <w:tr>
        <w:trPr>
          <w:trHeight w:val="22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240" w:type="dxa"/>
            <w:vAlign w:val="bottom"/>
          </w:tcPr>
          <w:p>
            <w:pPr>
              <w:ind w:left="2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06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76"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The registrant was not a public company as of June 30, 2021 and therefore it cannot calculate the aggregate market value of its voting and non-voting common equity held by non-affiliates as of such date.</w:t>
      </w:r>
    </w:p>
    <w:p>
      <w:pPr>
        <w:spacing w:after="0" w:line="1"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As of April 11, 2022, there were 13,800,000 shares of the Company’s Class A ordinary shares, par value $0.0001 per share, and 3,450,000 shares of the Company’s Class B ordinary shares, par value $0.0001 per share, issued and outstanding.</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529590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143510</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References to “the Company,” “our,” “us” or “we” refer to JATT Acquisition Corp, a blank check incorporated on March 10, 2021 as a Cayman Islands exempted company. References to our “Sponsor” refer to JATT Ventures, L.P., a Cayman Islands limited liability partnership. References to our “IPO” refer to the initial public offering of Federal Street Acquisition Corp., which closed on July 16, 2021 (the “IPO Closing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spacing w:after="0" w:line="188" w:lineRule="exact"/>
        <w:rPr>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complete our initial business combination;</w:t>
      </w:r>
    </w:p>
    <w:p>
      <w:pPr>
        <w:spacing w:after="0" w:line="225" w:lineRule="exact"/>
        <w:rPr>
          <w:rFonts w:ascii="Times New Roman" w:cs="Times New Roman" w:eastAsia="Times New Roman" w:hAnsi="Times New Roman"/>
          <w:sz w:val="18"/>
          <w:szCs w:val="18"/>
          <w:color w:val="auto"/>
        </w:rPr>
      </w:pPr>
    </w:p>
    <w:p>
      <w:pPr>
        <w:ind w:left="1000" w:right="42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 following our initial business combination;</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ability to obtain additional financing to complete our initial business combination;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 of prospective target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 in control if we acquire one or more target businesses for stock;</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not held in the trust account or available to us from interest income on the trust account balance;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following our initial public offering.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such forward-looking statements speak only as of the date of this Annual Report on Form 10-K.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All subsequent written or oral forward-looking statements attributable to us or persons acting on our behalf are qualified in their entirety by this Special Note Regarding Forward-Looking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blank check company incorporated on March 10, 2021 as a Cayman Islands corporation and formed for the purpose of effecting a merger, capital stock exchange, asset acquisition, stock purchase, reorganization or similar business combination with one or more businesses (a “Business Combination”). We have reviewed, and continue to review, a number of opportunities to enter into a Business Combination with an operating business, but we are not able to determine at this time whether we will complete a Business Combination with any of the target businesses that we have reviewed or with any other target business. We also have neither engaged in any operations nor generated any revenue to date. Based on our business activities, we are a “shell company” as defined under the Securities Exchange Act of 1934 (the “Exchange Act”) because we have no operations and nominal assets consisting solely of cash and/or cash equivalents.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22, 2021, our sponsor purchased 4,312,500 founder shares, which are Class B ordinary shares, for an aggregate purchase price of $25,000, or approximately $0.006 per share. On June 14, 2021, our sponsor effected a surrender of 862,500 founder shares to us for no consideration, resulting in a decrease in the total number of founder shares outstanding from 4,312,500 to 3,450,000. Prior to the investment in the company of $25,000 by our sponsor the Company had no assets, tangible or intangible. The per share purchase price of the founder shares was determined by dividing the amount of cash contributed to the company by the aggregate number of founder shares issued. The number of founder shares issued was determined based on the expectation that such founder shares would represent 20% of the outstanding shares upon completion of the IPO offering.</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16, 2021 the Company consummated the initial public offer, or IPO, of 12,000,000 units (the “Units”). Each Unit consists of one Class A ordinary share (“Ordinary Share”) and one-half of one redeemable warrant (“Warrant”), each whole Warrant entitling the holder thereof to purchase one Ordinary Share for $11.50 per share. The Units were sold at a price of $10.00 per Unit, generating gross proceeds to the Company of $120,000,000. As of July 16, 2021, a total of $121,200,000 ($10.10 per Unit) of the net proceeds from the IPO and a portion of the proceeds from the Private Placement (as defined below) were deposited in a trust account established for the benefit of the Company’s public shareholders (the “Trust Account”). Funds held in the Trust Account have been invested in U.S. government securities, within the meaning set forth in Section 2 (a)(16) of the Investment Company Act of 1940, as amended (the “Investment Company Act”), with a maturity of 185 days or less or in any open-ended investment company that holds itself out as a money market fund selected by us meeting the conditions of paragraphs (d)(2), (d)(3) and (d)(4) of Rule 2a-7 of the Investment Company Act, as determined by us. Funds will remain in the Trust Account until the earlier of: (i) the consummation of a Business Combination or (ii) the distribution of the Trust Account as described below, except that interest earned on the Trust Account can be released to pay our franchise and income tax obligations.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19, 2021, in connection with the underwriters’ exercise of their over-allotment option in full, the Company consummated the sale of an additional 1,800,000 Units, and the sale of an additional 540,000 Private Placement Warrants each at $1.00 per warrant, generating total gross proceeds of $18,540,000. Following the closing, an additional $18,180,000 of the net proceeds ($10.10 per Unit) was placed in the Trust Account, resulting in $139,380,000 ($10.10 per Unit) held in the Trust Account.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a private placement (the “Private Placement”) in which the Sponsor purchased 5,370,000 private warrants (the “Private Placement Warrants”) at a price of $1.00 per Private Placement Warrant, generating total proceeds of $5,370,000. Each Private Placement Warrant entitles the holder thereof to purchase one Ordinary Share for $11.50 per share, and is subject to transfer restrictions. Upon the closing of the underwriters’ over-allotment option in full on July 19, 2021, an additional 540,000 Private Placement Warrants were purchased by the Sponsor at a price of $1.00 per warrant for a total of $540,000. As a result, a total of 5,910,000 Private Placement Warrants were purchased by the Sponsor for aggregate consideration of $5,910,000 in connection with the closing of the IPO and the closing of the over-allotment option. The Private Placement Warrants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subject to certain limited exceptions, be transferred, assigned or sold by the holders thereof until 30 days after the completion of our initial business combination. The holders of the Private Placement Warrants were granted certain demand and piggyback registration rights in connection with the Private Placement. The Private Placement Warrants were issued pursuant to Section 4(a)(2) of the Securities Act of 1933, as amended, as the transactions did not involve a public offering.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3, 2021, we announced that the holders of our Units may elect to separately trade the Class A Ordinary shares and Warrants included in the Units commencing on September 3, 2021 on the New York Stock Exchange (“NYSE”) under the symbols “JATT” and “JATT.W,” respectively. Those Units not separated will continue to trade on the NYSE under the symbol “JATT.U.”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strategy is to utilize our global network of relationships and experience as drug hunters to identify and complete our initial business combination with a company operating in the life sciences space, particularly those applying machine learning techniques and structure-based drug design to improve the therapeutic development process.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we seek an opportunity that complements the experience of our management team and board and can benefit from their drug development, operational, financial, and marketing expertise. Our selection process will leverage the management team’s global relationships, unique industry experience, and deal sourcing capabilities to access a wide spectrum of opportunities globally, including in the United States, Europe, and Asia. This network has been developed over the past two decades by our team while they served in executive roles at successful organizations. We believe that our management team will identify a business combination that will benefit from their experience, including:</w:t>
      </w:r>
    </w:p>
    <w:p>
      <w:pPr>
        <w:spacing w:after="0" w:line="187" w:lineRule="exact"/>
        <w:rPr>
          <w:sz w:val="20"/>
          <w:szCs w:val="20"/>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History of sourcing, structuring, acquiring, developing, growing, commercializing, and financing biopharma products and product candidates as well as novel technologies for the advancement of therapeutic development.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creating differentiated therapeutics that target high unmet needs.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Uncovering under-appreciated assets within private companies, research institutions and big pharma to develop through partnerships or licenses.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machine learning and structure-based drug design to rapidly develop candidates against promising targets or to develop improved second-generation compounds.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drug candidates through the clinical process into successful commercial programs or strategic exits.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track record of public company performance requirements and guiding private-to-public process.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team has access to their network of relationships to articulate the parameters for our search for a target company and begin the process of reviewing and pursuing potential business combinations. Our management believe they are perfectly placed to complete the business combination.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Criteria</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acquisition strategy will leverage our management team’s proprietary network of long-standing relationships and industry contacts as well as inbound opportunities to source a business combination. Consistent with our business strategy, we have identified the following general criteria and guidelines that we believe are important in evaluating prospective target businesses.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use these criteria and guidelines in evaluating acquisition opportunities, but we may decide to enter into our initial business combination with a target business that does not meet these criteria and guidelines. We intend to identify and acquire one or more businesses that exhibit a number of the following criteria:</w:t>
      </w:r>
    </w:p>
    <w:p>
      <w:pPr>
        <w:spacing w:after="0" w:line="176" w:lineRule="exact"/>
        <w:rPr>
          <w:sz w:val="20"/>
          <w:szCs w:val="20"/>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outsized upside potential as a platform and can build on potential successes in a repeatable manner through additional pipeline development and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cutting edge technologies such as artificial intelligence, mechanistic genetics, or structure-based drug design, to reduce development time and increase the probability of success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promising pre-clinical or clinical stage assets that target unmet medical needs and are near an inflection point in value creation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novel technology or approaches to drug development and whose differentiated technology is protected by robust intellectual property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clear path to commercial viability or could benefit from our management team’s expertise in commercialization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benefit from being publicly-traded and having access to incremental growth capital</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scientific or other competitive advantage in the areas in which they operate and which can benefit from access to additional capital as well as our management’s industry relationships and expertise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criteria, and guidelines that our management may deem relevant. In addition to any potential business candidates we may identify on our own, we anticipate that other target business candidates will be brought to our attention from various unaffiliated sources, including investment market participants, private equity funds and large business enterprises seeking to divest non-core assets or divisions.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annual report, would be in the form of tender offer documents or proxy solicitation materials that we would file with the SEC.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an extensive due diligence review which may encompass, as applicable and among other things, meetings with incumbent management and employees, document reviews, review of clinical data and intellectual property, interviews of customers and suppliers, inspection of facilities and a review of financial and other information about the target and its industry. We will also utilize our management team’s operational and capital planning experience.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target that is affiliated with our sponsor, officers, or directors or making the initial business combination through a joint venture or other form of shared ownership with our sponsor, officers, or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we seek to complete our initial business combination with a target that is affiliated with our sponsor, officers, or directors, we, or a committee of independent directors, would obtain an opinion from an independent investment banking firm or another independent entity that commonly renders valuation opinions that such an initial business combination is fair to our company from a financial point of view.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Members of our management team will directly or indirectly own founder shares and/or private placement warrants following the IPO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then has fiduciary or contractual obligations, he or she will honor his or her fiduciary or contractual obligations to present such opportunity to such entity. We do not believe, however, that the fiduciary duties or contractual obligations of our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748030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directors will materially affect our ability to complete our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members of our management team have any obligation to present us with any opportunity for a potential business combination of which they become aware, unless presented to such members specifically in his or her capacity as an officer or a director of the company. Members of our management team may be required to present potential business combinations to other entities to whom they have fiduciary duties before they present such opportunities to us. Any knowledge or presentation of such opportunities may therefore present conflicts of interest In addition, each of our officers and directors may become an officer or director of other special purpose acquisition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the rules of NYSE, our initial business combination must occur with one or more target businesses that together have an aggregate fair market value of at least 80% of the value of the assets held in the trust account (excluding the amount of deferred underwriting discounts held in trust and net of taxes payable) at the time of our signing a definitive agreement in connection with our initial business combination. If our board of directors is not able to independently determine the fair market value of the target business or businesses, we will obtain an opinion from an independent investment banking firm that is a member of the Financial Industry Regulatory Authority (“FINRA”) or an independent valuation or appraisal firm with respect to satisfaction of such criteria. Our shareholders may not be provided with a copy of such opinion nor will they be able to rely on such opinion. We do not intend to purchase multiple businesses in unrelated industries in conjunction with our initial business combination. Subject to this requirement, our management will have virtually unrestricted flexibility in identifying and selecting one or more prospective businesses, although we will not be permitted to effectuate our initial business combination with another blank check company or a similar company with nominal operations. Additionally, pursuant to NYSE rules, any initial business combination must be approved by a majority of our independent directors.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share,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fair market value test. If the business combination involves more than one target business, the 80% of fair market value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a Public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stock or for a combination of shares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 incurred for marketing, road show and public reporting efforts that may not be present to the same extent in connection with a Business Combination with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prevent the offering from occurring. Once public, we believe the target business would then have greater access to capital and an additional means of providing management incentives consistent with stockholders’ interests. It can offer further benefits by augmenting a company’s profile among potential new customers and vendors and aid in attracting talented employees.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IPO Closing Date, (b) in which we have total annual gross revenue of at least $1.07 billion, or (c) in which we are deemed to be a large accelerated filer, which means the market value of our Ordinary shares that is held by non-affiliates exceeds $700 million as of the prior June 30th,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funds available for an initial business combination initially in the amount of $134,550,000 after payment of up to $4,830,000 of deferred underwriting fees, after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Effecting Our Initial 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the IPO offering. We intend to effectuate our initial business combination using cash from the proceeds of the IPO offering and the private placement of the private placement warrants, the proceeds of the sale of our shares in connection with our initial business combination (pursuant to forward purchase agreements or backstop agreements we may enter into following the consummation of the IPO offering or otherwise),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public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with enterprise values that are greater than we could acquire with the net proceeds of the IPO offering and the sale of the private placement warrants,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shareholder approval of such financing.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the IPO offering. At this time, we are not a party to any arrangement or understanding with any third party with respect to raising any additional funds through the sale of securities or otherwise. None of our sponsor, officers, directors or shareholders is required to provide any financing to us in connection with or after our initial business combination. Our amended and restated memorandum and articles of association provides that, following the IPO offering and prior to the consummation of our initial business combination, we will be prohibited from issuing additional securities that would entitle the holders thereof to (i) receive funds from the trust account or (ii) vote as a class with our public shares (a) on any initial business combination or (b) to approve an amendment to our amended and restated memorandum and articles of association to (x) extend the time we have to consummate a business combination beyond 18 months from the closing of the IPO offering or (y) amend the foregoing provisions, unless (in connection with any such amendment to our amended and restated memorandum and articles of association) we offer our public shareholders the opportunity to redeem their public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Target Businesses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bankers and investment professionals. Target businesses may be brought to our attention by such unaffiliated sources as a result of being solicited by us by calls or mailings. These sources may also introduce us to target businesses in which they think we may be interested on an unsolicited basis, since many of these sources will have read this annual report and know what types of businesses we are targeting. Our officers and directors, as well as our sponsor and its affiliates, may also bring to our attention target business candidates that they become aware of through their business contacts as a result of formal or informal inquiries or discussions they may have, as well as attending trade shows, conferences or conventions. In addition, we expect to receive a number of proprietary deal flow opportunities that would not otherwise necessarily be available to us as a result of the business relationships of our officers and directors and our sponsor and their respective industry and business contacts as well as their affiliates.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advisory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our sponsor or officers are affiliated, be paid any finder’s fee, reimbursement, consulting fee, monies in respect of any payment of a loan or other compensation by the Company prior to, or in connection with any services rendered for any services they render in order to effectuate, the completion of our initial business combination (regardless of the type of transaction that it is). Although none of our sponsor, executive officers or directors, or any of their respective affiliates, will be allowed to receive any compensation, finder’s fees or consulting fees from a prospective business combination target in connection with a contemplated initial business combination, we do not have a policy that prohibits our sponsor, executive officers or directors, or any of their respective affiliates, from negotiating for the reimbursement of out-of-pocket expenses by a target business. Commencing on the date of our IPO prospectus, we have agreed to pay our sponsor a total of $10,000 per month for office space, utilities and secretarial and administrative support. Upon completion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758825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initial business combination or our liquidation, we will cease paying these monthly fees. Some of our officers and directors may enter into employment or consulting agreements with the post-transaction company following our initial business combination. The presence or absence of any such fees or arrangements will not be used as a criterion in our selection process of an initial business combination candidate.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an initial business combination target that is affiliated with our sponsor, officers or directors or making the initial business combination through a joint venture or other form of shared ownership with our sponsor, officers or directors.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entity that commonly renders valuation opinions that such an initial business combination is fair to our company from a financial point of view.</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more fully discussed in the section of this annual report entitled “Management — Conflicts of Interest,” if any of our officers or directors becomes aware of an initial business combination opportunity that falls within the line of business of any entity to which he or she has then-existing fiduciary or contractual obligations, he or she may be required to present such business combination opportunity to such entity prior to presenting such business combination opportunity to us. Our officers and directors currently have certain relevant fiduciary duties or contractual obligations that may take priority over their duties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of a Target Business and Structuring of our Initial Business Combination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the rules of NYSE, our initial business combination must occur with one or more target businesses that together have an aggregate fair market value of at least 80% of the value of the assets held in the trust account (excluding the amount of deferred underwriting discounts held in trust and net of taxes payable)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M&amp;A transactions of comparable businesses. If our board of directors is not able to independently determine the fair market value of our initial business combination (including with the assistance of financial advisors),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NYSE’s 80% of fair market value test. There is no basis for investors in the IPO offering to evaluate the possible merits or risks of any target business with which we may complete our initial business combination.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evaluating a prospective business target, we expect to conduct a due diligence review, which may encompass, among other things, meetings with incumbent ownership, management and employees, document reviews, interviews of customers and suppliers, inspection of facilities, as well as a review of financial and other information that will be made available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Business Diversification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83" w:lineRule="exact"/>
        <w:rPr>
          <w:sz w:val="20"/>
          <w:szCs w:val="20"/>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Ability to Evaluate the Target’s Management Team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May Not Have the Ability to Approve Our Initial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conduct redemptions without a shareholder vote pursuant to the tender offer rules of the SEC. However, we will seek shareholder approval if it is required by law or applicable share exchange rule, or we may decide to seek shareholder approval for business or other legal reasons. Presented in the table below is a graphic explanation of the types of initial business combinations we may consider and whether shareholder approval is currently required under Cayman Islands law for each such transaction.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 of Transaction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Whether Shareholder Approval is Required</w:t>
            </w: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assets</w:t>
            </w:r>
          </w:p>
        </w:tc>
        <w:tc>
          <w:tcPr>
            <w:tcW w:w="20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share of target not involving a merger with the company</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of target into a subsidiary of the company</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of the company with a target</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NYSE’s listing rules, shareholder approval would be required for our initial business combination if,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Class A ordinary shares that will be equal to or in excess of 20% of the number of shares of our Class A ordinary shares then outstanding;</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or substantial shareholders (as defined by NYSE rules) has a 5% or greater interest (or such persons collectively have a 10% or greater interest), directly or indirectly, in the target business or assets to be acquired or otherwise and the present or potential issuance of ordinary shares could result in an increase in outstanding ordinary shares or voting power of 5% or more; or</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potential issuance of ordinary shares will result in our undergoing a change of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Permitted Purchases of Our Securities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public shares or public warrants in privately-negotiated transactions or in the open market either prior to or following the completion of our initial business combination. There is no limit on the number of shares or warrants our initial shareholders, directors, officers, advisors or their affiliates may purchase in such transactions, subject to compliance with applicable law and NYSE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to the consummation of the IPO offering, we will adopt an insider trading policy which will require insiders to:</w:t>
      </w:r>
    </w:p>
    <w:p>
      <w:pPr>
        <w:spacing w:after="0" w:line="27" w:lineRule="exact"/>
        <w:rPr>
          <w:sz w:val="20"/>
          <w:szCs w:val="20"/>
          <w:color w:val="auto"/>
        </w:rPr>
      </w:pPr>
    </w:p>
    <w:p>
      <w:pPr>
        <w:jc w:val="both"/>
        <w:ind w:firstLine="8"/>
        <w:spacing w:after="0" w:line="253" w:lineRule="auto"/>
        <w:tabs>
          <w:tab w:leader="none" w:pos="2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purchasing our securities during certain blackout periods when they are in possession of any material non-public information and (ii) clear all trades of company securities with a compliance officer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purpose of any such purchases of shares could be to vote such shares in favor of the initial business combination and thereby increase the likelihood of obtaining shareholder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sponsor, officers, directors and/or any of their affiliates anticipate that they may identify the shareholders with whom our sponsor, officers, directors or their affiliates may pursue privately-negotiated purchases by either the shareholders contacting us directly or by our receipt of redemption requests tendered by shareholders following our mailing of proxy materials in connection with our initial business combination. To the extent that our sponsor, officers, directors, advisors or their affiliates enter into a private purchase, they would identify and contact only potential selling shareholders who have expressed their election to redeem their shares for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share of the trust account or vote against our initial business combination, whether or not such shareholder has already submitted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with respect to our initial business combination. Such persons would select the shareholders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shareholder would receive if it elected to redeem its shares in connection with our initial business combination. Our sponsor, officers, directors,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751840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their affiliates will only purchase shares if such purchases comply with Regulation M under the Exchange Act and the other federal securities laws.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purchases by our sponsor, officers, directors and/or their affiliates who are affiliated purchasers under Rule 10b-18 under the Exchange Act will be made only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ordinary shares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 for Public Shareholders upon Completion of our Initial 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$10.10 per public share. The per-share amount we will distribute to investors who properly redeem their shares will not be reduced by deferred underwriting commissions we will pay to the underwriters.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Conducting Redemptions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public shares upon the completion of our initial business combination either (i) in connection with a shareholder meeting called to approve the initial business combination or (ii) without a shareholder vote by means of a tender offer. The decision as to whether we will seek shareholder approval of a proposed initial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share exchange listing requirements.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Asset acquisitions and share purchases would not typically require shareholder approval while direct mergers with our company where we do not survive and any transactions where we issue more than 20% of our outstanding ordinary shares or seek to amend our amended and restated memorandum and articles of association would require shareholder approval. So long as we obtain and maintain a listing for our securities on NYSE, we will be required to comply with NYSE’s shareholder approval rules.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requirement that we provide our public shareholders with the opportunity to redeem their public shares by one of the two methods listed above will be contained in provisions of our amended and restated memorandum and articles of association and will apply whether or not we maintain our registration under the Exchange Act or our listing on NYSE. Such provisions may be amended if approved by holders of 65% of our ordinary shares entitled to vote thereon.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provide our public shareholders with the opportunity to redeem their public shares in connection with a shareholder meeting, we will:</w:t>
      </w:r>
    </w:p>
    <w:p>
      <w:pPr>
        <w:spacing w:after="0" w:line="162" w:lineRule="exact"/>
        <w:rPr>
          <w:sz w:val="20"/>
          <w:szCs w:val="20"/>
          <w:color w:val="auto"/>
        </w:rPr>
      </w:pPr>
    </w:p>
    <w:p>
      <w:pPr>
        <w:ind w:left="680" w:right="2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a majority of the outstanding shares of ordinary shares voted are voted in favor of the initial business combination. A quorum for such meeting will consist of the holders present in person or by proxy of shares of outstanding capital share of the Company representing a majority of the voting power of all outstanding shares of capital share of the Company entitled to vote at such meeting. Our initial shareholders will count towards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quorum and, pursuant to the letter agreement, our sponsor, officers and directors have agreed to vote their founder shares and any public shares purchased during or after the IPO offering (including in open market and privately-negotiated transactions) in favor of our initial business combination. For purposes of seeking approval of the majority of our outstanding shares of ordinary shares voted, non-votes will have no effect on the approval of our initial business combination once a quorum is obtained. As a result of the agreement of our sponsor, officers and directors to vote their shares in favor of our initial business combination, we would need 4,500,001, or approximately 37.5% (assuming all issued and outstanding shares are voted and the over-allotment option is not exercised), or 750,001, or approximately 6.25% (assuming only the minimum number of shares representing a quorum are voted and no over-allotment option is exercised), of the 12,000,000 public shares sold in the IPO offering to be voted in favor of our initial business combination in order to have our initial business combination approved. We intend to give not less than 10 days’ nor more than 60 days’ prior written notice of any such meeting, if required, at which a vote shall be taken to approve our initial business combination. These quorum and voting thresholds, and the voting agreements of our initial shareholders, may make it more likely that we will consummate our initial business combination. Each public shareholder may elect to redeem its public shares irrespective of whether they vote for or against the proposed transaction or whether they were a shareholder on the record date for the shareholder meeting held to approve the proposed transaction.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 shareholder vote is not required and we do not decide to hold a shareholder vote for business or other legal reasons, we will:</w:t>
      </w:r>
    </w:p>
    <w:p>
      <w:pPr>
        <w:spacing w:after="0" w:line="225" w:lineRule="exact"/>
        <w:rPr>
          <w:sz w:val="20"/>
          <w:szCs w:val="20"/>
          <w:color w:val="auto"/>
        </w:rPr>
      </w:pPr>
    </w:p>
    <w:p>
      <w:pPr>
        <w:ind w:left="6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will only redeem our public shares so long as (after such redemption) our net tangible assets will be at least $5,000,001 either immediately prior to or upon consummation of our initial business combination and after payment of deferred underwriters’ fees and commissions (so that we are not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the initial business combination.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if we elect to conduct redemptions pursuant to the tender offer rules, we or our sponsor will terminate any plan established in accordance with Rule 10b5-1 to purchase shares of our Class A ordinary shares in the open market, in order to comply with Rule 14e-5 under the Exchange Act.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provides that we will only redeem our public shares so long as (after such redemption) our net tangible assets will be at least $5,000,001 either immediately prior to or upon consummation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initial business combination and after payment of deferred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Redemption upon Completion of our Initial Business Combination if we Seek Shareholder Approval</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the foregoing, 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the IPO offering, which we refer to as the “Excess Shares.” Such restriction shall also be applicable to our affiliates. We believe this restriction will discourage shareholders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shareholder holding more than an aggregate of 15% of the shares sold in the IPO offering could threaten to exercise its redemption rights if such holder’s shares are not purchased by us or our management at a premium to the then-current market price or on other undesirable terms. By limiting our shareholders’ ability to redeem no more than 15% of the shares sold in the IPO offering without our prior consent, we believe we will limit the ability of a small group of shareholders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Delivering Share Certificates in Connection with the Exercise of Redemption Rights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described above, 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Accordingly, a public shareholder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shareholder fails to comply with these or any other procedures disclosed in the proxy or tender offer materials, as applicable, its shares may not be redeemed. Given the relatively short exercise period, it is advisable for shareholders to use electronic delivery of their public shares.</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745490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our initial business combination is not approved or completed for any reason, then our public shareholders who elected to exercise their redemption rights would not be entitled to redeem their shares for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In such case, we will promptly return any certificates delivered by public holders who elected to redeem their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initial proposed initial business combination is not completed, we may continue to try to complete an initial business combination with a different target until 18 months from the closing of the IPO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Public Shares and Liquidation if no Initial Business Combination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provides that we will have only 18 months from the closing of the IPO offering to complete our initial business combination. If we are unable to complete our initial business combination within such 18-month period, we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18-month time period.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18 months from the closing of the IPO offering. However, if our sponsor, officers or directors acquire public shares in or after the IPO offering, they will be entitled to liquidating distributions from the trust account with respect to such public shares if we fail to complete our initial business combination within the allotted 18-month time period.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sponsor, officers and directors have agreed, pursuant to a written agreement with us, that they will not propose any amendment to our amended and restated memorandum and articles of association to (A) modify the substance or timing of our obligation to provide for the redemption of our public shares in connection with an initial business combination or to redeem 100% of our public shares if we do not complete our initial business combination within 18 months from the closing of the IPO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will only redeem our public shares so long as (after such redemption) our net tangible assets will be at least $5,000,001 either immediately prior to or upon consummation of our initial business combination and after payment of deferred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745490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 not required to pay taxes on interest income earned on the trust account balance, we may request the trustee to release to us an additional amount of up to $100,000 of such accrued interest to pay those costs and expenses.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were to expend all of the net proceeds of the IPO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$10.10.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$10.10. Under Section 281(b) of the Companies Act,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shareholders. While we intend to pay such amounts, if any, we cannot assure you that we will have funds sufficient to pay or provide for all creditors’ claims.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enter into an agreement waiving such claims to the monies held in the trust account, our management will consider whether competitive alternatives are reasonably available to the Company, and will only enter into an agreement with such third party if our management believes that such third party’s engagement would be in the best interests of the Company under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LLP, our independent registered public accounting firm, and the underwriters of the offering will not execute agreements with us waiving such claims to the monies held in the trust account.</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$10.10 per share initially held in the trust account, due to claims of such creditors. Pursuant to the letter agreement, the form of which is filed as Exhibit 10.1 to the registration statement of which this annual report forms a part,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$10.10 per public share and (ii) the actual amount per public share held in the trust account as of the date of the liquidation of the trust account, if less than $10.10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IPO offering against certain liabilities, including liabilities under the Securities Act. However, we have not asked our sponsor to reserve for such indemnification obligations, nor have we independently verified whether our sponsor has sufficient funds to satisfy their indemnity obligations, and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$10.10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(i) $10.10 per public share or (ii)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and believe that our sponsor’s only assets are securities of our company. Accordingly, we cannot assure you that due to claims of creditors the actual value of the per-share redemption price will not be less than $10.10 per public share.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the IPO offering against certain liabilities, including liabilities under the Securities Act. We will have access to up to approximately $1,000,000 from the proceeds of the IPO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$1,250,000,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$1,250,000, the amount of funds we intend to be held outside the trust account would increase by a corresponding amount.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the Companies Act, shareholders may be held liable for claims by third parties against a corporation to the extent of distributions received by them in a dissolution.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our trust account distributed to our public shareholders upon the redemption of our public shares in the event we do not complete our initial business combination within 18 months from the closing of the IPO offering may be considered a liquidating distribution under Cayman Islands law. If the corporation complies with certain procedures set forth in Section 280 of the Companies Act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shareholders, any liability of shareholders with respect to a liquidating distribution is limited to the lesser of such shareholder’s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claim or the amount distributed to the shareholder, and any liability of the shareholder would be barred after the third anniversary of the dissolution.</w:t>
      </w:r>
    </w:p>
    <w:p>
      <w:pPr>
        <w:spacing w:after="0" w:line="19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Furthermore, if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our trust account distributed to our public shareholders upon the redemption of our public shares in the event we do not complete our initial business combination within 18 months from the closing of the IPO offering, is not considered a liquidating distribution under Cayman Islands law and such redemption distribution is deemed to be unlawful (potentially due to the imposition of legal proceedings that a party may bring or due to other circumstances that are currently unknown), then pursuant to Section 174 of the Companies Act, the statute of limitations for claims of creditors could then be six years after the unlawful redemption distribution, instead of three years, as in the case of a liquidating distribution. If we are unable to complete our initial business combination within 18 months from the closing of the IPO offering, we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Accordingly, it is our intention to redeem our public shares as soon as reasonably possible following our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and, therefore, we do not intend to comply with those procedures. As such, our shareholders could potentially be liable for any claims to the extent of distributions received by them (but no more) and any liability of our shareholders may extend well beyond the third anniversary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751205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Because we will not be complying with Section 280, Section 281(b) of the Companies Act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$10.10 per public share or (ii) such lesser amount per public share held in the trust account as of the date of the liquidation of the trust account, due to reductions in value of the trust assets, in each case net of the amount of interest released to us to pay taxes and will not be liable as to any claims under our indemnity of the underwriters of the IPO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$10.10 per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public shareholders will be entitled to receive funds from the trust account only upon the earlier to occur of: (i) the completion of our initial business combination, (ii) the redemption of any public shares properly submitted in connection with a shareholder vote to amend any provisions of our amended and restated memorandum and articles of association to (A) modify the substance or timing of our obligation to provide for the redemption of our public shares in connection with an initial business combination or to redeem 100% of our public shares if we do not complete our initial business combination within 18 months from the closing of the IPO offering or (B) with respect to any other material provisions relating to shareholders’ rights or pre-initial business combination activity, and (iii) the redemption of all of our public shares if we are unable to complete our business combination within 18 months from the closing of the IPO offering, subject to applicable law. In no other circumstances will a shareholder have any right or interest of any kind to or in the trust account. In the event we seek shareholder approval in connection with our initial business combination, a shareholder’s voting in connection with the initial business combination alone will not result in a shareholder’s redeeming its shares to us for an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Such shareholder must have also exercised its redemption rights as described above. These provisions of our amended and restated memorandum and articles of association, like all provisions of our amended and restated memorandum and articles of association, may be amended with a shareholder vote.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Amended and Restated Memorandum and Articles of Association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filed under the laws of the Cayman Islands contain provisions designed to provide certain rights and protections to our shareholders prior to the consummation of a business combination. The following are the material rights and protections contained in our amended and restated memorandum and articles of association:</w:t>
      </w:r>
    </w:p>
    <w:p>
      <w:pPr>
        <w:spacing w:after="0" w:line="176" w:lineRule="exact"/>
        <w:rPr>
          <w:sz w:val="20"/>
          <w:szCs w:val="20"/>
          <w:color w:val="auto"/>
        </w:rPr>
      </w:pPr>
    </w:p>
    <w:p>
      <w:pPr>
        <w:ind w:left="680" w:right="2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public shareholders to exercise conversion rights and have their public shares redeemed in lieu of participating in a proposed business combination;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against completing a business combination unless we have net tangible assets of at least $5,000,001 upon consummation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if we seek shareholder approval of any business combination, an ordinary resolution under Cayman Islands law will be required to approve the business combination;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call general meetings on their own accord and are required to call an extraordinary general meeting if holders of not less than 10% in par value of the issued shares request such a meeting;</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prior to a business combination, against our issuing (i) any ordinary shares or any securities convertible into ordinary shares or (ii) any other securities (including preferred shares) which participate in or are otherwise entitled in any manner to any of the proceeds in the trust account or which vote as a class with the ordinary shares on a business combination;</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management take all actions necessary to liquidate our trust account in the event we do not consummate a business combination by 18 months from the consummation of the IPO offering;</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prior to a business combination, against our issuing (i) any ordinary shares or any securities convertible into ordinary shares or (ii) any other securities (including preferred shares) which participate in or are otherwise entitled in any manner to any of the proceeds in the trust account or which vote as a class with the ordinary shares on a business combination; and</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on shareholders’ rights to receive a portion of the trust account.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Act permits a company incorporated in the Cayman Islands to amend its memorandum and articles of association with the approval of the holders of at least two-thirds of such company’s outstanding ordinary shares.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convert their public shares in connection with any such vote. The foregoing is set forth in our amended and restated memorandum and articles of association and cannot be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competition from other entities having a business objective similar to ours, including other blank check companies, private equity groups and leveraged buyout funds, public companies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Affiliates of our management team may compete with us for business combination opportunities. If these entities decide to pursue any such opportunity, we may be precluded from procuring such opportunities. In addition, investment ideas generated within affiliates of our management team may be suitable for both us and for another entity and may be directed to such entity rather than to us. Members of our management team who are also employed by such entities have no obligation to present us with any opportunity for a potential business combination of which they become aware, unless presented to such member solely in his or her capacity as an officer of the company. Members of our management team, in their capacities as employees or principals of their affiliates or in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748030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endeavors, currently are required to present certain investment opportunities and potential business combinations to the various related entities described above, or third parties, before they present such opportunities to us.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or to entities that are not themselves in the business of engaging in business combinations.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should be aware of the following potential conflicts of interest:</w:t>
      </w:r>
    </w:p>
    <w:p>
      <w:pPr>
        <w:spacing w:after="0" w:line="225" w:lineRule="exact"/>
        <w:rPr>
          <w:sz w:val="20"/>
          <w:szCs w:val="20"/>
          <w:color w:val="auto"/>
        </w:rPr>
      </w:pPr>
    </w:p>
    <w:p>
      <w:pPr>
        <w:ind w:left="680" w:right="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shares beneficially owned by our sponsor, officers and directors will be released from escrow only if our initial business combination is successfully completed. Additionally, if we are unable to complete an initial business combination within the required time frame, our sponsor, our officers and directors will not be entitled to receive any amounts held in the trust account with respect to any of their insider shares or private warrants. Furthermore, our sponsor, JATT Ventures, LLP, has agreed that the private warrants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225" w:lineRule="exact"/>
        <w:rPr>
          <w:sz w:val="20"/>
          <w:szCs w:val="20"/>
          <w:color w:val="auto"/>
        </w:rPr>
      </w:pPr>
    </w:p>
    <w:p>
      <w:pPr>
        <w:ind w:left="660" w:hanging="41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believes to be in the best interests of the company as a whole;</w:t>
      </w:r>
    </w:p>
    <w:p>
      <w:pPr>
        <w:spacing w:after="0" w:line="225" w:lineRule="exact"/>
        <w:rPr>
          <w:sz w:val="20"/>
          <w:szCs w:val="20"/>
          <w:color w:val="auto"/>
        </w:rPr>
      </w:pPr>
    </w:p>
    <w:p>
      <w:pPr>
        <w:ind w:left="660" w:hanging="43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225" w:lineRule="exact"/>
        <w:rPr>
          <w:sz w:val="20"/>
          <w:szCs w:val="20"/>
          <w:color w:val="auto"/>
        </w:rPr>
      </w:pPr>
    </w:p>
    <w:p>
      <w:pPr>
        <w:ind w:left="660" w:hanging="46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225" w:lineRule="exact"/>
        <w:rPr>
          <w:rFonts w:ascii="Times New Roman" w:cs="Times New Roman" w:eastAsia="Times New Roman" w:hAnsi="Times New Roman"/>
          <w:sz w:val="18"/>
          <w:szCs w:val="18"/>
          <w:color w:val="auto"/>
        </w:rPr>
      </w:pPr>
    </w:p>
    <w:p>
      <w:pPr>
        <w:ind w:left="660" w:hanging="45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62" w:lineRule="exact"/>
        <w:rPr>
          <w:sz w:val="20"/>
          <w:szCs w:val="20"/>
          <w:color w:val="auto"/>
        </w:rPr>
      </w:pPr>
    </w:p>
    <w:p>
      <w:pPr>
        <w:ind w:left="660" w:hanging="43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3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Units, Ordinary shares and Warrants are registered under the Exchange Act and as a result we have reporting obligations, including the requirement that we file annual, quarterly and current reports with the SEC. The public may read and copy any materials we file with the SEC at the SEC’s Public Reference Room at 100 E Street, NE,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 The contents of this website are not incorporated into this filing. Further, our references to the uniform resource locator (“URL”) for this website are intended to be inactive textual references only.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or reconciled to, GAAP or IFRS, depending on the circumstances. We cannot assure you that any particular target business identified by us as a potential acquisition candidate may have the necessary financial statements. To the extent that this requirement cannot be met, we may not be able to acquire the proposed target business. While this may limit the pool of potential acquisition candidates, we do not believe that this limitation will be material.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be required to report our evaluation of our internal control over financial reporting for the fiscal year ending December 31, 2022 as required by the Sarbanes-Oxley Act. Only in the event we are deemed to be a large accelerated filer or an accelerated filer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words, an “emerging growth company” can delay the adoption of certain accounting standards until those standards would otherwise apply to private companies. We intend to take advantage of the benefits of this extended transition period.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IPO Closing Date, (b) in which we have total annual gross revenue of at least $1.07 billion, or (c) in which we are deemed to be a large accelerated filer, which means the market value of our Class A Ordinary shares that is held by non-affiliates exceeds $700 million as of the prior June 30th, and (2) the date on which we have issued more than $1.0 billion in non-convertible debt securities during the prior three-year period. References herein to “emerging growth company” shall have the meaning associated with it in the JOBS Act.</w:t>
      </w:r>
    </w:p>
    <w:p>
      <w:pPr>
        <w:spacing w:after="0" w:line="210" w:lineRule="exact"/>
        <w:rPr>
          <w:sz w:val="20"/>
          <w:szCs w:val="20"/>
          <w:color w:val="auto"/>
        </w:rPr>
      </w:pPr>
    </w:p>
    <w:p>
      <w:pPr>
        <w:ind w:left="34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010000"/>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in this annual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annual report may include, for example, statements about:</w:t>
      </w:r>
    </w:p>
    <w:p>
      <w:pPr>
        <w:spacing w:after="0" w:line="192"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 appropriate target business or businesses;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the performance of the prospective target business or businesses;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acquisition opportunities;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not held in the trust account or available to us from interest income on the trust account balance;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account not being subject to claims of third parties;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the IPO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our IPO prospectus entitled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000"/>
        </w:rPr>
        <w:t>ITEM 1B.</w:t>
      </w:r>
      <w:r>
        <w:rPr>
          <w:rFonts w:ascii="Times New Roman" w:cs="Times New Roman" w:eastAsia="Times New Roman" w:hAnsi="Times New Roman"/>
          <w:sz w:val="18"/>
          <w:szCs w:val="18"/>
          <w:b w:val="1"/>
          <w:bCs w:val="1"/>
          <w:color w:val="000000"/>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corporate offices are located c/o Maples Corporate Services Limited, PO Box 309, Ugland House, Grand Cayman, KY1-1104, Cayman Islands, and our telephone is +44 7706 732212.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maintain a business executive office at 51 New Cavendish Street, London, United Kingdom W1G 9TG. Our business office is provided to us by an affiliate of our Sponsor. The cost for this space is included in the $10,000 per month fee that we pay an affiliate of our Sponsor for office space, utilities, secretarial support and administrative services. We consider our office space adequate for our current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is any material legal proceeding threatened against us or any of our officers or directors in their corporate capacity.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Units began trading on the NYSE under the symbol “JATT.U” on July 14, 2021. On September 4, 2021, we announced that commencing September 4, 2021, holders of our Units could elect to separately trade the Class A Ordinary shares and Warrants included in the Units, or continue to trade the Units without separating them. On September 4, 2021, the Class A Ordinary shares and Warrants began trading on NYSE under the symbols “JATT” and “JATT.W,” respectively. Each whole Warrant entitles the holder to purchase one share of the Class A Ordinary shares at a price of $11.50 per share, subject to adjustment as described in our final IPO prospectus dated July 14, 2021 related to the IPO which was filed with the SEC. Warrants may only be exercised for a whole number of shares of Class A Ordinary shares and will become exercisable on the later of 30 days after the completion of our Business Combination or 12 months from the IPO Closing Date. Our Warrants expire five years after the completion of our Business Combination or earlier upon redemption or liquidation as described in “Item 1.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11, 2022, there was one holder of record of our Units, one holder of record of our separately traded shares of Class A Ordinary shares, one holder of record of our Class B Ordinary shares and two holders of our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Class A Ordinary shares or Class B Ordinary shares to date and do not intend to pay cash dividends prior to the completion of our Business Combination. The payment of cash dividends in the future will be dependent upon our revenues and earnings, if any, capital requirements and general financial condition subsequent to completion of our Business Combination. The payment of any cash dividends subsequent to our Business Combination will be within the discretion of our Board at such time. In addition, our Board is not currently contemplating and does not anticipate declaring any stock dividends in the foreseeable future.Further, if we incur any indebtedness in connection with our Business Combination, our ability to declare dividends may be limited by restrictive covenants we may agree to in connection therewith.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22, 2021, our Sponsor purchased 4,312,500 founder shares, which are Class B ordinary shares, for an aggregate purchase price of $25,000, or approximately $0.006 per share. On June 14, 2021, our sponsor effected a surrender of 862,500 founder shares to us for no consideration, resulting in a decrease in the total number of founder shares outstanding from 4,312,500 to 3,450,000.</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a private placement (the “Private Placement”) in which the Sponsor purchased 5,370,000 private warrants (the “Private Placement Warrants”) at a price of $1.00 per Private Placement Warrant, generating total proceeds of $5,370,000. Each Private Placement Warrant entitles the holder thereof to purchase one Ordinary Share for $11.50 per share and is subject to transfer restrictions. Upon the closing of the underwriters’ over-allotment option in full on July 19, 2021, an additional 540,000 Private Placement Warrants were purchased by the Sponsor at a price of $1.00 per warrant for a total of $540,000. As a result, a total of 5,910,000 Private Placement Warrants were purchased by the Sponsor for aggregate consideration of $5,910,000 in connection with the closing of the IPO and the closing of the over-allotment option.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sales of the above securities by us were exempt from registration under the Securities Act, in reliance on Section 4(a)(2) of the Securities Act as transactions by an issuer not involving a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Offerings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16, 2021, we consummated the IPO of 12,000,000 Units at a price of $10.00 per Unit, generating gross proceeds of $120,000,000. On July 16, 2021, simultaneously with the closing of the IPO, we consummated the sale of 5,370,000 Private Placement Warrants to our Sponsor at a price of $1.00 per warrant, generating gross proceeds of $5,370,000.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19, 2021, in connection with the underwriters’ exercise of their over-allotment option in full, the Company consummated the sale of an additional 1,800,000 Units, and the sale of an additional 540,000 Private Placement Warrants each at $1.00 per warrant, generating total gross proceeds of $18,540,000.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the Company received a total of $138,000,000 from the sale of the Units and $5,910,000 from the sale of the Private Placement Warrants, for total proceeds of $143,910,000.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deducting the underwriting discounts and commissions (excluding the Deferred Discount, which amount will be payable upon the consummation of our Business Combination, if consummated) and the estimated offering expenses, the total net proceeds from our IPO and the sale of the Private Placement Warrants were approximately $141,123,000 of which $139,380,000 (or $10.10 per share sold in the IPO) was placed in the Trust Account in the United States maintained by the Trustee.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incurred approximately $6,797,000 for costs and expenses related to the IPO, consisting of $2,760,000 in underwriting fees, $4,010,000 of deferred underwriting fees and approximately $27,000 of other IPO related costs, net of reimbursement from the underwriters. There has been no material change in the planned use of proceeds from our IPO as described in our final IPO prospectus dated July 13, 2021 which was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until January 16, 2023 to consummate our Business Combination (the “Combination Period”). If we are unable to complete a Business Combination within the Combination Period, we will: (i) cease all operations except for the purpose of winding up,</w:t>
      </w:r>
    </w:p>
    <w:p>
      <w:pPr>
        <w:jc w:val="both"/>
        <w:ind w:firstLine="8"/>
        <w:spacing w:after="0" w:line="251" w:lineRule="auto"/>
        <w:tabs>
          <w:tab w:leader="none" w:pos="2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100% of the outstanding public shares, at a per-share price, payable in cash, equal to the aggregate amount then on deposit in the Trust Account, including interest earned (net of taxes payable and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remaining stockholders and our Board, proceed to commence a voluntary liquidation and thereby a formal dissolution of the Company, subject in each case to its obligations to provide for claims of creditors and the requirements of applicable law.</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$139,380,000 was deposited in the Trust Account, and we had approximately $729,000 of unrestricted cash available to us for our activities in connection with identifying and conducting due diligence of a suitable Business Combination, and for general corporate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References to the “company,” “our,” “us” or “we” refer to JATT Acquisition Corp . The following discussion and analysis of the Company’s financial condition and results of operations should be read in conjunction with the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and Risk Factor Summary,” “Item 1.A. Risk Factors” and elsewhere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within the meaning of Section 27A of the Securities Act and Section 21E of the Securities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blank check company incorporated on March 10, 2021 in Cayman Islands and formed for the purpose of effecting a merger, capital stock exchange, asset acquisition, stock purchase, reorganization or similar business combination with one or more businesses. We intend to effectuate our Business Combination using cash from the proceeds of our IPO and the sale of the Private Placement Warrants that occurred simultaneously with the completion of our IPO, proceeds of the sale of our capital stock in connection with our initial business combination (pursuant to forward purchase agreements or backstop agreements we may enter into following the consummation of the IPO or otherwise), debt or a combination of cash, stock and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748030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Sponsor is JATT Ventures, L.P., a Cayman Islands exempted limited partnership. The registration statement for our Initial Public Offering was declared effective on July 13, 2021. On July 16, 2021, we consummated the Initial Public Offering of 12,000,000 units (the “Units” and, with respect to the Class A ordinary shares included in the Units being offered, the “Public Shares”), at $10.00 per Unit, generating gross proceeds of $120.0 million, and incurring offering costs of approximately $10.5 million (net of reimbursement from underwriter of $480,000), of which approximately $3.4 million was for deferred underwriting commissions, $4.7 million was incentives provided to Anchor Investors by the Sponsor, and approximately $685,000 were for offering costs allocated to derivate warrant liabilities. On July 19, 2021, the underwriters fully exercised their option and purchased 1,800,000 additional Units, generating gross proceeds of $18.0 million (the “Over-Allotment”), and incurring offering costs of $990,000, of which $630,000 was for deferred underwriting commissions, and approximately $62,000 was allocated to derivative warrant liabilities.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we consummated the Private Placement of 5,370,000 Private Placement Warrants, at a price of $1.00 per Private Placement Warrant to the Sponsor, generating proceeds of approximately $5.4 million. Concurrent with the consummation of the Over-Allotment on July 19, 2021, the Sponsor purchased 540,000 additional Private Placement Warrants, generating proceeds of $540,000 in the Second Private Placement.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on July 16, 2021, and the Over-Allotment and Second Private Placement on July 16, 2021, approximately $139.4 million ($10.10 per Unit) of the net proceeds of the Initial Public Offering and the Private Placement was placed in a Trust Account with Continental Stock Transfer &amp; Trust Company acting as trustee and invested in United States “government securities” within the meaning of Section 2(a)(16) of the Investment Company Act having a maturity of 185 days or less or in money market funds meeting certain conditions under Rule 2a-7 promulgated under Investment Company Act of 1940, as amended, (the “Investment Company Act”), which invest only in direct U.S. government treasury obligations, as determined by us, until the earlier of: (i) the completion of a Business Combination and (ii) the distribution of the Trust Account as described below.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unable to complete a Business Combination within 18 months from the closing of the Initial Public Offering, or January 16, 2023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the remaining shareholders and the board of directors, liquidate and dissolve, subject, in the case of clauses (ii) and (iii), our obligation under Cayman Islands law to provide for claims of creditors and in all cases subject to the other requirements of applicable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we had approximately $729,000 in its operating bank account and working capital of approximately $880,000.</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liquidity needs through December 31, 2021, were satisfied through the cash contribution of $25,000 from our Sponsor to purchase our Class B ordinary shares (“Founder Shares”), and a loan from our Sponsor of approximately $117,000 under a promissory note (the “Note”). We repaid the Note in full on July 21, 2021. Subsequent to the consummation of the Initial Public Offering, our liquidity has been satisfied through the net proceeds from the consummation of the Initial Public Offering and the Private Placement held outside of the Trust Account. In addition, in order to finance transaction costs in connection with a Business Combination, our Sponsor or an affiliate of our Sponsor, or certain of our officers and directors may, but are not obligated to, provide the Company working capital loans. As of December 31, 2021, there were no working capital loans outstanding.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Company’s mandatory liquidation date and the Company’s expected future cash flow needs, management has determined that the existing amount of working capital raises substantial doubt about the Company’s ability to continue as a going concern until the earlier of the consummation of the Business Combination or the date the Company is required to liquidate.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statements do not include any adjustment that might be necessary if the Company is unable to continue as a going concern.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Initial Business Combination. No adjustments have been made to the carrying amounts of assets or liabilities should the Company be required to liquidate after January 16, 2023. The financial statements do not include any adjustment that might be necessary if the Company is unable to continue as a going concern.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entire activity since inception up to December 31, 2021 related to our formation, the preparation for the Initial Public Offering, and since the closing of the Initial Public Offering, the search for a prospective initial Business Combination. We will not generate any operating revenues until after the completion of our initial Business Combination. We generate non-operating income in the form of investment income from the Trust Account. We will continue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derivative liabilities at each reporting period.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period from March 10 (inception) through December 31, 2021, we had net income of approximately $6.8 million, resulting from a non-operating gain of approximately $10.2 million from the change in fair value of the derivative warrant liabilities and an unrealized gain on investments held in Trust of approximately $19,000, partially offset by a non-operating loss of approximately $1.8 million for the fair value of warrants issued to our Sponsor in excess of the purchase price, a non-operating loss of approximately $747,000 for offering costs associated with our derivative warrant liabilities and approximately $889,000 in general and administrative costs, including approximately $168,000 of general and administrative expenses to a related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no obligations, assets or liabilities which would be considered off-balance sheet arrangements as of December 31, 2021. We did not participate in transactions that create relationships with unconsolidated entities or financial partnerships, often referred to as variable interest entities, which would have been established for the purpose of facilitating off-balance sheet arrangements. We had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have any long-term debt, capital lease obligations, operating lease obligations or long-term liabilities, other than the agreements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The holders of these securities are entitled to make up to three demands, excluding short form demands, that we register such securities. In addition, the holders have certain “piggy-back” registration rights with respect to registration statements filed subsequent to the completion of the initial Business Combination. We will bear the expenses incurred in connection with the filing of any such registration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granted the underwriter a 45-day option from the date of the Initial Public Offering to purchase up to 1,800,000 additional Units at the Initial Public Offering price less the underwriting discounts and commissions. The underwriter fully exercised its over-allotment option on 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underwriter was paid an underwriting discount of $0.20 per unit, or approximately $2.4 million in the aggregate upon the closing of the Initial Public Offering. In addition, we received a reimbursement from the underwriter of $480,000 to cover for certain offering expenses.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$0.35 per unit, or approximately $3.4 million in the aggregate (net of the reimbursement from the underwriter of $820,000 from the deferred commissions for business combination expenses) will be payable to the underwriter for deferred underwriting commissions. The deferred fee will become payable to the underwriter from the amounts held in the Trust Account solely in the event that that we complete a Business Combination, subject to the terms of the underwriting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Over-Allotment on July 19, 2021, the underwriter was paid an additional fee of $360,000 and an additional amount of $630,000 is payable in deferred underwriting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 and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agreed to pay our Sponsor a total of $10,000 per month, commencing on the date of listing on the NYSE, for office space, utilities, secretarial and administrative support services provided to members of the management team. Upon completion of the initial Business Combination or our liquidation, we will cease paying these monthly fees. For the period from March 10, 2021 (inception) through December 31, 2021, we incurred approximately $55,000 in such fees, included as general and administrative expenses on the statement of operations. Approximately $18,000 has been included for such services and is included as due from related party on the accompanying balance sheet.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affiliate of our Sponsor and CFO provides office space and consulting services to us. For the period from March 10, 2021 (inception) through December 31, 2021, the Company incurred fees of $113,000, included as general and administrative fees – related party on the statement of operations. There is no balance due for these services as of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5, 2021, we entered into Forward Purchase Agreements with certain of our Anchor Investors, Athanor Master Fund LP (“AMF”) and with Athanor International Master Fund, LP (“AIF”) (collectively the “Forward Purchase Agreements”, and collectively, “AMF and AIF are “Purchasers”).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Forward Purchase Agreements, we were to issue and sell to the Purchasers, and the Purchasers were to purchase from us, an aggregate of 7,500,000 forward purchase shares, or “Forward Purchase Shares”, for a purchase price of $10.00 per Forward Purchase Share, or $75,000,000 in the aggregate. Each Forward Purchase Share will consist of one Class A ordinary share of the Company. The Class A ordinary shares would have the same terms as the Company’s publicly traded Class A ordinary shares but will be restricted securities and not be freely tradable until registered with the Securities and Exchange Commission (SEC”).</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2022, we amended the Forward Purchase Agreements (“Amended Forward Purchase Agreements”) to: 1) reduce the number of forward purchase shares from an aggregate of 7,500,000 to 3,000,000 and from a total $75,000,000 in the aggregate to $30,000,000 in the aggregate; and 2) to add a requirement for the Purchasers to provide a binding redemption backstop (the “Redemption Backstop”) to purchase an additional $15 million of redeeming shareholders in the event that redemptions are greater than 90% in connection with a Business Combination (the “Excess Redemptions”); and 3) to add a requirement that at the time of entering into a binding agreement for the Business Combination, the Purchasers will directly provide the target merger company (Target”) with bridge financing of $30 million evidenced by a convertible promissory note (“Convertible Note”) which shall be convertible into the our Class A ordinary shares at the closing of the Business Combination. For more information, the full text of the Amended Forward Purchase Agreements are included as Exhibit 10.1 to this Annual Report on Form 10-K for the period ended December 31,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U.S. GAAP. The preparation of these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745490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our critical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all of our financial instruments, including issued share purchase warrants, to determine if such instruments are derivatives or contain features that qualify as embedded derivatives, in accordance with the Financial Accounting Standards Board’s (“FASB”) Accounting Standards Codification (“ASC”) Topic 480 “Distinguishing Liabilities from Equity”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warrants issued in connection with the Initial Public Offering (the “Public Warrants”) and the Private Placement Warrants are recognized as derivative liabilities in accordance with ASC 815.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the Public Warrants and the Private Placement Warrants were initially measured at fair value using a Monte Carlo simulation and a Black Scholes option pricing model, respectively. The fair value of the Private Placement Warrants continues to be measured using a Black-Scholes option pricing model. The fair value of the Public Warrants were subsequently measured at their listed trading price since they began to be separately listed and traded beginning in September 2021. Derivative warrant liabilities are classified as non-current liabilities as their liquidation will not be reasonably expected to require the use of current assets or require the creation of current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comply with accounting and disclosure requirements of FASB ASC Topic 260, “Earnings Per Share.” The Company has two classes of shares, which are referred to as Class A ordinary shares and Class B ordinary shares. Income and losses are shared pro rata between the two classes of shares. Net income (loss) per ordinary share is calculated by dividing the net income (loss) by the weighted average ordinary shares outstanding for the respective period.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calculation of diluted net income per share does not consider the effect of the warrants issued in connection with the Initial Public Offering (including exercise of the over-allotment option) and the Private Placement to purchase an aggregate of 12,810,000 ordinary shares because their exercise is contingent upon future events. The number of weighted average Class B ordinary shares for calculating basic net income per ordinary share was reduced for the effect of an aggregate of 450,000 Class B ordinary shares that were subject to forfeiture if the over-allotment option was not exercised in full or part by the underwriters. Since the contingency was satisfied as of December 31, 2021, the Company included these shares in the weighted average number as of the beginning of the period to determine the dilutive impact of these shares. Fair value adjustment associated with the redeemable Class A ordinary shares is excluded from earnings per share as the redemption value approximates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account for our Class A ordinary shares subject to possible redemption in accordance with the guidance in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Our Class A ordinary shares feature certain redemption rights that are considered to be outside of our control and subject to the occurrence of uncertain future events. As of December 31, 2021, 13,800,000 shares of Class A ordinary shares are subject to possible redemption and are presented at redemption value as temporary equity, outside of the shareholders’ equity section of our balance sheets.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the Class A ordinary shares subject to possible redemption to equal the redemption value at the end of each reporting period. Effective with the closing of the Initial Public Offering (including exercise of the over-allotment option), we recognized the fair value adjustment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initial book value to redemption amount, which resulted in charges against additional paid-in capital (to the extent available) and accumulated deficit.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We adopted ASU 2020-06 on March 10, 2021 (inception). Adoption of the ASU did not impact our financial position, results of operations or 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8.CONSOLIDATED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information appears following Item 15 of this Report and is included herein by reference.</w:t>
      </w:r>
    </w:p>
    <w:p>
      <w:pPr>
        <w:spacing w:after="0" w:line="221"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ITEM 9.CHANGES IN AND DISAGREEMENTS WITH ACCOUNTANTS ON ACCOUNTING AND FINANCIAL DISCLOSURE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as required by Rules 13a-15 and 15d-15 under the Exchange Act, our Chief Executive Officer and Chief Financial Officer carried out an evaluation of the effectiveness of the design and operation of our disclosure controls and procedures. Based upon their evaluation, our Chief Executive Officer and Chief Financial Officer concluded that our disclosure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procedures (as defined in Rules 13a-15(e) and 15d-15(e) under the Exchange Act) were not effective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financial instruments issued by us was not effectively designed or maintained. In light of this material weakness, we performed additional analysis as deemed necessary to ensure that our financial statements were prepared in accordance with GAAP. Accordingly, management believes that the financial statements included in this Annual Report on Form 10-K present fairly in all material respects our financial position, results of operations and cash flows for the period presented.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except for the below.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Chief Executive Officer and Chief Financial Officer performed additional accounting and financial analyses and other post-closing procedures including consulting with subject matter experts related to the accounting for certain complex financial instruments. The Company’s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 The elements of our remediation plan can only be accomplished over time, and we can offer no assurance that these initiatives will ultimately have the intended effects.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1045845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right="3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10. DIRECTORS, EXECUTIVE OFFICERS &amp; CORPORATE GOVERNANCE </w:t>
      </w:r>
      <w:r>
        <w:rPr>
          <w:rFonts w:ascii="Times New Roman" w:cs="Times New Roman" w:eastAsia="Times New Roman" w:hAnsi="Times New Roman"/>
          <w:sz w:val="18"/>
          <w:szCs w:val="18"/>
          <w:b w:val="1"/>
          <w:bCs w:val="1"/>
          <w:i w:val="1"/>
          <w:iCs w:val="1"/>
          <w:color w:val="auto"/>
        </w:rPr>
        <w:t>Our current directors and executive officers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0" w:type="dxa"/>
            <w:vAlign w:val="bottom"/>
          </w:tcPr>
          <w:p>
            <w:pPr>
              <w:spacing w:after="0"/>
              <w:rPr>
                <w:sz w:val="16"/>
                <w:szCs w:val="16"/>
                <w:color w:val="auto"/>
              </w:rPr>
            </w:pPr>
          </w:p>
        </w:tc>
        <w:tc>
          <w:tcPr>
            <w:tcW w:w="2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Someit Sidhu, MD</w:t>
            </w:r>
          </w:p>
        </w:tc>
        <w:tc>
          <w:tcPr>
            <w:tcW w:w="16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32</w:t>
            </w:r>
          </w:p>
        </w:tc>
        <w:tc>
          <w:tcPr>
            <w:tcW w:w="16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Tauhid Ali, PhD,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Operating Officer and Director</w:t>
            </w:r>
          </w:p>
        </w:tc>
      </w:tr>
      <w:tr>
        <w:trPr>
          <w:trHeight w:val="216"/>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Verender S. Badial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Arnout Ploos van Amstel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Javier Cote-Sierra, PhD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Graeme Sloan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Yuan-Hua Ding, PhD</w:t>
            </w:r>
          </w:p>
        </w:tc>
        <w:tc>
          <w:tcPr>
            <w:tcW w:w="1680" w:type="dxa"/>
            <w:vAlign w:val="bottom"/>
          </w:tcPr>
          <w:p>
            <w:pPr>
              <w:spacing w:after="0"/>
              <w:rPr>
                <w:sz w:val="20"/>
                <w:szCs w:val="20"/>
                <w:color w:val="auto"/>
              </w:rPr>
            </w:pPr>
          </w:p>
        </w:tc>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Advisor</w:t>
            </w: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Someit Sidhu, </w:t>
      </w:r>
      <w:r>
        <w:rPr>
          <w:rFonts w:ascii="Times New Roman" w:cs="Times New Roman" w:eastAsia="Times New Roman" w:hAnsi="Times New Roman"/>
          <w:sz w:val="18"/>
          <w:szCs w:val="18"/>
          <w:color w:val="auto"/>
        </w:rPr>
        <w:t>our Chief Executive Officer and Director, is the Co-Founder and has been the CEO of Akaza Bioscience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2019 and the CEO of Izana Bioscience since 2017 as well as the Co-Founder of Pathios Therapeutics. Dr. Sidhu has broad expertise covering various topics in the life sciences industry. Prior to these companies, he advised many large international pharmaceutical companies as a management consultant at McKinsey &amp; Co, where he primarily focused on Pharmaceutical R&amp;D and Portfolio Strategy. Dr. Sidhu gained medical experience during his time in Cardiology and General Surgery after graduating from the Oxford Medical School.</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Tauhid Ali, PhD</w:t>
      </w:r>
      <w:r>
        <w:rPr>
          <w:rFonts w:ascii="Times New Roman" w:cs="Times New Roman" w:eastAsia="Times New Roman" w:hAnsi="Times New Roman"/>
          <w:sz w:val="18"/>
          <w:szCs w:val="18"/>
          <w:color w:val="auto"/>
        </w:rPr>
        <w:t>, our Chief Operating Officer and Director, has more than 25 years international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biopharmaceutical industry. Dr. Ali has broad management and leadership experience in translational research, corporate strategy, and global project leadership. He has been the Executive Vice President of Translational &amp; Clinical Science at Cambrian Biopharma, a biotech venture capital holding company, since April 2020. Prior to that, he served as Vice President of Search &amp; Translational Science (Rare Diseases Therapy Area Unit) at Takeda Pharmaceuticals from 2014 to 2019 and founded as well as led TAKcelerator™, a virtual rare disease biotech unit within Takeda with a novel operating model. Within its first two years, TAKcelerator™ launched three new companies and executed multiple out-licenses and partnerships. Dr. Ali has previously worked with several companies in the pharmaceuticals and biotechnology space including UCB Pharma, Ipsen Group, and Shire Pharmaceuticals. He has a PhD from Cardiff University and a Master of Sciences in Clinical Sciences from the Welsh School of Pharmacy.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Verender S. Badial, </w:t>
      </w:r>
      <w:r>
        <w:rPr>
          <w:rFonts w:ascii="Times New Roman" w:cs="Times New Roman" w:eastAsia="Times New Roman" w:hAnsi="Times New Roman"/>
          <w:sz w:val="18"/>
          <w:szCs w:val="18"/>
          <w:color w:val="auto"/>
        </w:rPr>
        <w:t>our Chief Financial Officer, has more than 20 years of experience as an investment banker and is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of Cryfield Investments, which he founded in 2015 and is responsible for the corporate finance services and capital fundraising activities. Between 1997 and 2015, Mr. Badial held executive functions in the Equity Capital Markets departments of Rothschild (ABN AMRO) and Societe Generale, allowing him to leverage rich experience in structuring and executing equity capital markets transactions as well as building up an extensive network. Mr. Badial also held the role of Managing Director with Rothschild (ABN AMRO) and Societe Generale within the investment banks and is experienced in both buy- and sell-side advisory transactions incorporating leveraged and structured equity and debt finance solutions with a key focus on financial sponsor portfolios in pharma and healthcare. Mr. Badial brings unique capabilities for the target identification and business combination processes based on his expertise from acquiring and funding numerous corporates, raising capital for M&amp;A and IPOs coupled with significant expertise in analyzing potential financial or management improvements to operational businesses. Mr. Badial graduated with an honor’s degree from the London School of Economics &amp; Political Science.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directors and advisors bring with them an exceptional expertise in the life sciences sector combining to more than 110 years of experience in holding positions at industry leading companies, and/or from investing, evaluating and acquiring companies and/or assets in the space: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Arnout Ploos van Amstel, </w:t>
      </w:r>
      <w:r>
        <w:rPr>
          <w:rFonts w:ascii="Times New Roman" w:cs="Times New Roman" w:eastAsia="Times New Roman" w:hAnsi="Times New Roman"/>
          <w:sz w:val="18"/>
          <w:szCs w:val="18"/>
          <w:color w:val="auto"/>
        </w:rPr>
        <w:t>a director, has more than 30 years of experience in life sciences and biotechnology within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positions and has extensive capabilities in drug development processes. He is co-Founder of MoonLake Immuntherapeutics AG. Before, he served as SVP, Head and General Manager of Global Business Franchise Immunology Hepatology &amp; Dermatology at Novartis in Switzerland, a $5bn revenue business unit where he was responsible for assets from early clinical development to late-stage commercialization and built a leading immunology/liver pipeline. Prior to that, he held the position of SVP &amp; General Manager for the Hospital business of Wyeth Pharmaceuticals in the U.S., where he led the integration workstream for the Hospital businesses of Wyeth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746760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Pfizer in the context of the acquisition. Mr. Ploos van Amstel graduated in Business Economics at the University of Groningen in Netherlands.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Javier Cote-Sierra, PhD</w:t>
      </w:r>
      <w:r>
        <w:rPr>
          <w:rFonts w:ascii="Times New Roman" w:cs="Times New Roman" w:eastAsia="Times New Roman" w:hAnsi="Times New Roman"/>
          <w:sz w:val="18"/>
          <w:szCs w:val="18"/>
          <w:color w:val="auto"/>
        </w:rPr>
        <w:t>, a director, is Co-Founder &amp; CSO of Allianthera Biopharma (ATB) and has extensive expertise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entire process of drug discovery and development. Before co-founding ATB in December 2020, he served as the Head of Inflammation &amp; Immunology External Innovation at Sanofi Genzyme from 2018 to 2020, overseeing, amongst others, various research collaborations and in-licensing deals. Additionally, he led the evaluations and investments of multiple key assets and companies. Prior to his role at Sanofi Genzyme, Dr. Cote-Sierra was Senior Director for External R&amp;D Innovation, Inflammation &amp; Immunology at Pfizer from 2015 to 2017. Over his career in the life sciences industry, he held various roles at several pharmaceutical companies including GlaxoSmithKline (Stiefel), Hoffman-la Roche and Millennium Pharmaceuticals before its acquisition by Takeda. Dr. Cote-Sierra received his PhD in Immunology and a master’s degree in Molecular Biology from the Free University of Brussels.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Graeme Sloan, </w:t>
      </w:r>
      <w:r>
        <w:rPr>
          <w:rFonts w:ascii="Times New Roman" w:cs="Times New Roman" w:eastAsia="Times New Roman" w:hAnsi="Times New Roman"/>
          <w:sz w:val="18"/>
          <w:szCs w:val="18"/>
          <w:color w:val="auto"/>
        </w:rPr>
        <w:t>a director, is an experienced corporate lawyer with over 30 years of experience including extensive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mergers and acquisitions and complex deal structuring. In the past, he served as global M&amp;A co-chair at the prominent law firms of Latham &amp; Watkins (where he was a partner from 2006 to 2015) and Morrison &amp; Foerster (where he was a partner from 2015 to 2020) before founding Sloan Legal in 2020. Mr. Sloan has a wealth of expertise advising on and project managing public and private M&amp;A transactions, private equity deals, corporate finance transactions as well as joint ventures. He frequently advises on cross-border transactions and his experience spans a wide range of sectors, including life sciences and healthcare, technology, energy, and financial services. Mr. Sloan received his honor’s degree in law from the University of Glasgow and his Diploma in Legal Practice from the University of Edinburgh.</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Yuan-Hua Ding, PhD</w:t>
      </w:r>
      <w:r>
        <w:rPr>
          <w:rFonts w:ascii="Times New Roman" w:cs="Times New Roman" w:eastAsia="Times New Roman" w:hAnsi="Times New Roman"/>
          <w:sz w:val="18"/>
          <w:szCs w:val="18"/>
          <w:color w:val="auto"/>
        </w:rPr>
        <w:t>, an advisor, brings strong drug discovery capabilities and experience in identifying and translating novel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and target ideas into quality R&amp;D programs. He co-founded Allianthera Biopharma and is currently serving as CEO, and has been serving as CEO at the BayRay Innovation Center since June 2020. Until May 2020, he served as the Head of Asia Discovery Labs at Pfizer, where he held several senior leadership positions since joining in 1999. Dr. Ding is currently advisor to the Bohe Angel Fund, a member of Bayhelix Group, Chinese Business Leaders in Life Sciences, and founder as well as a board member of the New England Structural Biology Association. He also was a member of the board of directors at DL Medicine until June 2020. Dr. Ding holds a PhD in Biochemistry from the University of Pittsburgh and a Master’s degree in Biophysics from the Tsinghua University in Beijing.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two classes with only one class of directors being elected in each year and each class (except for those directors appointed prior to our first general meeting of shareholders) serving a two-year term. In accordance with NYSE corporate governance requirements, we are not required to hold a general meeting until one full year after our first fiscal year end following our listing on NYSE.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of office of the first class of directors, consisting of Messrs. Ploos van Amstel, Cote-Sierra and Sloan, will expire at our first general meeting of shareholders. The term of office of the second class of directors, consisting of Doctor Sidhu, will expire at the second general meeting of shareholders.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President, Vice Presidents, Secretary, Treasurer, Assistant Secretaries and such other offices as may be determined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NYSE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Graeme Sloan, Arnout Ploos van Amstel and Javier Cote-Sierra, PhD are “independent directors” as defined in NYSE listing standards and applicable SEC rules. Our independent directors will have regularly scheduled meetings at which only independent directors are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748030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 and Director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Commencing on the date of the IPO, we agreed to pay an affiliate of our sponsor a total of $10,000 per month for office space, utilities and secretarial and administrative support. Upon completion of our initial business combination or our liquidation, we will cease paying these monthly fees. In addition, we may pay our sponsor or any of our existing officers or directors, or any entity with which they are affiliated, a finder’s fee, consulting fee or other compensation in connection with identifying, investigating and completing our initial business combination. These individuals will also be reimbursed for any out of 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fees and expenses and the amount of expenses that will be reimbursed. Any such payments prior to an initial business combination will be made using funds held outside the trust account. Other than quarterly audit committee review of such payments, we do not expect to have any additional controls in place governing our payments and reimbursements to our directors and executive officers for their out-of-pocket expenses incurred in connection with identifying and consummating an initial business combination.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documents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two standing committees: an audit committee and a compensation committee. Subject to phase-in rules and a limited exception, NYSE rules and Rule 10A-3 of the Exchange Act require that the audit committee of a listed company be comprised solely of independent directors, and NYSE rules require that the compensation committee of a listed company each be comprised solely of independent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an audit committee of our board of directors. Messrs. Sloan, Ploos van Amstel and Cote-Sierra serve as members of our audit committee, and Mr. Ploos van Amstel is the chair the audit committee. Under NYSE listing standards and applicable SEC rules, we are required to have at least three members of the audit committee, all of whom must be independent. Each of Messrs. Sloan, Ploos van Amstel and Cote-Sierra meet the independent director standard under NYSE listing standards and under Rule 10-A-3(b)(1) of the Exchange Act. Each member of the audit committee is financially literate and our board of directors has determined that Mr. Ploos van Amstel qualifies as an “audit committee financial expert” as defined in applicable SEC rules.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adopted an audit committee charter, which details the principal functions of the audit committee, including:</w:t>
      </w:r>
    </w:p>
    <w:p>
      <w:pPr>
        <w:spacing w:after="0" w:line="225" w:lineRule="exact"/>
        <w:rPr>
          <w:sz w:val="20"/>
          <w:szCs w:val="20"/>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replacement, and oversight of the work of the independent registered public accounting firm engaged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permitted non-audit services to be provided by the independent registered public accounting firm engaged by us, and establishing pre-approval policies and procedures;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187"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 required to be disclosed pursuant to Item 404 of Regulation S-K promulgated by the SEC prior to us entering into such transaction; and</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 compensation committee of our board of directors. Messrs. Sloan, Ploos van Amstel and Cote-Sierra serve as members of our compensation committee. Under NYSE listing standards and applicable SEC rules, we are required to have at least two members of the compensation committee, all of whom must be independent. Mr. Sloan chairs the compensation committee.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adopted a compensation committee charter, which details the principal functions of the compensation committee, including:</w:t>
      </w:r>
    </w:p>
    <w:p>
      <w:pPr>
        <w:spacing w:after="0" w:line="162" w:lineRule="exact"/>
        <w:rPr>
          <w:sz w:val="20"/>
          <w:szCs w:val="20"/>
          <w:color w:val="auto"/>
        </w:rPr>
      </w:pP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compensation, if any is paid by us, of all of our other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annual basis our executive compensation policies and plans;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Commencing on the date of our IPO, we agreed to pay an affiliate of our sponsor a total of $10,000 per month for office space, utilities and secretarial and administrative support. Upon completion of our initial business combination or our liquidation, we will cease paying these monthly fees. In addition, we may pay our sponsor or any of our existing officers or directors, or any entity with which they are affiliated, a finder’s fee, consulting fee or other compensation in connection with identifying, investigating and completing our initial business combination. These individuals will also be reimbursed for any out of 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fees and expenses and the amount of expenses that will be reimbursed. Any such payments prior to an initial business combination will be made using funds held outside the trust account. Other than quarterly audit committee review of such payments, we do not expect to have any additional controls in place governing our payments and reimbursements to our directors and executive officers for their out-of-pocket expenses incurred in connection with identifying and consummating an initial business combination.</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NYSE and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a nominating and corporate governance committee of the board of directors Messrs. Sloan, Ploos van Amstel and Cote-Sierra will serve as members of this committee. Under NYSE listing standards and applicable SEC rules, all the directors on this committee must be independent. Our board of directors has determined that each of Messrs. Sloan, Ploos van Amstel and Cote-Sierra are independent under NYSE listing standards and applicable SEC rules. Dr. Cote-Sierra serves as chair of the committee.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overseeing the selection of persons to be nominated to serve on our board of directors. The committee considers persons identified by its members, management, shareholders, investment bankers and others.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will be specified in a charter to be adopted by us, generally will provide that persons to be nominated:</w:t>
      </w:r>
    </w:p>
    <w:p>
      <w:pPr>
        <w:spacing w:after="0" w:line="162"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shareholders.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will consider a number of qualifications relating to management and leadership experience, background and integrity and professionalism in evaluating a person’s candidacy for membership on the board of directors. The committee may require certain skills or attributes, such as financial or accounting experience, to meet specific board needs that arise from time to time and will also consider the overall experience and makeup of its members to obtain a broad and diverse mix of board members.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will also consider director candidates recommended for nomination by our shareholders during such times as they are seeking proposed nominees to stand for election at the next general meeting of shareholders (or, if applicable, a special meeting of shareholders). Our shareholders that wish to nominate a director for election to our board of directors should follow the procedures set forth in our bylaws. The committee does not distinguish among nominees recommended by shareholders and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745490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standing nominating committee, though we have formed a corporate governance and nominating committee as required to do so by law or NYSE rules. In accordance with Rule 5605(e)(2) of the NYSE rules, a majority of the independent directors may recommend a director nominee for selection by the Board. The Board believes that the independent directors can satisfactorily carry out the responsibility of properly selecting or approving director nominees without the formation of a standing nominating committee. As there is no standing nominating committee, we do not have a nominating committee charter in place.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the board of directors should follow the procedures set forth in our bylaws.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the Board considers educational background, diversity of professional experience, knowledge of our business, integrity, professional reputation, independence, wisdom, and the ability to represent the best interests of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None of our officers currently serves, or in the past year has served, as a member of the Board or compensation committee of any entity that has one or more executive officers serving on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 Based solely upon a review of such Forms, we believe that during the year ended December 31, 2021 there were no delinquent filers.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Ethics applicable to our directors, officers and employees.. You are able to review these documents by accessing our public filings at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 copy of the Code of Ethics will be provided without charge upon request from us. We intend to disclose any amendments to or waivers of certain provisions of our Code of Ethics in a Current Report on Form 8-K. See the section of this annual report entitled “Where You Can Find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Affiliates of our management team may compete with us for business combination opportunities. If these entities decide to pursue any such opportunity, we may be precluded from procuring such opportunities. In addition, investment ideas generated within affiliates of our management team may be suitable for both us and for another entity and may be directed to such entity rather than to us. Members of our management team who are also employed by such entities have no obligation to present us with any opportunity for a potential business combination of which they become aware, unless presented to such member solely in his or her capacity as an officer of the company. Members of our management team, in their capacities as employees or principals of their affiliates or in their other endeavors, currently are required to present certain investment opportunities and potential business combinations to the various related entities described above, or third parties, before they present such opportunities to us.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any such opportunities presented would be smaller than what we are interested in, or to entities that are not themselves in the business of engaging in business combinations.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Investors should be aware of the following potential conflicts of interest:</w:t>
      </w:r>
    </w:p>
    <w:p>
      <w:pPr>
        <w:spacing w:after="0" w:line="225" w:lineRule="exact"/>
        <w:rPr>
          <w:sz w:val="20"/>
          <w:szCs w:val="20"/>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shares beneficially owned by our sponsor, officers and directors will be released from escrow only if our initial business combination is successfully completed. Additionally, if we are unable to complete an initial business combination within the required time frame, our sponsor, our officers and directors will not be entitled to receive any amounts held in the trust account with respect to any of their insider shares or private warrants. Furthermore, our sponsor, JATT Ventures, LLP, has agreed that the private warrants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225" w:lineRule="exact"/>
        <w:rPr>
          <w:sz w:val="20"/>
          <w:szCs w:val="20"/>
          <w:color w:val="auto"/>
        </w:rPr>
      </w:pPr>
    </w:p>
    <w:p>
      <w:pPr>
        <w:ind w:left="660" w:hanging="413"/>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believes to be in the best interests of the company as a whole;</w:t>
      </w:r>
    </w:p>
    <w:p>
      <w:pPr>
        <w:spacing w:after="0" w:line="225" w:lineRule="exact"/>
        <w:rPr>
          <w:sz w:val="20"/>
          <w:szCs w:val="20"/>
          <w:color w:val="auto"/>
        </w:rPr>
      </w:pPr>
    </w:p>
    <w:p>
      <w:pPr>
        <w:ind w:left="660" w:hanging="43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225" w:lineRule="exact"/>
        <w:rPr>
          <w:sz w:val="20"/>
          <w:szCs w:val="20"/>
          <w:color w:val="auto"/>
        </w:rPr>
      </w:pPr>
    </w:p>
    <w:p>
      <w:pPr>
        <w:ind w:left="660" w:hanging="463"/>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225" w:lineRule="exact"/>
        <w:rPr>
          <w:rFonts w:ascii="Times New Roman" w:cs="Times New Roman" w:eastAsia="Times New Roman" w:hAnsi="Times New Roman"/>
          <w:sz w:val="18"/>
          <w:szCs w:val="18"/>
          <w:color w:val="auto"/>
        </w:rPr>
      </w:pPr>
    </w:p>
    <w:p>
      <w:pPr>
        <w:ind w:left="660" w:hanging="45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62" w:lineRule="exact"/>
        <w:rPr>
          <w:sz w:val="20"/>
          <w:szCs w:val="20"/>
          <w:color w:val="auto"/>
        </w:rPr>
      </w:pPr>
    </w:p>
    <w:p>
      <w:pPr>
        <w:ind w:left="660" w:hanging="43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amended and restated memorandum and articles of association provide that, to the fullest extent permitted by applicable law: (i) no individual serving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Accordingly, if any of the above executive officers and directors becomes aware of a business combination opportunity which is suitable for any of the above entities to which he has current fiduciary or contractual obligations, he will honor his fiduciary or contractual obligations to present such business combination opportunity to such entity, and only present it to us if such entity rejects the opportunity. We do not believe, however, that any of the foregoing fiduciary duties or contractual obligations will materially affect our ability to complete our initial business combination.</w:t>
      </w:r>
    </w:p>
    <w:p>
      <w:pPr>
        <w:spacing w:after="0" w:line="183" w:lineRule="exact"/>
        <w:rPr>
          <w:sz w:val="20"/>
          <w:szCs w:val="20"/>
          <w:color w:val="auto"/>
        </w:rPr>
      </w:pPr>
    </w:p>
    <w:p>
      <w:pPr>
        <w:jc w:val="both"/>
        <w:ind w:firstLine="693"/>
        <w:spacing w:after="0" w:line="261"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that such an initial business combination is fair to our company from a financial point of view.</w:t>
      </w:r>
    </w:p>
    <w:p>
      <w:pPr>
        <w:spacing w:after="0" w:line="1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In the event that we submit our initial business combination to our public shareholders for a vote, pursuant to the letter agreement, our sponsor, officers and directors have agreed to vote any founder shares held by them and any public shares purchased during or after the offering (including in open market and privately-negotiated transactions) in favor of our initial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provides that our officers and directors will be indemnified by us to the fullest extent authorized by Cayman Islands law, as it now exists or may in the future be amended. In addition, our amended and restated memorandum and articles of association will provide that our directors will not be personally liable for monetary damages to us or our shareholders for breaches of their fiduciary duty as directors, unless they violated their duty of loyalty to us or our shareholders, acted in bad faith, knowingly or intentionally violated the law, authorized unlawful payments of dividends, unlawful share purchases or unlawful redemptions, or derived an improper personal benefit from their actions as directors.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agreements with our officers and directors to provide contractual indemnification in addition to the indemnification provided for in our amended and restated memorandum and articles of association. Our bylaws also permit us to secure insurance on behalf of any officer, director or employee for any liability arising out of his or her actions, regardless of whether Cayman Islands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shareholders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shareholders. Furthermore, a shareholder’s investment may be adversely affected to the extent we pay the costs of settlement and damage awards against officers and directors pursuant to these indemnification provisions.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our officers or directors has received any cash compensation for services rendered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Commencing on July 13, 2021, we have agreed to pay monthly recurring expenses of $10,000 to an affiliate of our Sponsor for office space, utilities, secretarial support and administrative services. Upon completion of a Business Combination or our liquidation, we will cease paying these monthly fees. Other than the described fee, no compensation of any kind, including finder’s and consulting fees, will be paid to our Sponsor, officers and directors, or any of their respective affiliates, for services rendered prior to or in connection with the completion of our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directors and our or their affiliates.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the completion of our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officer and director compensation. Any compensation to be paid to our officers will be determined, or recommended to the Board for determination, either by a compensation committee constituted solely by independent directors or by a majority of the independent directors on our Board.</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a Business Combination, although it is possible that some or all of our officers and directors may negotiate employment or consulting arrangements to remain with us after a Business Combination. The existence or terms of any such employment or consulting arrangements to retain their positions with us may influence our management’s motivation in identifying or selecting a target business but we do not believe that the ability of our management team to remain with us after the consummation of a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compensation plans under which equity securities are authorized for issuance.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April 11, 2022, by:</w:t>
      </w:r>
    </w:p>
    <w:p>
      <w:pPr>
        <w:spacing w:after="0" w:line="225"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 of ordinary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1045845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ordinary shares beneficially owned by them. The following table does not reflect record or beneficial ownership of the private placement warrants as these warrants are not exercisable within 60 days of the date of this annual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6"/>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1"/>
                <w:szCs w:val="21"/>
                <w:b w:val="1"/>
                <w:bCs w:val="1"/>
                <w:color w:val="auto"/>
                <w:vertAlign w:val="superscript"/>
              </w:rPr>
              <w:t>(1)</w:t>
            </w: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40" w:type="dxa"/>
            <w:vAlign w:val="bottom"/>
            <w:gridSpan w:val="2"/>
          </w:tcPr>
          <w:p>
            <w:pPr>
              <w:jc w:val="center"/>
              <w:ind w:right="70"/>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76"/>
        </w:trPr>
        <w:tc>
          <w:tcPr>
            <w:tcW w:w="7540" w:type="dxa"/>
            <w:vAlign w:val="bottom"/>
            <w:vMerge w:val="continue"/>
          </w:tcPr>
          <w:p>
            <w:pPr>
              <w:spacing w:after="0"/>
              <w:rPr>
                <w:sz w:val="15"/>
                <w:szCs w:val="15"/>
                <w:color w:val="auto"/>
              </w:rPr>
            </w:pPr>
          </w:p>
        </w:tc>
        <w:tc>
          <w:tcPr>
            <w:tcW w:w="12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0"/>
                <w:szCs w:val="20"/>
                <w:b w:val="1"/>
                <w:bCs w:val="1"/>
                <w:color w:val="auto"/>
                <w:w w:val="95"/>
                <w:vertAlign w:val="superscript"/>
              </w:rPr>
              <w:t>(2)</w:t>
            </w:r>
          </w:p>
        </w:tc>
        <w:tc>
          <w:tcPr>
            <w:tcW w:w="11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83"/>
        </w:trPr>
        <w:tc>
          <w:tcPr>
            <w:tcW w:w="754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JATT Ventures, L.P.</w:t>
            </w:r>
            <w:r>
              <w:rPr>
                <w:rFonts w:ascii="Times New Roman" w:cs="Times New Roman" w:eastAsia="Times New Roman" w:hAnsi="Times New Roman"/>
                <w:sz w:val="21"/>
                <w:szCs w:val="21"/>
                <w:color w:val="auto"/>
                <w:vertAlign w:val="superscript"/>
              </w:rPr>
              <w:t>(3)</w:t>
            </w:r>
          </w:p>
        </w:tc>
        <w:tc>
          <w:tcPr>
            <w:tcW w:w="9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3,350,000</w:t>
            </w:r>
          </w:p>
        </w:tc>
        <w:tc>
          <w:tcPr>
            <w:tcW w:w="240" w:type="dxa"/>
            <w:vAlign w:val="bottom"/>
          </w:tcPr>
          <w:p>
            <w:pPr>
              <w:spacing w:after="0"/>
              <w:rPr>
                <w:sz w:val="15"/>
                <w:szCs w:val="15"/>
                <w:color w:val="auto"/>
              </w:rPr>
            </w:pPr>
          </w:p>
        </w:tc>
        <w:tc>
          <w:tcPr>
            <w:tcW w:w="9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Someit Sidhu, MD</w:t>
            </w:r>
            <w:r>
              <w:rPr>
                <w:rFonts w:ascii="Times New Roman" w:cs="Times New Roman" w:eastAsia="Times New Roman" w:hAnsi="Times New Roman"/>
                <w:sz w:val="25"/>
                <w:szCs w:val="25"/>
                <w:color w:val="auto"/>
                <w:vertAlign w:val="superscript"/>
              </w:rPr>
              <w:t>(3)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3,350,000</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Magnetar Financial LLC </w:t>
            </w:r>
            <w:r>
              <w:rPr>
                <w:rFonts w:ascii="Times New Roman" w:cs="Times New Roman" w:eastAsia="Times New Roman" w:hAnsi="Times New Roman"/>
                <w:sz w:val="25"/>
                <w:szCs w:val="25"/>
                <w:color w:val="auto"/>
                <w:vertAlign w:val="superscript"/>
              </w:rPr>
              <w:t>(4)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1,184,336</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Hudson Bay Capital Management LP </w:t>
            </w:r>
            <w:r>
              <w:rPr>
                <w:rFonts w:ascii="Times New Roman" w:cs="Times New Roman" w:eastAsia="Times New Roman" w:hAnsi="Times New Roman"/>
                <w:sz w:val="25"/>
                <w:szCs w:val="25"/>
                <w:color w:val="auto"/>
                <w:vertAlign w:val="superscript"/>
              </w:rPr>
              <w:t>(5)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1,188,000</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0" w:type="dxa"/>
            <w:vAlign w:val="bottom"/>
          </w:tcPr>
          <w:p>
            <w:pPr>
              <w:spacing w:after="0"/>
              <w:rPr>
                <w:sz w:val="1"/>
                <w:szCs w:val="1"/>
                <w:color w:val="auto"/>
              </w:rPr>
            </w:pPr>
          </w:p>
        </w:tc>
      </w:tr>
      <w:tr>
        <w:trPr>
          <w:trHeight w:val="224"/>
        </w:trPr>
        <w:tc>
          <w:tcPr>
            <w:tcW w:w="754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Athanor Capital LP </w:t>
            </w:r>
            <w:r>
              <w:rPr>
                <w:rFonts w:ascii="Times New Roman" w:cs="Times New Roman" w:eastAsia="Times New Roman" w:hAnsi="Times New Roman"/>
                <w:sz w:val="25"/>
                <w:szCs w:val="25"/>
                <w:color w:val="auto"/>
                <w:vertAlign w:val="superscript"/>
              </w:rPr>
              <w:t>(6)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2,388,000</w:t>
            </w: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Tauhid Ali, PhD,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Verender S. Badial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Javier Cote-Sierra, PhD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Arnout Ploos van Amstel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(seven individuals)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3,450,000</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15684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ind w:left="340" w:hanging="332"/>
        <w:spacing w:after="0" w:line="234" w:lineRule="auto"/>
        <w:tabs>
          <w:tab w:leader="none" w:pos="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Unless otherwise noted, the business address of each of the following entities or individuals is c/o JATT Acquisition Corp, c/o Maples Corporate Services Limited, PO Box 309, Ugland House, Grand Cayman, KY1-1104, Cayman Islands.</w:t>
      </w:r>
    </w:p>
    <w:p>
      <w:pPr>
        <w:spacing w:after="0" w:line="199" w:lineRule="exact"/>
        <w:rPr>
          <w:rFonts w:ascii="Times New Roman" w:cs="Times New Roman" w:eastAsia="Times New Roman" w:hAnsi="Times New Roman"/>
          <w:sz w:val="22"/>
          <w:szCs w:val="22"/>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founder shares, classified as Class B ordinary shares. Such shares are convertible into Class A ordinary shares on a one-for-one basis, subject to adjustment.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JATT Ventures, L.P. is the record holder of such shares. The general partner of the sponsor is JATT Ventures Ltd; Dr. Someit Sidhu, our chairman and CEO, is the limited partner of the sponsor and the director and shareholder of the sponsor’s general partner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as such, has voting and investment discretion with respect to the ordinary shares held of record by our sponsor and may be deemed to have shared beneficial ownership of the ordinary shares held directly by our sponsor.</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13G filed on January 21, 2022. The business address of Magnetar Financial LLC and the other reporting persons is 1603 Orrington Avenue, 13th Floor, Evanston, Illinois 60201. Each of Magnetar Financial LLC and the Schedule 13G’s other reporting persons report shared voting and investment power.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13G filed on January 21, 2022. The business address of Hudson Bay Capital Management LP and the other reporting persons is 28 Havemeyer Place, 2nd Floor, Greenwich, Connecticut 06830. Each of Hudson Bay Capital Management LP and the Schedule 13G’s other reporting persons report shared voting and investment power.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13D filed on July 26, 2021. The business address of Athanor Capital LP and other reporting persons is 888 Seventh Avenue, 21st Floor, New York, NY 10019. The interests shown in the report consist of 1,666,300 Class A Ordinary Shares held by Athanor Master Fund, LP and 721,700 Class A Ordinary Shares held by Athanor International Master Fund, 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22, 2021, our sponsor purchased 4,312,500 founder shares, which are Class B ordinary shares, for an aggregate purchase price of $25,000, or approximately $0.006 per share. On June 14, 2021, our sponsor effected a surrender of 862,500 founder shares to us for no consideration, resulting in a decrease in the total number of founder shares outstanding from 4,312,500 to 3,450,000. Prior to the investment in the company of $25,000 by our sponsor the Company had no assets, tangible or intangible. The per share purchase price of the founder shares was determined by dividing the amount of cash contributed to the company by the aggregate number of founder shares issued. The number of founder shares issued was determined based on the expectation that such founder shares would represent 20% of the outstanding shares upon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sponsor has, pursuant to a written agreement, purchased an aggregate of 5,910,000 private placement warrants for a purchase price of $1.00 per warrant in a private placement that occurred simultaneously with the closing of our IPO offering. As such, our sponsor’s interest in this transaction is valued at $5,910,000. Each private placement warrant entitles the holder thereof to purchase one share of our Class A ordinary shares at a price of $11.50 per share. The private placement warrants (including the Class A ordinary shares issuable upon exercise thereof) may not, subject to certain limited exceptions, be transferred, assigned or sold by the holder.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Commencing on the closing of our IPO, we have paid our sponsor a total of $10,000 per month for office space, utilities and secretarial and administrative support. Upon completion of our initial business combination or our liquidation, we will cease paying these monthly fees. In addition, we may pay our sponsor or any of our existing officers or directors, or any entity with which they are affiliated, a finder’s fee, consulting fee or other compensation in connection with identifying, investigating and completing our initial business combination. These individuals will also be reimbursed for any out of 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fees and expenses and the amount of expenses that will be reimbursed. There is no cap or ceiling on payments that may be made to our sponsor, officers, directors or any of their respective affiliates.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the Founder Shares, Private Placement Warrants (and their underlying securities) and any Warrants issued upon conversion of working capital loans (and their underlying securities), if any, have registration rights pursuant to a registration rights agreement. The holders of a majority of these securities are entitled to make up to three demands; excluding short form demands, that we register such securities. In addition, the holders have certain “piggy-back” registration rights with respect to registration statements filed by us subsequent to the completion of a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We will bear the expenses incurred in connection with the filing of any such registration statements.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closing of the IPO offering, our sponsor agreed to loan us up to an aggregate of $200,000 to be used for a portion of the expenses of the IPO. These loans are non-interest bearing, unsecured and are due at the closing of this offering. The loan was repaid upon the closing of the IPO offering out of the estimated $1,250,000 of offering proceeds that has been allocated to the payment of offering expenses (other than underwriting commissions) not held in the trust account. The value of our sponsor’s interest in this transaction corresponds to the principal amount outstanding under any such loan.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our shareholders,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known, in the proxy solicitation materials or tender offer documents, as applicable, furnished to our shareholders. It is unlikely the amount of such compensation will be known at the time of distribution of such proxy solicitation materials or tender offer documents, as applicable, as it will be up to the directors of the post-combination business to determine executive and director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Approval of Related Party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$120,000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w:t>
      </w:r>
    </w:p>
    <w:p>
      <w:pPr>
        <w:spacing w:after="0" w:line="5" w:lineRule="exact"/>
        <w:rPr>
          <w:sz w:val="20"/>
          <w:szCs w:val="20"/>
          <w:color w:val="auto"/>
        </w:rPr>
      </w:pPr>
    </w:p>
    <w:p>
      <w:pPr>
        <w:jc w:val="both"/>
        <w:ind w:firstLine="8"/>
        <w:spacing w:after="0" w:line="251" w:lineRule="auto"/>
        <w:tabs>
          <w:tab w:leader="none" w:pos="33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fees paid or to be paid to Marcum LLP, or Marcum, for services rendered.</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consist of fees billed for professional services rendered for the audit of our year-end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that are normally provided by Marcum in connection with regulatory filings. The aggregate fees billed by Marcum for professional services rendered for the audit of our annual financial statements, review of the financial information included in our Forms 10-Q for the respective periods and other required filings with the SEC for the period from March 10, 2021 (inception) through December 31, 2021 totaled $129,265. The above amounts include interim procedures, audit fees and consents issued for registration statements and comfort letters.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audit or review of our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period from March 10, 2021 (inception) through December 31, 2021.</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We did not pay Marcum for tax planning and tax advice for the period from March 10, 2021 (inception)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We did not pay Marcum for other services for the period from March 10, 2021 (inception) through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was formed upon the consummation of our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de minimis exceptions for non-audit services described in the Exchange Act which are approved by the audit committee prior to the completion of the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right="3280" w:firstLine="656"/>
        <w:spacing w:after="0" w:line="500" w:lineRule="auto"/>
        <w:tabs>
          <w:tab w:leader="none" w:pos="8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 Financial Statements:</w:t>
      </w:r>
    </w:p>
    <w:p>
      <w:pPr>
        <w:spacing w:after="0" w:line="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listed on the Financial Statements’ Table of Contents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ind w:firstLine="656"/>
        <w:spacing w:after="0" w:line="261" w:lineRule="auto"/>
        <w:tabs>
          <w:tab w:leader="none" w:pos="9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Annual Report on Form 10-K.</w:t>
      </w: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20" w:type="dxa"/>
            <w:vAlign w:val="bottom"/>
            <w:gridSpan w:val="12"/>
          </w:tcPr>
          <w:p>
            <w:pPr>
              <w:ind w:left="4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31"/>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20" w:type="dxa"/>
            <w:vAlign w:val="bottom"/>
            <w:gridSpan w:val="11"/>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2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720" w:type="dxa"/>
            <w:vAlign w:val="bottom"/>
            <w:gridSpan w:val="18"/>
          </w:tcPr>
          <w:p>
            <w:pPr>
              <w:spacing w:after="0" w:line="129" w:lineRule="exact"/>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Underwriting Agreement, dated July 13, 2021, by and between the Company and Raymond James &amp; Associates, Inc., as representative of the</w:t>
              </w:r>
            </w:hyperlink>
          </w:p>
        </w:tc>
        <w:tc>
          <w:tcPr>
            <w:tcW w:w="0" w:type="dxa"/>
            <w:vAlign w:val="bottom"/>
          </w:tcPr>
          <w:p>
            <w:pPr>
              <w:spacing w:after="0"/>
              <w:rPr>
                <w:sz w:val="1"/>
                <w:szCs w:val="1"/>
                <w:color w:val="auto"/>
              </w:rPr>
            </w:pPr>
          </w:p>
        </w:tc>
      </w:tr>
      <w:tr>
        <w:trPr>
          <w:trHeight w:val="12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tcPr>
          <w:p>
            <w:pPr>
              <w:spacing w:after="0"/>
              <w:rPr>
                <w:sz w:val="11"/>
                <w:szCs w:val="11"/>
                <w:color w:val="auto"/>
              </w:rPr>
            </w:pPr>
          </w:p>
        </w:tc>
        <w:tc>
          <w:tcPr>
            <w:tcW w:w="940" w:type="dxa"/>
            <w:vAlign w:val="bottom"/>
            <w:tcBorders>
              <w:top w:val="single" w:sz="8" w:color="0000EE"/>
              <w:bottom w:val="single" w:sz="8" w:color="0000EE"/>
            </w:tcBorders>
            <w:gridSpan w:val="3"/>
          </w:tcPr>
          <w:p>
            <w:pPr>
              <w:spacing w:after="0" w:line="129" w:lineRule="exact"/>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underwriters (2)</w:t>
              </w:r>
            </w:hyperlink>
          </w:p>
        </w:tc>
        <w:tc>
          <w:tcPr>
            <w:tcW w:w="7760" w:type="dxa"/>
            <w:vAlign w:val="bottom"/>
            <w:tcBorders>
              <w:top w:val="single" w:sz="8" w:color="0000EE"/>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740" w:type="dxa"/>
            <w:vAlign w:val="bottom"/>
            <w:gridSpan w:val="19"/>
          </w:tcPr>
          <w:p>
            <w:pPr>
              <w:spacing w:after="0" w:line="129" w:lineRule="exact"/>
              <w:rPr>
                <w:rFonts w:ascii="Times New Roman" w:cs="Times New Roman" w:eastAsia="Times New Roman" w:hAnsi="Times New Roman"/>
                <w:sz w:val="14"/>
                <w:szCs w:val="14"/>
                <w:color w:val="0000EE"/>
              </w:rPr>
            </w:pPr>
            <w:hyperlink r:id="rId60">
              <w:r>
                <w:rPr>
                  <w:rFonts w:ascii="Times New Roman" w:cs="Times New Roman" w:eastAsia="Times New Roman" w:hAnsi="Times New Roman"/>
                  <w:sz w:val="14"/>
                  <w:szCs w:val="14"/>
                  <w:color w:val="0000EE"/>
                </w:rPr>
                <w:t>Memorandum and Articles of Association (1)</w:t>
              </w:r>
            </w:hyperlink>
          </w:p>
        </w:tc>
        <w:tc>
          <w:tcPr>
            <w:tcW w:w="0" w:type="dxa"/>
            <w:vAlign w:val="bottom"/>
          </w:tcPr>
          <w:p>
            <w:pPr>
              <w:spacing w:after="0"/>
              <w:rPr>
                <w:sz w:val="1"/>
                <w:szCs w:val="1"/>
                <w:color w:val="auto"/>
              </w:rPr>
            </w:pPr>
          </w:p>
        </w:tc>
      </w:tr>
      <w:tr>
        <w:trPr>
          <w:trHeight w:val="129"/>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spacing w:after="0"/>
              <w:rPr>
                <w:sz w:val="11"/>
                <w:szCs w:val="11"/>
                <w:color w:val="auto"/>
              </w:rPr>
            </w:pPr>
          </w:p>
        </w:tc>
        <w:tc>
          <w:tcPr>
            <w:tcW w:w="2620" w:type="dxa"/>
            <w:vAlign w:val="bottom"/>
            <w:tcBorders>
              <w:top w:val="single" w:sz="8" w:color="0000EE"/>
            </w:tcBorders>
            <w:gridSpan w:val="6"/>
          </w:tcPr>
          <w:p>
            <w:pPr>
              <w:spacing w:after="0" w:line="129" w:lineRule="exact"/>
              <w:rPr>
                <w:rFonts w:ascii="Times New Roman" w:cs="Times New Roman" w:eastAsia="Times New Roman" w:hAnsi="Times New Roman"/>
                <w:sz w:val="14"/>
                <w:szCs w:val="14"/>
                <w:color w:val="0000EE"/>
                <w:w w:val="99"/>
              </w:rPr>
            </w:pPr>
            <w:hyperlink r:id="rId61">
              <w:r>
                <w:rPr>
                  <w:rFonts w:ascii="Times New Roman" w:cs="Times New Roman" w:eastAsia="Times New Roman" w:hAnsi="Times New Roman"/>
                  <w:sz w:val="14"/>
                  <w:szCs w:val="14"/>
                  <w:color w:val="0000EE"/>
                  <w:w w:val="99"/>
                </w:rPr>
                <w:t>Form of Amended and Restated Memorandum</w:t>
              </w:r>
            </w:hyperlink>
          </w:p>
        </w:tc>
        <w:tc>
          <w:tcPr>
            <w:tcW w:w="6120" w:type="dxa"/>
            <w:vAlign w:val="bottom"/>
            <w:gridSpan w:val="13"/>
          </w:tcPr>
          <w:p>
            <w:pPr>
              <w:ind w:left="100"/>
              <w:spacing w:after="0" w:line="129"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and Articles of Association (2)</w:t>
              </w:r>
            </w:hyperlink>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11"/>
                <w:szCs w:val="11"/>
                <w:color w:val="auto"/>
              </w:rPr>
            </w:pPr>
          </w:p>
        </w:tc>
        <w:tc>
          <w:tcPr>
            <w:tcW w:w="4500" w:type="dxa"/>
            <w:vAlign w:val="bottom"/>
            <w:tcBorders>
              <w:top w:val="single" w:sz="8" w:color="0000EE"/>
            </w:tcBorders>
            <w:gridSpan w:val="9"/>
          </w:tcPr>
          <w:p>
            <w:pPr>
              <w:spacing w:after="0" w:line="129"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Specimen Unit Certificate (1)</w:t>
              </w:r>
            </w:hyperlink>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spacing w:after="0"/>
              <w:rPr>
                <w:sz w:val="11"/>
                <w:szCs w:val="11"/>
                <w:color w:val="auto"/>
              </w:rPr>
            </w:pPr>
          </w:p>
        </w:tc>
        <w:tc>
          <w:tcPr>
            <w:tcW w:w="1720" w:type="dxa"/>
            <w:vAlign w:val="bottom"/>
            <w:tcBorders>
              <w:top w:val="single" w:sz="8" w:color="0000EE"/>
            </w:tcBorders>
            <w:gridSpan w:val="4"/>
          </w:tcPr>
          <w:p>
            <w:pPr>
              <w:spacing w:after="0" w:line="129"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Specimen Class A Ordinary</w:t>
              </w:r>
            </w:hyperlink>
          </w:p>
        </w:tc>
        <w:tc>
          <w:tcPr>
            <w:tcW w:w="7020" w:type="dxa"/>
            <w:vAlign w:val="bottom"/>
            <w:gridSpan w:val="15"/>
          </w:tcPr>
          <w:p>
            <w:pPr>
              <w:spacing w:after="0" w:line="129"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Share Certificate (1)</w:t>
              </w:r>
            </w:hyperlink>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rPr>
                <w:sz w:val="11"/>
                <w:szCs w:val="11"/>
                <w:color w:val="auto"/>
              </w:rPr>
            </w:pPr>
          </w:p>
        </w:tc>
        <w:tc>
          <w:tcPr>
            <w:tcW w:w="2820" w:type="dxa"/>
            <w:vAlign w:val="bottom"/>
            <w:tcBorders>
              <w:top w:val="single" w:sz="8" w:color="0000EE"/>
            </w:tcBorders>
            <w:gridSpan w:val="7"/>
          </w:tcPr>
          <w:p>
            <w:pPr>
              <w:spacing w:after="0" w:line="129"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Specimen Warrant Certificate (1)</w:t>
              </w:r>
            </w:hyperlink>
          </w:p>
        </w:tc>
        <w:tc>
          <w:tcPr>
            <w:tcW w:w="900" w:type="dxa"/>
            <w:vAlign w:val="bottom"/>
          </w:tcPr>
          <w:p>
            <w:pPr>
              <w:spacing w:after="0"/>
              <w:rPr>
                <w:sz w:val="11"/>
                <w:szCs w:val="11"/>
                <w:color w:val="auto"/>
              </w:rPr>
            </w:pPr>
          </w:p>
        </w:tc>
        <w:tc>
          <w:tcPr>
            <w:tcW w:w="212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tcPr>
          <w:p>
            <w:pPr>
              <w:spacing w:after="0"/>
              <w:rPr>
                <w:sz w:val="11"/>
                <w:szCs w:val="11"/>
                <w:color w:val="auto"/>
              </w:rPr>
            </w:pPr>
          </w:p>
        </w:tc>
        <w:tc>
          <w:tcPr>
            <w:tcW w:w="1920" w:type="dxa"/>
            <w:vAlign w:val="bottom"/>
            <w:tcBorders>
              <w:top w:val="single" w:sz="8" w:color="0000EE"/>
            </w:tcBorders>
            <w:gridSpan w:val="5"/>
          </w:tcPr>
          <w:p>
            <w:pPr>
              <w:spacing w:after="0" w:line="129"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Warrant Agreement, dated as of</w:t>
              </w:r>
            </w:hyperlink>
          </w:p>
        </w:tc>
        <w:tc>
          <w:tcPr>
            <w:tcW w:w="6820" w:type="dxa"/>
            <w:vAlign w:val="bottom"/>
            <w:gridSpan w:val="14"/>
          </w:tcPr>
          <w:p>
            <w:pPr>
              <w:spacing w:after="0" w:line="129"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July 16, 2021, by and between the Company and Continental Stock Transfer &amp; Trust Company, LLC (2)</w:t>
              </w:r>
            </w:hyperlink>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260" w:type="dxa"/>
            <w:vAlign w:val="bottom"/>
          </w:tcPr>
          <w:p>
            <w:pPr>
              <w:spacing w:after="0"/>
              <w:rPr>
                <w:sz w:val="11"/>
                <w:szCs w:val="11"/>
                <w:color w:val="auto"/>
              </w:rPr>
            </w:pPr>
          </w:p>
        </w:tc>
        <w:tc>
          <w:tcPr>
            <w:tcW w:w="7880" w:type="dxa"/>
            <w:vAlign w:val="bottom"/>
            <w:tcBorders>
              <w:top w:val="single" w:sz="8" w:color="0000EE"/>
            </w:tcBorders>
            <w:gridSpan w:val="13"/>
          </w:tcPr>
          <w:p>
            <w:pPr>
              <w:spacing w:after="0" w:line="129"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Letter Agreements, dated July 13, 2021, by and among the Company and its officers, directors, the Sponsor and the other parties named</w:t>
              </w:r>
            </w:hyperlink>
          </w:p>
        </w:tc>
        <w:tc>
          <w:tcPr>
            <w:tcW w:w="860" w:type="dxa"/>
            <w:vAlign w:val="bottom"/>
            <w:gridSpan w:val="6"/>
          </w:tcPr>
          <w:p>
            <w:pPr>
              <w:spacing w:after="0" w:line="129"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therein (2)</w:t>
              </w:r>
            </w:hyperlink>
          </w:p>
        </w:tc>
        <w:tc>
          <w:tcPr>
            <w:tcW w:w="0" w:type="dxa"/>
            <w:vAlign w:val="bottom"/>
          </w:tcPr>
          <w:p>
            <w:pPr>
              <w:spacing w:after="0"/>
              <w:rPr>
                <w:sz w:val="1"/>
                <w:szCs w:val="1"/>
                <w:color w:val="auto"/>
              </w:rPr>
            </w:pPr>
          </w:p>
        </w:tc>
      </w:tr>
      <w:tr>
        <w:trPr>
          <w:trHeight w:val="129"/>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10.2</w:t>
            </w:r>
          </w:p>
        </w:tc>
        <w:tc>
          <w:tcPr>
            <w:tcW w:w="260" w:type="dxa"/>
            <w:vAlign w:val="bottom"/>
          </w:tcPr>
          <w:p>
            <w:pPr>
              <w:spacing w:after="0"/>
              <w:rPr>
                <w:sz w:val="11"/>
                <w:szCs w:val="11"/>
                <w:color w:val="auto"/>
              </w:rPr>
            </w:pPr>
          </w:p>
        </w:tc>
        <w:tc>
          <w:tcPr>
            <w:tcW w:w="8460" w:type="dxa"/>
            <w:vAlign w:val="bottom"/>
            <w:tcBorders>
              <w:top w:val="single" w:sz="8" w:color="0000EE"/>
            </w:tcBorders>
            <w:gridSpan w:val="15"/>
          </w:tcPr>
          <w:p>
            <w:pPr>
              <w:spacing w:after="0" w:line="129"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Promissory Note dated March 22, 2021 issued to the sponsor (1)</w:t>
              </w:r>
            </w:hyperlink>
          </w:p>
        </w:tc>
        <w:tc>
          <w:tcPr>
            <w:tcW w:w="1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10.3</w:t>
            </w:r>
          </w:p>
        </w:tc>
        <w:tc>
          <w:tcPr>
            <w:tcW w:w="260" w:type="dxa"/>
            <w:vAlign w:val="bottom"/>
          </w:tcPr>
          <w:p>
            <w:pPr>
              <w:spacing w:after="0"/>
              <w:rPr>
                <w:sz w:val="11"/>
                <w:szCs w:val="11"/>
                <w:color w:val="auto"/>
              </w:rPr>
            </w:pPr>
          </w:p>
        </w:tc>
        <w:tc>
          <w:tcPr>
            <w:tcW w:w="3720" w:type="dxa"/>
            <w:vAlign w:val="bottom"/>
            <w:tcBorders>
              <w:top w:val="single" w:sz="8" w:color="0000EE"/>
              <w:bottom w:val="single" w:sz="8" w:color="0000EE"/>
            </w:tcBorders>
            <w:gridSpan w:val="8"/>
          </w:tcPr>
          <w:p>
            <w:pPr>
              <w:spacing w:after="0" w:line="129"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Administrative Services Agreement, dated July 13, 2021, by and</w:t>
              </w:r>
            </w:hyperlink>
          </w:p>
        </w:tc>
        <w:tc>
          <w:tcPr>
            <w:tcW w:w="2500" w:type="dxa"/>
            <w:vAlign w:val="bottom"/>
            <w:tcBorders>
              <w:bottom w:val="single" w:sz="8" w:color="0000EE"/>
            </w:tcBorders>
            <w:gridSpan w:val="3"/>
          </w:tcPr>
          <w:p>
            <w:pPr>
              <w:ind w:left="40"/>
              <w:spacing w:after="0" w:line="129"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between the Company and the Sponsor (2)</w:t>
              </w:r>
            </w:hyperlink>
          </w:p>
        </w:tc>
        <w:tc>
          <w:tcPr>
            <w:tcW w:w="252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11"/>
                <w:szCs w:val="11"/>
                <w:color w:val="auto"/>
              </w:rPr>
            </w:pPr>
          </w:p>
        </w:tc>
        <w:tc>
          <w:tcPr>
            <w:tcW w:w="8740" w:type="dxa"/>
            <w:vAlign w:val="bottom"/>
            <w:gridSpan w:val="19"/>
          </w:tcPr>
          <w:p>
            <w:pPr>
              <w:spacing w:after="0" w:line="129"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Investment Management Trust Agreement, dated as of July 16, 2021, by and between the Company and Continental Stock Transfer &amp; Trust Company,</w:t>
              </w:r>
            </w:hyperlink>
          </w:p>
        </w:tc>
        <w:tc>
          <w:tcPr>
            <w:tcW w:w="0" w:type="dxa"/>
            <w:vAlign w:val="bottom"/>
          </w:tcPr>
          <w:p>
            <w:pPr>
              <w:spacing w:after="0"/>
              <w:rPr>
                <w:sz w:val="1"/>
                <w:szCs w:val="1"/>
                <w:color w:val="auto"/>
              </w:rPr>
            </w:pPr>
          </w:p>
        </w:tc>
      </w:tr>
      <w:tr>
        <w:trPr>
          <w:trHeight w:val="12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1"/>
                <w:szCs w:val="11"/>
                <w:color w:val="auto"/>
              </w:rPr>
            </w:pPr>
          </w:p>
        </w:tc>
        <w:tc>
          <w:tcPr>
            <w:tcW w:w="480" w:type="dxa"/>
            <w:vAlign w:val="bottom"/>
            <w:tcBorders>
              <w:top w:val="single" w:sz="8" w:color="0000EE"/>
              <w:bottom w:val="single" w:sz="8" w:color="0000EE"/>
            </w:tcBorders>
            <w:gridSpan w:val="2"/>
          </w:tcPr>
          <w:p>
            <w:pPr>
              <w:spacing w:after="0" w:line="129" w:lineRule="exact"/>
              <w:rPr>
                <w:rFonts w:ascii="Times New Roman" w:cs="Times New Roman" w:eastAsia="Times New Roman" w:hAnsi="Times New Roman"/>
                <w:sz w:val="14"/>
                <w:szCs w:val="14"/>
                <w:color w:val="0000EE"/>
                <w:w w:val="99"/>
              </w:rPr>
            </w:pPr>
            <w:hyperlink r:id="rId69">
              <w:r>
                <w:rPr>
                  <w:rFonts w:ascii="Times New Roman" w:cs="Times New Roman" w:eastAsia="Times New Roman" w:hAnsi="Times New Roman"/>
                  <w:sz w:val="14"/>
                  <w:szCs w:val="14"/>
                  <w:color w:val="0000EE"/>
                  <w:w w:val="99"/>
                </w:rPr>
                <w:t>LLC (2)</w:t>
              </w:r>
            </w:hyperlink>
          </w:p>
        </w:tc>
        <w:tc>
          <w:tcPr>
            <w:tcW w:w="8240" w:type="dxa"/>
            <w:vAlign w:val="bottom"/>
            <w:tcBorders>
              <w:top w:val="single" w:sz="8" w:color="0000EE"/>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740" w:type="dxa"/>
            <w:vAlign w:val="bottom"/>
            <w:gridSpan w:val="19"/>
          </w:tcPr>
          <w:p>
            <w:pPr>
              <w:spacing w:after="0" w:line="129"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Registration and Shareholder Rights Agreement, dated as of July 13 2021, by and among the Company, the Sponsor and certain security holders</w:t>
              </w:r>
            </w:hyperlink>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10.6</w:t>
            </w:r>
          </w:p>
        </w:tc>
        <w:tc>
          <w:tcPr>
            <w:tcW w:w="260" w:type="dxa"/>
            <w:vAlign w:val="bottom"/>
          </w:tcPr>
          <w:p>
            <w:pPr>
              <w:spacing w:after="0"/>
              <w:rPr>
                <w:sz w:val="11"/>
                <w:szCs w:val="11"/>
                <w:color w:val="auto"/>
              </w:rPr>
            </w:pPr>
          </w:p>
        </w:tc>
        <w:tc>
          <w:tcPr>
            <w:tcW w:w="8300" w:type="dxa"/>
            <w:vAlign w:val="bottom"/>
            <w:tcBorders>
              <w:top w:val="single" w:sz="8" w:color="0000EE"/>
            </w:tcBorders>
            <w:gridSpan w:val="14"/>
          </w:tcPr>
          <w:p>
            <w:pPr>
              <w:spacing w:after="0" w:line="129"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Securities Subscription Agreement, dated March 22, 2021 between the Registrant and the sponsor (1)</w:t>
              </w:r>
            </w:hyperlink>
          </w:p>
        </w:tc>
        <w:tc>
          <w:tcPr>
            <w:tcW w:w="280" w:type="dxa"/>
            <w:vAlign w:val="bottom"/>
            <w:gridSpan w:val="2"/>
          </w:tcPr>
          <w:p>
            <w:pPr>
              <w:spacing w:after="0"/>
              <w:rPr>
                <w:sz w:val="11"/>
                <w:szCs w:val="11"/>
                <w:color w:val="auto"/>
              </w:rPr>
            </w:pPr>
          </w:p>
        </w:tc>
        <w:tc>
          <w:tcPr>
            <w:tcW w:w="1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60" w:type="dxa"/>
            <w:vAlign w:val="bottom"/>
          </w:tcPr>
          <w:p>
            <w:pPr>
              <w:spacing w:after="0" w:line="20" w:lineRule="exact"/>
              <w:rPr>
                <w:sz w:val="1"/>
                <w:szCs w:val="1"/>
                <w:color w:val="auto"/>
              </w:rPr>
            </w:pPr>
          </w:p>
        </w:tc>
        <w:tc>
          <w:tcPr>
            <w:tcW w:w="5840" w:type="dxa"/>
            <w:vAlign w:val="bottom"/>
            <w:gridSpan w:val="10"/>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740" w:type="dxa"/>
            <w:vAlign w:val="bottom"/>
            <w:gridSpan w:val="19"/>
          </w:tcPr>
          <w:p>
            <w:pPr>
              <w:spacing w:after="0" w:line="129"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Private Placement Warrants Purchase Agreement, dated as of July 13, 2021, by and between the Company and the Sponsor (2)</w:t>
              </w:r>
            </w:hyperlink>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10.8</w:t>
            </w:r>
          </w:p>
        </w:tc>
        <w:tc>
          <w:tcPr>
            <w:tcW w:w="260" w:type="dxa"/>
            <w:vAlign w:val="bottom"/>
          </w:tcPr>
          <w:p>
            <w:pPr>
              <w:spacing w:after="0"/>
              <w:rPr>
                <w:sz w:val="11"/>
                <w:szCs w:val="11"/>
                <w:color w:val="auto"/>
              </w:rPr>
            </w:pPr>
          </w:p>
        </w:tc>
        <w:tc>
          <w:tcPr>
            <w:tcW w:w="7280" w:type="dxa"/>
            <w:vAlign w:val="bottom"/>
            <w:tcBorders>
              <w:top w:val="single" w:sz="8" w:color="0000EE"/>
              <w:bottom w:val="single" w:sz="8" w:color="0000EE"/>
            </w:tcBorders>
            <w:gridSpan w:val="12"/>
          </w:tcPr>
          <w:p>
            <w:pPr>
              <w:spacing w:after="0" w:line="129"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Indemnification Agreements, each dated as of July 13, 2021, by and between the Company and each of the officers and directors</w:t>
              </w:r>
            </w:hyperlink>
          </w:p>
        </w:tc>
        <w:tc>
          <w:tcPr>
            <w:tcW w:w="1300" w:type="dxa"/>
            <w:vAlign w:val="bottom"/>
            <w:tcBorders>
              <w:bottom w:val="single" w:sz="8" w:color="0000EE"/>
            </w:tcBorders>
            <w:gridSpan w:val="4"/>
          </w:tcPr>
          <w:p>
            <w:pPr>
              <w:ind w:left="160"/>
              <w:spacing w:after="0" w:line="129"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of the Company (2)</w:t>
              </w:r>
            </w:hyperlink>
          </w:p>
        </w:tc>
        <w:tc>
          <w:tcPr>
            <w:tcW w:w="1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10.9 *</w:t>
            </w:r>
          </w:p>
        </w:tc>
        <w:tc>
          <w:tcPr>
            <w:tcW w:w="260" w:type="dxa"/>
            <w:vAlign w:val="bottom"/>
          </w:tcPr>
          <w:p>
            <w:pPr>
              <w:spacing w:after="0"/>
              <w:rPr>
                <w:sz w:val="11"/>
                <w:szCs w:val="11"/>
                <w:color w:val="auto"/>
              </w:rPr>
            </w:pPr>
          </w:p>
        </w:tc>
        <w:tc>
          <w:tcPr>
            <w:tcW w:w="8740" w:type="dxa"/>
            <w:vAlign w:val="bottom"/>
            <w:gridSpan w:val="19"/>
          </w:tcPr>
          <w:p>
            <w:pPr>
              <w:spacing w:after="0" w:line="129" w:lineRule="exact"/>
              <w:rPr>
                <w:rFonts w:ascii="Times New Roman" w:cs="Times New Roman" w:eastAsia="Times New Roman" w:hAnsi="Times New Roman"/>
                <w:sz w:val="14"/>
                <w:szCs w:val="14"/>
                <w:color w:val="0000EE"/>
              </w:rPr>
            </w:pPr>
            <w:hyperlink w:anchor="page68">
              <w:r>
                <w:rPr>
                  <w:rFonts w:ascii="Times New Roman" w:cs="Times New Roman" w:eastAsia="Times New Roman" w:hAnsi="Times New Roman"/>
                  <w:sz w:val="14"/>
                  <w:szCs w:val="14"/>
                  <w:color w:val="0000EE"/>
                </w:rPr>
                <w:t>Amended Forward Purchase Agreement dated January 27, 2022 by and between Athanor Master Fund, LP, Athanor International Master Fund LP and</w:t>
              </w:r>
            </w:hyperlink>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700" w:type="dxa"/>
            <w:vAlign w:val="bottom"/>
            <w:tcBorders>
              <w:top w:val="single" w:sz="8" w:color="0000EE"/>
            </w:tcBorders>
            <w:gridSpan w:val="17"/>
          </w:tcPr>
          <w:p>
            <w:pPr>
              <w:spacing w:after="0" w:line="135" w:lineRule="exact"/>
              <w:rPr>
                <w:rFonts w:ascii="Times New Roman" w:cs="Times New Roman" w:eastAsia="Times New Roman" w:hAnsi="Times New Roman"/>
                <w:sz w:val="14"/>
                <w:szCs w:val="14"/>
                <w:u w:val="single" w:color="auto"/>
                <w:color w:val="0000EE"/>
              </w:rPr>
            </w:pPr>
            <w:hyperlink w:anchor="page68">
              <w:r>
                <w:rPr>
                  <w:rFonts w:ascii="Times New Roman" w:cs="Times New Roman" w:eastAsia="Times New Roman" w:hAnsi="Times New Roman"/>
                  <w:sz w:val="14"/>
                  <w:szCs w:val="14"/>
                  <w:u w:val="single" w:color="auto"/>
                  <w:color w:val="0000EE"/>
                </w:rPr>
                <w:t>the Registrant</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bl>
    <w:p>
      <w:pPr>
        <w:ind w:left="1220" w:hanging="803"/>
        <w:spacing w:after="0" w:line="211" w:lineRule="auto"/>
        <w:tabs>
          <w:tab w:leader="none" w:pos="1220" w:val="left"/>
        </w:tabs>
        <w:numPr>
          <w:ilvl w:val="0"/>
          <w:numId w:val="36"/>
        </w:numPr>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Form of Code of Ethics (1)</w:t>
        </w:r>
      </w:hyperlink>
    </w:p>
    <w:tbl>
      <w:tblPr>
        <w:tblLayout w:type="fixed"/>
        <w:tblInd w:w="220" w:type="dxa"/>
        <w:tblCellMar>
          <w:top w:w="0" w:type="dxa"/>
          <w:left w:w="0" w:type="dxa"/>
          <w:bottom w:w="0" w:type="dxa"/>
          <w:right w:w="0" w:type="dxa"/>
        </w:tblCellMar>
      </w:tblPr>
      <w:tr>
        <w:trPr>
          <w:trHeight w:val="128"/>
        </w:trPr>
        <w:tc>
          <w:tcPr>
            <w:tcW w:w="1000" w:type="dxa"/>
            <w:vAlign w:val="bottom"/>
          </w:tcPr>
          <w:p>
            <w:pPr>
              <w:jc w:val="center"/>
              <w:ind w:right="388"/>
              <w:spacing w:after="0" w:line="129" w:lineRule="exact"/>
              <w:rPr>
                <w:sz w:val="20"/>
                <w:szCs w:val="20"/>
                <w:color w:val="auto"/>
              </w:rPr>
            </w:pPr>
            <w:r>
              <w:rPr>
                <w:rFonts w:ascii="Times New Roman" w:cs="Times New Roman" w:eastAsia="Times New Roman" w:hAnsi="Times New Roman"/>
                <w:sz w:val="14"/>
                <w:szCs w:val="14"/>
                <w:color w:val="auto"/>
              </w:rPr>
              <w:t>31.1*</w:t>
            </w:r>
          </w:p>
        </w:tc>
        <w:tc>
          <w:tcPr>
            <w:tcW w:w="2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2"/>
          </w:tcPr>
          <w:p>
            <w:pPr>
              <w:spacing w:after="0" w:line="129" w:lineRule="exact"/>
              <w:rPr>
                <w:rFonts w:ascii="Times New Roman" w:cs="Times New Roman" w:eastAsia="Times New Roman" w:hAnsi="Times New Roman"/>
                <w:sz w:val="14"/>
                <w:szCs w:val="14"/>
                <w:color w:val="0000EE"/>
              </w:rPr>
            </w:pPr>
            <w:hyperlink w:anchor="page80">
              <w:r>
                <w:rPr>
                  <w:rFonts w:ascii="Times New Roman" w:cs="Times New Roman" w:eastAsia="Times New Roman" w:hAnsi="Times New Roman"/>
                  <w:sz w:val="14"/>
                  <w:szCs w:val="14"/>
                  <w:color w:val="0000EE"/>
                </w:rPr>
                <w:t>Certification of Principal</w:t>
              </w:r>
            </w:hyperlink>
          </w:p>
        </w:tc>
        <w:tc>
          <w:tcPr>
            <w:tcW w:w="7160" w:type="dxa"/>
            <w:vAlign w:val="bottom"/>
            <w:gridSpan w:val="5"/>
          </w:tcPr>
          <w:p>
            <w:pPr>
              <w:jc w:val="right"/>
              <w:ind w:right="40"/>
              <w:spacing w:after="0" w:line="129" w:lineRule="exact"/>
              <w:rPr>
                <w:rFonts w:ascii="Times New Roman" w:cs="Times New Roman" w:eastAsia="Times New Roman" w:hAnsi="Times New Roman"/>
                <w:sz w:val="14"/>
                <w:szCs w:val="14"/>
                <w:color w:val="0000EE"/>
              </w:rPr>
            </w:pPr>
            <w:hyperlink w:anchor="page80">
              <w:r>
                <w:rPr>
                  <w:rFonts w:ascii="Times New Roman" w:cs="Times New Roman" w:eastAsia="Times New Roman" w:hAnsi="Times New Roman"/>
                  <w:sz w:val="14"/>
                  <w:szCs w:val="14"/>
                  <w:color w:val="0000EE"/>
                </w:rPr>
                <w:t>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29"/>
        </w:trPr>
        <w:tc>
          <w:tcPr>
            <w:tcW w:w="1000" w:type="dxa"/>
            <w:vAlign w:val="bottom"/>
            <w:vMerge w:val="restart"/>
          </w:tcPr>
          <w:p>
            <w:pPr>
              <w:jc w:val="center"/>
              <w:ind w:right="388"/>
              <w:spacing w:after="0"/>
              <w:rPr>
                <w:sz w:val="20"/>
                <w:szCs w:val="20"/>
                <w:color w:val="auto"/>
              </w:rPr>
            </w:pPr>
            <w:r>
              <w:rPr>
                <w:rFonts w:ascii="Times New Roman" w:cs="Times New Roman" w:eastAsia="Times New Roman" w:hAnsi="Times New Roman"/>
                <w:sz w:val="14"/>
                <w:szCs w:val="14"/>
                <w:color w:val="auto"/>
              </w:rPr>
              <w:t>31.2*</w:t>
            </w:r>
          </w:p>
        </w:tc>
        <w:tc>
          <w:tcPr>
            <w:tcW w:w="20" w:type="dxa"/>
            <w:vAlign w:val="bottom"/>
          </w:tcPr>
          <w:p>
            <w:pPr>
              <w:spacing w:after="0"/>
              <w:rPr>
                <w:sz w:val="11"/>
                <w:szCs w:val="11"/>
                <w:color w:val="auto"/>
              </w:rPr>
            </w:pPr>
          </w:p>
        </w:tc>
        <w:tc>
          <w:tcPr>
            <w:tcW w:w="3460" w:type="dxa"/>
            <w:vAlign w:val="bottom"/>
            <w:tcBorders>
              <w:top w:val="single" w:sz="8" w:color="0000EE"/>
              <w:bottom w:val="single" w:sz="8" w:color="0000EE"/>
            </w:tcBorders>
            <w:gridSpan w:val="4"/>
          </w:tcPr>
          <w:p>
            <w:pPr>
              <w:spacing w:after="0" w:line="129" w:lineRule="exact"/>
              <w:rPr>
                <w:rFonts w:ascii="Times New Roman" w:cs="Times New Roman" w:eastAsia="Times New Roman" w:hAnsi="Times New Roman"/>
                <w:sz w:val="14"/>
                <w:szCs w:val="14"/>
                <w:color w:val="0000EE"/>
              </w:rPr>
            </w:pPr>
            <w:hyperlink w:anchor="page80">
              <w:r>
                <w:rPr>
                  <w:rFonts w:ascii="Times New Roman" w:cs="Times New Roman" w:eastAsia="Times New Roman" w:hAnsi="Times New Roman"/>
                  <w:sz w:val="14"/>
                  <w:szCs w:val="14"/>
                  <w:color w:val="0000EE"/>
                </w:rPr>
                <w:t>Pursuant to Section 302 of the Sarbanes-Oxley Act of 2002.</w:t>
              </w:r>
            </w:hyperlink>
          </w:p>
        </w:tc>
        <w:tc>
          <w:tcPr>
            <w:tcW w:w="52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700" w:type="dxa"/>
            <w:vAlign w:val="bottom"/>
            <w:gridSpan w:val="7"/>
          </w:tcPr>
          <w:p>
            <w:pPr>
              <w:spacing w:after="0" w:line="129" w:lineRule="exact"/>
              <w:rPr>
                <w:rFonts w:ascii="Times New Roman" w:cs="Times New Roman" w:eastAsia="Times New Roman" w:hAnsi="Times New Roman"/>
                <w:sz w:val="14"/>
                <w:szCs w:val="14"/>
                <w:color w:val="0000EE"/>
              </w:rPr>
            </w:pPr>
            <w:hyperlink w:anchor="page81">
              <w:r>
                <w:rPr>
                  <w:rFonts w:ascii="Times New Roman" w:cs="Times New Roman" w:eastAsia="Times New Roman" w:hAnsi="Times New Roman"/>
                  <w:sz w:val="14"/>
                  <w:szCs w:val="14"/>
                  <w:color w:val="0000EE"/>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80" w:type="dxa"/>
            <w:vAlign w:val="bottom"/>
            <w:tcBorders>
              <w:top w:val="single" w:sz="8" w:color="0000EE"/>
            </w:tcBorders>
            <w:gridSpan w:val="6"/>
          </w:tcPr>
          <w:p>
            <w:pPr>
              <w:spacing w:after="0" w:line="129" w:lineRule="exact"/>
              <w:rPr>
                <w:rFonts w:ascii="Times New Roman" w:cs="Times New Roman" w:eastAsia="Times New Roman" w:hAnsi="Times New Roman"/>
                <w:sz w:val="14"/>
                <w:szCs w:val="14"/>
                <w:color w:val="0000EE"/>
              </w:rPr>
            </w:pPr>
            <w:hyperlink w:anchor="page81">
              <w:r>
                <w:rPr>
                  <w:rFonts w:ascii="Times New Roman" w:cs="Times New Roman" w:eastAsia="Times New Roman" w:hAnsi="Times New Roman"/>
                  <w:sz w:val="14"/>
                  <w:szCs w:val="14"/>
                  <w:color w:val="0000EE"/>
                </w:rPr>
                <w:t>Pursuant to Section 302 of the Sarbanes-Oxley Act of 2002.</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jc w:val="center"/>
              <w:ind w:right="388"/>
              <w:spacing w:after="0" w:line="129" w:lineRule="exact"/>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1"/>
                <w:szCs w:val="11"/>
                <w:color w:val="auto"/>
              </w:rPr>
            </w:pPr>
          </w:p>
        </w:tc>
        <w:tc>
          <w:tcPr>
            <w:tcW w:w="3440" w:type="dxa"/>
            <w:vAlign w:val="bottom"/>
            <w:tcBorders>
              <w:top w:val="single" w:sz="8" w:color="0000EE"/>
            </w:tcBorders>
            <w:gridSpan w:val="3"/>
          </w:tcPr>
          <w:p>
            <w:pPr>
              <w:spacing w:after="0" w:line="129" w:lineRule="exact"/>
              <w:rPr>
                <w:rFonts w:ascii="Times New Roman" w:cs="Times New Roman" w:eastAsia="Times New Roman" w:hAnsi="Times New Roman"/>
                <w:sz w:val="14"/>
                <w:szCs w:val="14"/>
                <w:color w:val="0000EE"/>
              </w:rPr>
            </w:pPr>
            <w:hyperlink w:anchor="page82">
              <w:r>
                <w:rPr>
                  <w:rFonts w:ascii="Times New Roman" w:cs="Times New Roman" w:eastAsia="Times New Roman" w:hAnsi="Times New Roman"/>
                  <w:sz w:val="14"/>
                  <w:szCs w:val="14"/>
                  <w:color w:val="0000EE"/>
                </w:rPr>
                <w:t>Certification of Principal Executive Officer Pursuant to 18</w:t>
              </w:r>
            </w:hyperlink>
          </w:p>
        </w:tc>
        <w:tc>
          <w:tcPr>
            <w:tcW w:w="5260" w:type="dxa"/>
            <w:vAlign w:val="bottom"/>
            <w:gridSpan w:val="4"/>
          </w:tcPr>
          <w:p>
            <w:pPr>
              <w:jc w:val="right"/>
              <w:ind w:right="40"/>
              <w:spacing w:after="0" w:line="129" w:lineRule="exact"/>
              <w:rPr>
                <w:rFonts w:ascii="Times New Roman" w:cs="Times New Roman" w:eastAsia="Times New Roman" w:hAnsi="Times New Roman"/>
                <w:sz w:val="14"/>
                <w:szCs w:val="14"/>
                <w:color w:val="0000EE"/>
              </w:rPr>
            </w:pPr>
            <w:hyperlink w:anchor="page82">
              <w:r>
                <w:rPr>
                  <w:rFonts w:ascii="Times New Roman" w:cs="Times New Roman" w:eastAsia="Times New Roman" w:hAnsi="Times New Roman"/>
                  <w:sz w:val="14"/>
                  <w:szCs w:val="14"/>
                  <w:color w:val="0000EE"/>
                </w:rPr>
                <w:t>U.S.C. Section 1350, as Adopted Pursuant to Section 906 of the Sarbanes-Oxley Act of</w:t>
              </w:r>
            </w:hyperlink>
          </w:p>
        </w:tc>
        <w:tc>
          <w:tcPr>
            <w:tcW w:w="0" w:type="dxa"/>
            <w:vAlign w:val="bottom"/>
          </w:tcPr>
          <w:p>
            <w:pPr>
              <w:spacing w:after="0"/>
              <w:rPr>
                <w:sz w:val="1"/>
                <w:szCs w:val="1"/>
                <w:color w:val="auto"/>
              </w:rPr>
            </w:pPr>
          </w:p>
        </w:tc>
      </w:tr>
      <w:tr>
        <w:trPr>
          <w:trHeight w:val="128"/>
        </w:trPr>
        <w:tc>
          <w:tcPr>
            <w:tcW w:w="1000" w:type="dxa"/>
            <w:vAlign w:val="bottom"/>
            <w:vMerge w:val="restart"/>
          </w:tcPr>
          <w:p>
            <w:pPr>
              <w:jc w:val="center"/>
              <w:ind w:right="388"/>
              <w:spacing w:after="0"/>
              <w:rPr>
                <w:sz w:val="20"/>
                <w:szCs w:val="20"/>
                <w:color w:val="auto"/>
              </w:rPr>
            </w:pPr>
            <w:r>
              <w:rPr>
                <w:rFonts w:ascii="Times New Roman" w:cs="Times New Roman" w:eastAsia="Times New Roman" w:hAnsi="Times New Roman"/>
                <w:sz w:val="14"/>
                <w:szCs w:val="14"/>
                <w:color w:val="auto"/>
              </w:rPr>
              <w:t>32.2*</w:t>
            </w:r>
          </w:p>
        </w:tc>
        <w:tc>
          <w:tcPr>
            <w:tcW w:w="20" w:type="dxa"/>
            <w:vAlign w:val="bottom"/>
          </w:tcPr>
          <w:p>
            <w:pPr>
              <w:spacing w:after="0"/>
              <w:rPr>
                <w:sz w:val="11"/>
                <w:szCs w:val="11"/>
                <w:color w:val="auto"/>
              </w:rPr>
            </w:pPr>
          </w:p>
        </w:tc>
        <w:tc>
          <w:tcPr>
            <w:tcW w:w="320" w:type="dxa"/>
            <w:vAlign w:val="bottom"/>
            <w:tcBorders>
              <w:top w:val="single" w:sz="8" w:color="0000EE"/>
              <w:bottom w:val="single" w:sz="8" w:color="0000EE"/>
            </w:tcBorders>
          </w:tcPr>
          <w:p>
            <w:pPr>
              <w:spacing w:after="0" w:line="129" w:lineRule="exact"/>
              <w:rPr>
                <w:rFonts w:ascii="Times New Roman" w:cs="Times New Roman" w:eastAsia="Times New Roman" w:hAnsi="Times New Roman"/>
                <w:sz w:val="14"/>
                <w:szCs w:val="14"/>
                <w:color w:val="0000EE"/>
                <w:w w:val="95"/>
              </w:rPr>
            </w:pPr>
            <w:hyperlink w:anchor="page82">
              <w:r>
                <w:rPr>
                  <w:rFonts w:ascii="Times New Roman" w:cs="Times New Roman" w:eastAsia="Times New Roman" w:hAnsi="Times New Roman"/>
                  <w:sz w:val="14"/>
                  <w:szCs w:val="14"/>
                  <w:color w:val="0000EE"/>
                  <w:w w:val="95"/>
                </w:rPr>
                <w:t>2002.</w:t>
              </w:r>
            </w:hyperlink>
          </w:p>
        </w:tc>
        <w:tc>
          <w:tcPr>
            <w:tcW w:w="1220" w:type="dxa"/>
            <w:vAlign w:val="bottom"/>
            <w:tcBorders>
              <w:top w:val="single" w:sz="8" w:color="0000EE"/>
            </w:tcBorders>
          </w:tcPr>
          <w:p>
            <w:pPr>
              <w:spacing w:after="0"/>
              <w:rPr>
                <w:sz w:val="11"/>
                <w:szCs w:val="11"/>
                <w:color w:val="auto"/>
              </w:rPr>
            </w:pPr>
          </w:p>
        </w:tc>
        <w:tc>
          <w:tcPr>
            <w:tcW w:w="19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2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660" w:type="dxa"/>
            <w:vAlign w:val="bottom"/>
            <w:tcBorders>
              <w:bottom w:val="single" w:sz="8" w:color="0000EE"/>
            </w:tcBorders>
            <w:gridSpan w:val="5"/>
          </w:tcPr>
          <w:p>
            <w:pPr>
              <w:spacing w:after="0" w:line="129" w:lineRule="exact"/>
              <w:rPr>
                <w:rFonts w:ascii="Times New Roman" w:cs="Times New Roman" w:eastAsia="Times New Roman" w:hAnsi="Times New Roman"/>
                <w:sz w:val="14"/>
                <w:szCs w:val="14"/>
                <w:color w:val="0000EE"/>
              </w:rPr>
            </w:pPr>
            <w:hyperlink w:anchor="page83">
              <w:r>
                <w:rPr>
                  <w:rFonts w:ascii="Times New Roman" w:cs="Times New Roman" w:eastAsia="Times New Roman" w:hAnsi="Times New Roman"/>
                  <w:sz w:val="14"/>
                  <w:szCs w:val="14"/>
                  <w:color w:val="0000EE"/>
                </w:rPr>
                <w:t>Certification of Principal Financial Officer Pursuant to 18 U.S.C. Section 1350, as Adopted Pursuant to Section 906 of the Sarbanes-Oxley Act of</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vMerge w:val="restart"/>
          </w:tcPr>
          <w:p>
            <w:pPr>
              <w:jc w:val="center"/>
              <w:ind w:right="388"/>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1"/>
                <w:szCs w:val="11"/>
                <w:color w:val="auto"/>
              </w:rPr>
            </w:pPr>
          </w:p>
        </w:tc>
        <w:tc>
          <w:tcPr>
            <w:tcW w:w="320" w:type="dxa"/>
            <w:vAlign w:val="bottom"/>
            <w:tcBorders>
              <w:bottom w:val="single" w:sz="8" w:color="0000EE"/>
            </w:tcBorders>
          </w:tcPr>
          <w:p>
            <w:pPr>
              <w:spacing w:after="0" w:line="129" w:lineRule="exact"/>
              <w:rPr>
                <w:rFonts w:ascii="Times New Roman" w:cs="Times New Roman" w:eastAsia="Times New Roman" w:hAnsi="Times New Roman"/>
                <w:sz w:val="14"/>
                <w:szCs w:val="14"/>
                <w:color w:val="0000EE"/>
                <w:w w:val="95"/>
              </w:rPr>
            </w:pPr>
            <w:hyperlink w:anchor="page83">
              <w:r>
                <w:rPr>
                  <w:rFonts w:ascii="Times New Roman" w:cs="Times New Roman" w:eastAsia="Times New Roman" w:hAnsi="Times New Roman"/>
                  <w:sz w:val="14"/>
                  <w:szCs w:val="14"/>
                  <w:color w:val="0000EE"/>
                  <w:w w:val="95"/>
                </w:rPr>
                <w:t>2002.</w:t>
              </w:r>
            </w:hyperlink>
          </w:p>
        </w:tc>
        <w:tc>
          <w:tcPr>
            <w:tcW w:w="838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color w:val="auto"/>
              </w:rPr>
              <w:t>Instance Document*</w:t>
            </w:r>
          </w:p>
        </w:tc>
        <w:tc>
          <w:tcPr>
            <w:tcW w:w="0" w:type="dxa"/>
            <w:vAlign w:val="bottom"/>
          </w:tcPr>
          <w:p>
            <w:pPr>
              <w:spacing w:after="0"/>
              <w:rPr>
                <w:sz w:val="1"/>
                <w:szCs w:val="1"/>
                <w:color w:val="auto"/>
              </w:rPr>
            </w:pPr>
          </w:p>
        </w:tc>
      </w:tr>
      <w:tr>
        <w:trPr>
          <w:trHeight w:val="119"/>
        </w:trPr>
        <w:tc>
          <w:tcPr>
            <w:tcW w:w="1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w w:val="86"/>
              </w:rPr>
              <w:t>XBRL</w:t>
            </w:r>
          </w:p>
        </w:tc>
        <w:tc>
          <w:tcPr>
            <w:tcW w:w="83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2"/>
                <w:szCs w:val="12"/>
                <w:color w:val="auto"/>
              </w:rPr>
            </w:pPr>
          </w:p>
        </w:tc>
        <w:tc>
          <w:tcPr>
            <w:tcW w:w="87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148"/>
        </w:trPr>
        <w:tc>
          <w:tcPr>
            <w:tcW w:w="100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2"/>
                <w:szCs w:val="12"/>
                <w:color w:val="auto"/>
              </w:rPr>
            </w:pPr>
          </w:p>
        </w:tc>
        <w:tc>
          <w:tcPr>
            <w:tcW w:w="87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49"/>
        </w:trPr>
        <w:tc>
          <w:tcPr>
            <w:tcW w:w="100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2"/>
                <w:szCs w:val="12"/>
                <w:color w:val="auto"/>
              </w:rPr>
            </w:pPr>
          </w:p>
        </w:tc>
        <w:tc>
          <w:tcPr>
            <w:tcW w:w="87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48"/>
        </w:trPr>
        <w:tc>
          <w:tcPr>
            <w:tcW w:w="100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2"/>
                <w:szCs w:val="12"/>
                <w:color w:val="auto"/>
              </w:rPr>
            </w:pPr>
          </w:p>
        </w:tc>
        <w:tc>
          <w:tcPr>
            <w:tcW w:w="87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188"/>
        </w:trPr>
        <w:tc>
          <w:tcPr>
            <w:tcW w:w="1000" w:type="dxa"/>
            <w:vAlign w:val="bottom"/>
          </w:tcPr>
          <w:p>
            <w:pPr>
              <w:jc w:val="center"/>
              <w:ind w:right="388"/>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6"/>
                <w:szCs w:val="16"/>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5684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left="660" w:right="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exhibits to the Company’s Registration Statement on Form S-1/A, filed with the SEC on July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exhibits to the Company’s Current Report on Form 8-K, filed with the SEC on July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868680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3" w:right="11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ind w:left="20"/>
        <w:spacing w:after="0"/>
        <w:tabs>
          <w:tab w:leader="none" w:pos="5060" w:val="left"/>
          <w:tab w:leader="none" w:pos="5560" w:val="left"/>
        </w:tabs>
        <w:rPr>
          <w:sz w:val="20"/>
          <w:szCs w:val="20"/>
          <w:color w:val="auto"/>
        </w:rPr>
      </w:pPr>
      <w:r>
        <w:rPr>
          <w:rFonts w:ascii="Times New Roman" w:cs="Times New Roman" w:eastAsia="Times New Roman" w:hAnsi="Times New Roman"/>
          <w:sz w:val="18"/>
          <w:szCs w:val="18"/>
          <w:color w:val="auto"/>
        </w:rPr>
        <w:t>Date: April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5715</wp:posOffset>
            </wp:positionV>
            <wp:extent cx="27603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Name:Someit Sidhu, MD</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 w:type="dxa"/>
            <w:vAlign w:val="bottom"/>
          </w:tcPr>
          <w:p>
            <w:pPr>
              <w:spacing w:after="0"/>
              <w:rPr>
                <w:sz w:val="20"/>
                <w:szCs w:val="20"/>
                <w:color w:val="auto"/>
              </w:rPr>
            </w:pPr>
          </w:p>
        </w:tc>
        <w:tc>
          <w:tcPr>
            <w:tcW w:w="412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98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Someit Sidhu</w:t>
            </w:r>
          </w:p>
        </w:tc>
        <w:tc>
          <w:tcPr>
            <w:tcW w:w="320" w:type="dxa"/>
            <w:vAlign w:val="bottom"/>
          </w:tcPr>
          <w:p>
            <w:pPr>
              <w:spacing w:after="0"/>
              <w:rPr>
                <w:sz w:val="18"/>
                <w:szCs w:val="18"/>
                <w:color w:val="auto"/>
              </w:rPr>
            </w:pPr>
          </w:p>
        </w:tc>
        <w:tc>
          <w:tcPr>
            <w:tcW w:w="3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Director and Chairman</w:t>
            </w:r>
          </w:p>
        </w:tc>
        <w:tc>
          <w:tcPr>
            <w:tcW w:w="320" w:type="dxa"/>
            <w:vAlign w:val="bottom"/>
          </w:tcPr>
          <w:p>
            <w:pPr>
              <w:spacing w:after="0"/>
              <w:rPr>
                <w:sz w:val="18"/>
                <w:szCs w:val="18"/>
                <w:color w:val="auto"/>
              </w:rPr>
            </w:pPr>
          </w:p>
        </w:tc>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11, 2022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Someit Sidhu, MD</w:t>
            </w:r>
          </w:p>
        </w:tc>
        <w:tc>
          <w:tcPr>
            <w:tcW w:w="320" w:type="dxa"/>
            <w:vAlign w:val="bottom"/>
          </w:tcPr>
          <w:p>
            <w:pPr>
              <w:spacing w:after="0"/>
              <w:rPr>
                <w:sz w:val="16"/>
                <w:szCs w:val="16"/>
                <w:color w:val="auto"/>
              </w:rPr>
            </w:pPr>
          </w:p>
        </w:tc>
        <w:tc>
          <w:tcPr>
            <w:tcW w:w="41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(Principal Executive Officer)</w:t>
            </w: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Verender S. Badial</w:t>
            </w:r>
          </w:p>
        </w:tc>
        <w:tc>
          <w:tcPr>
            <w:tcW w:w="3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April 11, 2022</w:t>
            </w:r>
          </w:p>
        </w:tc>
        <w:tc>
          <w:tcPr>
            <w:tcW w:w="0" w:type="dxa"/>
            <w:vAlign w:val="bottom"/>
          </w:tcPr>
          <w:p>
            <w:pPr>
              <w:spacing w:after="0"/>
              <w:rPr>
                <w:sz w:val="1"/>
                <w:szCs w:val="1"/>
                <w:color w:val="auto"/>
              </w:rPr>
            </w:pPr>
          </w:p>
        </w:tc>
      </w:tr>
      <w:tr>
        <w:trPr>
          <w:trHeight w:val="221"/>
        </w:trPr>
        <w:tc>
          <w:tcPr>
            <w:tcW w:w="25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Verender S. Badial</w:t>
            </w:r>
          </w:p>
        </w:tc>
        <w:tc>
          <w:tcPr>
            <w:tcW w:w="320" w:type="dxa"/>
            <w:vAlign w:val="bottom"/>
          </w:tcPr>
          <w:p>
            <w:pPr>
              <w:spacing w:after="0"/>
              <w:rPr>
                <w:sz w:val="16"/>
                <w:szCs w:val="16"/>
                <w:color w:val="auto"/>
              </w:rPr>
            </w:pPr>
          </w:p>
        </w:tc>
        <w:tc>
          <w:tcPr>
            <w:tcW w:w="4120" w:type="dxa"/>
            <w:vAlign w:val="bottom"/>
            <w:gridSpan w:val="2"/>
            <w:vMerge w:val="continue"/>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Tauhid Ali</w:t>
            </w:r>
          </w:p>
        </w:tc>
        <w:tc>
          <w:tcPr>
            <w:tcW w:w="3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11, 2022</w:t>
            </w:r>
          </w:p>
        </w:tc>
        <w:tc>
          <w:tcPr>
            <w:tcW w:w="0" w:type="dxa"/>
            <w:vAlign w:val="bottom"/>
          </w:tcPr>
          <w:p>
            <w:pPr>
              <w:spacing w:after="0"/>
              <w:rPr>
                <w:sz w:val="1"/>
                <w:szCs w:val="1"/>
                <w:color w:val="auto"/>
              </w:rPr>
            </w:pPr>
          </w:p>
        </w:tc>
      </w:tr>
      <w:tr>
        <w:trPr>
          <w:trHeight w:val="232"/>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Tauhid Ali, PhD</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Arnout Ploos van Amstel</w:t>
            </w:r>
          </w:p>
        </w:tc>
        <w:tc>
          <w:tcPr>
            <w:tcW w:w="3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11, 2022</w:t>
            </w:r>
          </w:p>
        </w:tc>
        <w:tc>
          <w:tcPr>
            <w:tcW w:w="0" w:type="dxa"/>
            <w:vAlign w:val="bottom"/>
          </w:tcPr>
          <w:p>
            <w:pPr>
              <w:spacing w:after="0"/>
              <w:rPr>
                <w:sz w:val="1"/>
                <w:szCs w:val="1"/>
                <w:color w:val="auto"/>
              </w:rPr>
            </w:pPr>
          </w:p>
        </w:tc>
      </w:tr>
      <w:tr>
        <w:trPr>
          <w:trHeight w:val="232"/>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Arnout Ploos van Amstel</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Javier Cote-Sierra</w:t>
            </w:r>
          </w:p>
        </w:tc>
        <w:tc>
          <w:tcPr>
            <w:tcW w:w="3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11, 2022</w:t>
            </w:r>
          </w:p>
        </w:tc>
        <w:tc>
          <w:tcPr>
            <w:tcW w:w="0" w:type="dxa"/>
            <w:vAlign w:val="bottom"/>
          </w:tcPr>
          <w:p>
            <w:pPr>
              <w:spacing w:after="0"/>
              <w:rPr>
                <w:sz w:val="1"/>
                <w:szCs w:val="1"/>
                <w:color w:val="auto"/>
              </w:rPr>
            </w:pPr>
          </w:p>
        </w:tc>
      </w:tr>
      <w:tr>
        <w:trPr>
          <w:trHeight w:val="232"/>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Javier Cote-Sierra, PhD</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Graeme Sloan</w:t>
            </w:r>
          </w:p>
        </w:tc>
        <w:tc>
          <w:tcPr>
            <w:tcW w:w="3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11, 2022</w:t>
            </w:r>
          </w:p>
        </w:tc>
        <w:tc>
          <w:tcPr>
            <w:tcW w:w="0" w:type="dxa"/>
            <w:vAlign w:val="bottom"/>
          </w:tcPr>
          <w:p>
            <w:pPr>
              <w:spacing w:after="0"/>
              <w:rPr>
                <w:sz w:val="1"/>
                <w:szCs w:val="1"/>
                <w:color w:val="auto"/>
              </w:rPr>
            </w:pPr>
          </w:p>
        </w:tc>
      </w:tr>
      <w:tr>
        <w:trPr>
          <w:trHeight w:val="232"/>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Graeme Sloan</w:t>
            </w:r>
          </w:p>
        </w:tc>
        <w:tc>
          <w:tcPr>
            <w:tcW w:w="3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9"/>
        </w:trPr>
        <w:tc>
          <w:tcPr>
            <w:tcW w:w="2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30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340" w:type="dxa"/>
            <w:vAlign w:val="bottom"/>
            <w:gridSpan w:val="7"/>
            <w:shd w:val="clear" w:color="auto" w:fill="CCEEFF"/>
          </w:tcPr>
          <w:p>
            <w:pPr>
              <w:spacing w:after="0" w:line="169"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 xml:space="preserve">Report of Independent Registered Public Accounting Firm </w:t>
              </w:r>
            </w:hyperlink>
            <w:r>
              <w:rPr>
                <w:rFonts w:ascii="Times New Roman" w:cs="Times New Roman" w:eastAsia="Times New Roman" w:hAnsi="Times New Roman"/>
                <w:sz w:val="18"/>
                <w:szCs w:val="18"/>
                <w:color w:val="000000"/>
              </w:rPr>
              <w:t>(PCAOB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ID #688)</w:t>
            </w:r>
          </w:p>
        </w:tc>
        <w:tc>
          <w:tcPr>
            <w:tcW w:w="560" w:type="dxa"/>
            <w:vAlign w:val="bottom"/>
            <w:shd w:val="clear" w:color="auto" w:fill="CCEEFF"/>
          </w:tcPr>
          <w:p>
            <w:pPr>
              <w:ind w:left="160"/>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Balance Sheet as of December 31, 2021</w:t>
              </w:r>
            </w:hyperlink>
          </w:p>
        </w:tc>
        <w:tc>
          <w:tcPr>
            <w:tcW w:w="514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Statement of Operations for the period from March 10, 2021 (inception) through December 31, 2021</w:t>
              </w:r>
            </w:hyperlink>
          </w:p>
        </w:tc>
        <w:tc>
          <w:tcPr>
            <w:tcW w:w="56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30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7"/>
          </w:tcPr>
          <w:p>
            <w:pPr>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Statement of Changes in Shareholders’ Deficit for the period from March 10, 2021 (inception) through December 31, 2021</w:t>
              </w:r>
            </w:hyperlink>
          </w:p>
        </w:tc>
        <w:tc>
          <w:tcPr>
            <w:tcW w:w="5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0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Statement of Cash Flows for the period from March 10, 2021 (inception) through December 31, 2021</w:t>
              </w:r>
            </w:hyperlink>
          </w:p>
        </w:tc>
        <w:tc>
          <w:tcPr>
            <w:tcW w:w="2040" w:type="dxa"/>
            <w:vAlign w:val="bottom"/>
            <w:tcBorders>
              <w:bottom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7"/>
          </w:tcPr>
          <w:p>
            <w:pPr>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Notes to Financial Statements</w:t>
              </w:r>
            </w:hyperlink>
          </w:p>
        </w:tc>
        <w:tc>
          <w:tcPr>
            <w:tcW w:w="5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 of JATT Acquisition Corp (the “Company”) as of December 31, 2021, the related statements of operations, shareholders’ deficit and cash flows for the period from March 10,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March 10, 2021 (inception) through December 31, 2021,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Company's business plan is dependent on the completion of a business combination and the Company has a mandatory liquidation date of January 16, 2023 with subsequent dissolution, and there is no guarantee that the Company will complete a business combination by then. The Company's cash and working capital as of December 31, 2021 are not sufficient to complete its planned activities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 1 to the financial statements. The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JATT ACQUISITION CORP</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0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139,399,054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140,551,171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 Shareholders’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related party</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13,800,000 shares subject to possible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at $10.10 per share</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or outstanding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no non-redeemable shares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or outstanding</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3,450,000 shares issued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(9,181,366)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(9,181,021)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 Shareholders’</w:t>
            </w:r>
          </w:p>
        </w:tc>
        <w:tc>
          <w:tcPr>
            <w:tcW w:w="32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140,551,171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7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For The Period from March 10, 2021 (Inception) through December 31, 2021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 - related party</w:t>
            </w:r>
          </w:p>
        </w:tc>
        <w:tc>
          <w:tcPr>
            <w:tcW w:w="6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upon issuance of private placement warrants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associated with derivative warrant liabilities</w:t>
            </w:r>
          </w:p>
        </w:tc>
        <w:tc>
          <w:tcPr>
            <w:tcW w:w="6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income (expenses)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0" w:type="dxa"/>
            <w:vAlign w:val="bottom"/>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6,848,645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of Class A ordinary shares - basic and diluted</w:t>
            </w:r>
          </w:p>
        </w:tc>
        <w:tc>
          <w:tcPr>
            <w:tcW w:w="6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7,834,343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share, Class A ordinary shares</w:t>
            </w:r>
          </w:p>
        </w:tc>
        <w:tc>
          <w:tcPr>
            <w:tcW w:w="6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Class A ordinary shares</w:t>
            </w:r>
          </w:p>
        </w:tc>
        <w:tc>
          <w:tcPr>
            <w:tcW w:w="6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6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of Class B ordinary shares - basic</w:t>
            </w:r>
          </w:p>
        </w:tc>
        <w:tc>
          <w:tcPr>
            <w:tcW w:w="6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3,130,303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shares of Class B ordinary shares - diluted</w:t>
            </w:r>
          </w:p>
        </w:tc>
        <w:tc>
          <w:tcPr>
            <w:tcW w:w="6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3,310,606</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income per share, Class B ordinary shares</w:t>
            </w:r>
          </w:p>
        </w:tc>
        <w:tc>
          <w:tcPr>
            <w:tcW w:w="6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per share, Class B ordinary shares</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DEFICIT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March 10, 2021 (inception) through December 31, 2021</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bottom w:val="single" w:sz="8" w:color="auto"/>
            </w:tcBorders>
            <w:gridSpan w:val="3"/>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7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r>
      <w:tr>
        <w:trPr>
          <w:trHeight w:val="196"/>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March 10, 2021(inception)</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B ordinary shares to</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Sponsor</w:t>
            </w:r>
          </w:p>
        </w:tc>
        <w:tc>
          <w:tcPr>
            <w:tcW w:w="1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195"/>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Deemed capital contribution by from</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Sponsor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4,738,051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4,738,051</w:t>
            </w:r>
          </w:p>
        </w:tc>
      </w:tr>
      <w:tr>
        <w:trPr>
          <w:trHeight w:val="18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 to Class A ordinary</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subject to redemption</w:t>
            </w:r>
          </w:p>
        </w:tc>
        <w:tc>
          <w:tcPr>
            <w:tcW w:w="12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(16,030,011)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(20,792,717)</w:t>
            </w:r>
          </w:p>
        </w:tc>
      </w:tr>
      <w:tr>
        <w:trPr>
          <w:trHeight w:val="20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6,848,645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6,848,645</w:t>
            </w:r>
          </w:p>
        </w:tc>
      </w:tr>
      <w:tr>
        <w:trPr>
          <w:trHeight w:val="196"/>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2021</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3,450,000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(9,181,366)</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(9,181,021)</w:t>
            </w: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0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For the period from March 10, 2021 (Inception)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564896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on investments held in the Trust Account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Offering costs associated with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upon issuance of private placement warrants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related party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(1,098,146)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(139,380,000)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Class B ordinary shares to Sponsor</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to related party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from underwriter</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141,207,369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729,223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adjustment to Class A ordinary shares subject to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20,792,717</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AND BASIS OF PRESENTATION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JATT Acquisition Corp (the “Company”) is a blank check company incorporated as a Cayman Islands exempted company on March 10,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yet commenced operations. All activity for the period from March 10, 2021 (inception) through December 31, 2021, relates to the Company’s formation and the initial public offering (the “Initial Public Offering”), which is described below, and since the Initial Public Offering the search for a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 The Company has selected December 31 as its fiscal year end.</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Company’s sponsor is JATT Ventures, L.P., a Cayman Islands exempted limited partnership (the “Sponsor”). The registration statement for the Company’s Initial Public Offering was declared effective on July 13, 2021. On July 16, 2021, the Company consummated its Initial Public Offering of 12,000,000 units (the “Units” and, with respect to the Class A ordinary shares included in the Units being offered, the “Public Shares”), at $10.00 per Unit, generating gross proceeds of $120.0 million, and incurring offering costs of approximately $10.5 million (net of reimbursement from underwriter of $480,000), of which approximately $3.4 million was for deferred underwriting commissions (see Note 5), approximately $4.7 million was incentives provided to Anchor Investors by the Sponsor (see Note 4), and approximately $685,000 of offering costs allocated to derivative warrant liabilities. On July 19, 2021, the underwriters fully exercised their option and purchased 1,800,000 additional Units, generating gross proceeds of $18.0 million (the “Over-Allotment”), and incurring offering costs of $990,000, of which $630,000 was for deferred underwriting commissions and approximately $62,000 was allocated to derivative warrant liabilities.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5,370,000 warrants (each, a “Private Placement Warrant” and collectively, the “Private Placement Warrants”), at a price of $1.00 per Private Placement Warrant to the Sponsor, generating proceeds of approximately $5.4 million (see Note 4). Concurrent with the consummation of the Over-Allotment on July 19, 2021, the Sponsor purchased 540,000 additional Private Placement Warrants, generating proceeds of $540,000 (the “Second Private Placement”).</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on July 16, 2021, and the Over-Allotment and Second Private Placement on July 16, 2021, approximately $139.4 million ($10.10 per Unit) of the net proceeds were placed in a trust account (“Trust Account”) with Continental Stock Transfer &amp; Trust Company acting as trustee and invested in United States “government securities” within the meaning of Section 2(a)(16) of the Investment Company Act having a maturity of 185 days or less or in money market funds meeting certain conditions under Rule 2a-7 promulgated under Investment Company Act of 1940, as amended,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any deferred underwriters fees and taxes payable on the income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 Company will provide its holders of the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at $10.10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5). These Public Shares have been recorded at a redemption value and classified as temporary equity in accordance with Financial Accounting Standards Board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were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have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20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3"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The Company’s Sponsor, officers and directors have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6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18 months from the closing of the Initial Public Offering, or January 16,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the remaining shareholders and the board of directors, liquidate and dissolve, subject, in the case of clauses (ii) and (iii), to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obligations under Cayman Islands law to provide for claims of creditors and in all cases subject to the other requirements of applicable law.</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80"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5)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$10.10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$10.10 per Public Share and (ii) the actual amount per Public Share held in the trust account as of the date of the liquidation of the Trust Account, if less than $10.10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approximately $729,000 in its operating bank account and working capital of approximately $880,000.</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Company’s liquidity needs through December 31, 2021, were satisfied through the cash contribution of $25,000 from the Sponsor to purchase Founder Shares (as defined in Note 4), and a loan from its Sponsor of approximately $117,000 under the Note (as defined in Note 4). The Company repaid the Note in full on July 21, 2021. Subsequent to the consummation of the Initial Public Offering, the Company’s liquidity has been satisfied through the net proceeds from the consummation of the Initial Public Offering and the Private Placement held outside of the Trust Account. In addition, in order to finance transaction costs in connection with a Business Combination, the Sponsor or an affiliate of the Sponsor, or certain of the Company’s officers and directors may, but are not obligated to, provide the Company Working Capital Loans (as defined in Note 4). As of December 31, 2021, there were no Working Capital Loans outstanding.</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Based on the Company’s mandatory liquidation date and the Company’s expected future cash flow needs, management has determined that the existing amount of working capital raises substantial doubt about the Company’s ability to continue as a going concern until the earlier of the consummation of the Business Combination or the date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Company is required to liquidate. The financial statements do not include any adjustment that might be necessary if the Company is unable to continue as a going concern.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Initial Business Combination. No adjustments have been made to the carrying amounts of assets or liabilities should the Company be required to liquidate after January 16, 2023. The financial statements do not include any adjustment that might be necessary if the Company is unable to continue as a going concern.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at December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Corporation coverage limit of $250,000, and any investments held in Trust Account. At December 31, 2021, the Company had not experienced losses on these accounts and management believes the Company is not exposed to significant risks on such account.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investment income on Trust Account in the accompanying statements of operations. The estimated fair values of investments held in the Trust Account are determined using available market information.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(“ASC 820”), equal or approximate the carrying amounts represented in the balance sheet, primarily due to their short-term nature.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183" w:lineRule="exact"/>
        <w:rPr>
          <w:sz w:val="20"/>
          <w:szCs w:val="20"/>
          <w:color w:val="auto"/>
        </w:rPr>
      </w:pPr>
    </w:p>
    <w:p>
      <w:pPr>
        <w:ind w:left="380" w:hanging="330"/>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815, “Derivatives and Hedging” (“ASC 815”). The classification of derivative instruments, including whether such instruments should be recorded as liabilities or as equity, is re-assessed at the end of each reporting period.</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warrants issued in connection with the Initial Public Offering (the “Public Warrants”) and the Private Placement Warrants are recognized as derivative liabilities in accordance with ASC 815.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the Public Warrants and the Private Placement Warrants were initially measured at fair value using a Monte Carlo simulation and a Black Scholes option pricing model, respectively. The fair value of the Private Placement Warrants continues to be measured using a Black-Scholes option pricing model. The fair value of the Public Warrants are subsequently measured at their listed trading price since they began to be separately listed and traded beginning in September 2021. Derivative warrant liabilities are classified as non-current liabilities as their liquidation will not be reasonably expected to require the use of current assets or require the creation of current liabilities.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Initial Public Offering</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are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 of operations. Offering costs associated with the Public Shares were charged to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shares, which are referred to as Class A ordinary shares and Class B ordinary shares. Income and losses are shared pro rata between the two classes of shares. Net income (loss) per ordinary share is calculated by dividing the net income (loss) by the weighted average ordinary shares outstanding for the respective period.</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calculation of diluted net income per share does not consider the effect of the warrants issued in connection with the Initial Public Offering (including exercise of the over-allotment option) and the Private Placement to purchase an aggregate of 12,810,000 ordinary shares because their exercise is contingent upon future events. The number of weighted average Class B ordinary shares for calculating basic net income per ordinary share was reduced for the effect of an aggregate of 450,000 Class B ordinary shares that were subject to forfeiture if the over-allotment option was not exercised in full or part by the underwriters (see Note 4). Since the contingency was satisfied as of December 31, 2021, the Company included these shares in the weighted average number as of the beginning of the period to determine the dilutive impact of these shares. The fair value adjustment associated with the redeemable Class A ordinary shares is excluded from earnings per share as the redemption value approximates fair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used to compute basic and diluted net income (loss) per share for each class of ordinary shares.</w:t>
      </w:r>
    </w:p>
    <w:p>
      <w:pPr>
        <w:spacing w:after="0" w:line="16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For The Period From March 10, 2021</w:t>
      </w:r>
    </w:p>
    <w:p>
      <w:pPr>
        <w:ind w:left="6540"/>
        <w:spacing w:after="0"/>
        <w:rPr>
          <w:sz w:val="20"/>
          <w:szCs w:val="20"/>
          <w:color w:val="auto"/>
        </w:rPr>
      </w:pPr>
      <w:r>
        <w:rPr>
          <w:rFonts w:ascii="Times New Roman" w:cs="Times New Roman" w:eastAsia="Times New Roman" w:hAnsi="Times New Roman"/>
          <w:sz w:val="14"/>
          <w:szCs w:val="14"/>
          <w:b w:val="1"/>
          <w:bCs w:val="1"/>
          <w:color w:val="auto"/>
        </w:rPr>
        <w:t>(Inception) through December 31, 2021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Allocation of net income (loss) - basic</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4,893,422</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 of net income (loss) - diluted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4,814,256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 and diluted weighted average ordinary shares outstanding</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7,834,343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weighted average ordinary shares outstanding</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7,834,343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ordinary share</w:t>
            </w:r>
          </w:p>
        </w:tc>
        <w:tc>
          <w:tcPr>
            <w:tcW w:w="8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net income per ordinary share</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As of December 31, 2021, 13,800,000 shares of Class A ordinary shares are subject to possible redemption and are presented at redemption value as temporary equity, outside of the shareholders’ equity section of the Company’s balance sheets.</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the Class A ordinary shares subject to possible redemption to equal the redemption value at the end of each reporting period. Effective with the closing of the Initial Public Offering (including the exercise of the over-allotment option), the Company recognized the fair value adjustment from initial book value to redemption amount, which resulted in charges against additional paid-in capital (to the extent available) and accumulated deficit.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FASB 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reflected in the Company’s financial statement. The Company’s management does not expect that the total amount of unrecognized tax benefits will materially change over the next twelve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March 10, 2021 (inception). Adoption of the ASU did not impact the Company’s financial position, results of operations or cash flows.</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pronouncements, if currently adopted, would have a material effect on the Company’s financial statements.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July 16, 2021, the Company consummated its Initial Public Offering of 12,000,000 Units, at $10.00 per Unit, generating gross proceeds of $120.0 million, and incurring offering costs of approximately $10.5 million (net of reimbursement from the underwriters of $480,000), of which approximately $3.4 million was for deferred underwriting commissions, approximately $4.7 million was incentives provided to Anchor Investors by the Sponsor (see Note 4), and approximately $685,000 was allocated to offering costs associated with derivative warrant liabilities. On July 19, 2021, the underwriters fully exercised their option and purchased 1,800,000 additional Units, generating gross proceeds of $18.0 million, and incurring offering costs of $990,000, of which $630,000 was for deferred underwriting commissions and approximately $62,000 was allocated to offering costs associated with the derivative warrant liabilities.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Each Unit consists of one Class A ordinary share and one-half (1/2) of one redeemable warrant (“Public Warrant”). Each whole Public Warrant entitles the holder to purchase one Class A ordinary share at an exercise price of $11.50 per share, subject to adjustment (see Note 8).</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March 22, 2021, the Sponsor purchased 4,312,500 founder shares (“Founder Shares”), which are Class B ordinary shares, for an aggregate purchase price of $25,000, or approximately $0.006 per share. On June 14, 2021, Sponsor effected a surrender of 862,500 Class B ordinary shares to us for no consideration, resulting in a decrease in the total number of Class B ordinary shares outstanding from 4,312,500 to 3,450,000. All shares and share amounts have been retroactively adjusted. The holders of the Founder Shares agreed to surrender and cancel up to an aggregate of 450,000 Founder Shares, on a pro rata basis, to the extent that the option to purchase additional Units was not exercised in full by the underwriters, so that the Founder Shares would represent approximately 20% of the Company’s issued and outstanding shares after the Initial Public Offering. The underwriters fully exercised their over-allotment option on July 19, 2021; therefore, these 450,000 Founder Shares were no longer subject to possible redemption.</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IPO and sale of Units to the Anchor Investors, in exchange for the Anchor Investors’ participation in the Initial Public Offering, the Sponsor sold and transferred membership interests in the Sponsor that, in aggregate, represent an indirect economic interest in 917,365 Founder Shares and 2,490,500 Private Placement Warrants. The Anchor Investors paid approximately $2.5 million in total for the Sponsor membership interests, resulting in each Anchor Investor effectively paying $1.00 per Private Placement Warrant and approximately $0.008 per Founder Share. The Company determined that the aggregate fair value of the Sponsor membership interests sold to the Anchor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Investors was approximately $7.2 million. To estimate the fair value of Sponsor membership interests, management considered the probability and timing of IPO completion, business combination completion, and an appropriate discount for lack of marketability, all Level 3 inputs under ASC 820. The excess of the fair value of the Sponsor membership interests issued to the Anchor Investors over the aggregate consideration paid for such interests was considered to be an offering cost of the Company’s Initial Public Offering, in accordance with Staff Accounting Bulletin Topic 5A, and a deemed divided to the Company from the Sponsor for the same amount.</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5,370,000 Private Placement Warrants, at a price of $1.00 per Private Placement Warrant to the Sponsor, and Anchor Investors, generating proceeds of approximately $5.4 million. Concurrent with the consummation of the Over-Allotment on July 19, 2021, the Sponsor purchased 540,000 additional Private Placement Warrants, generating proceeds of $540,000. The Anchor Investors purchased an indirect economic interest in 2,490,500 of the warrants in the Private Placement and the Second Private Placement.</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their permitted transferees.</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Sponsor, Anchor Investors and the Company’s officers and directors agreed, subject to limited exceptions, not to transfer, assign or sell any of their Private Placement Warrants until 30 days after the completion of the initial Business Combination.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March 22, 2021, the Sponsor agreed to loan the Company up to $200,000 pursuant to a promissory note (the “Note”). The Note was non-interest bearing, unsecured and due on the closing date of the Initial Public Offering. As of June 30, 2021, the Company borrowed approximately $117,000 under the Note. The Company repaid the Note in full on July 21, 2021. As of December 31, 2021, there was no balance outstanding.</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of the post Business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Combination entity at a price of $1.00 per warrant. The warrants would be identical to the Private Placement Warrants. Except for the foregoing, the terms of such Working Capital Loans, if any, have not been determined and no written agreements exist with respect to such loans. As of December 31, 2021, the Company had no borrowings under the Working Capital Loans.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 and Services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agreed to pay the Sponsor a total of $10,000 per month, commencing on the date of listing on the NYSE, for office space, utilities, secretarial and administrative support services provided to members of the management team. Upon completion of the initial Business Combination or the Company’s liquidation, the Company will cease paying these monthly fees. For the period from March 10, 2021 (inception) through December 31, 2021, the Company incurred such fees of $55,000, included as general and administrative fees – related party on the statement of operations. Approximately $18,000 has been included for such services and is included as due from related party on the accompanying balance sheet.</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 affiliate of the Company’s Sponsor and CFO provides office space and consulting services to the Company. For the period from March 10, 2021 (inception) through December 31, 2021, the Company incurred fees of $113,000, included as general and administrative fees – related party on the statement of operations. There is no balance owed for these services as of December 31,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August 5, 2021, the Company entered into Forward Purchase Agreements with certain Anchor Investors, Athanor Master Fund LP (“AMF”) and with Athanor International Master Fund, LP (“AIF”) (collectively the “Forward Purchase Agreements”, and collectively, “AMF and AIF are “Purchasers”).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Forward Purchase Agreements, the Company shall issue and sell to the Purchasers, and the Purchasers shall purchase from the Company, an aggregate of 7,500,000 forward purchase shares, or “Forward Purchase Shares”, for a purchase price of $10.00 per Forward Purchase Share, or $75,000,000 in the aggregate. Each Forward Purchase Share will consist of one Class A ordinary share of the Company. The Class A ordinary shares will have the same terms as the Company’s publicly traded Class A ordinary shares but will be restricted securities and not be freely tradable until registered with the SEC.</w:t>
      </w:r>
    </w:p>
    <w:p>
      <w:pPr>
        <w:spacing w:after="0" w:line="187" w:lineRule="exact"/>
        <w:rPr>
          <w:sz w:val="20"/>
          <w:szCs w:val="20"/>
          <w:color w:val="auto"/>
        </w:rPr>
      </w:pPr>
    </w:p>
    <w:p>
      <w:pPr>
        <w:ind w:left="60" w:right="179"/>
        <w:spacing w:after="0" w:line="269" w:lineRule="auto"/>
        <w:rPr>
          <w:sz w:val="20"/>
          <w:szCs w:val="20"/>
          <w:color w:val="auto"/>
        </w:rPr>
      </w:pPr>
      <w:r>
        <w:rPr>
          <w:rFonts w:ascii="Times New Roman" w:cs="Times New Roman" w:eastAsia="Times New Roman" w:hAnsi="Times New Roman"/>
          <w:sz w:val="17"/>
          <w:szCs w:val="17"/>
          <w:color w:val="auto"/>
        </w:rPr>
        <w:t>In January 2022, the Forward Purchase Agreements were amended (“Amended Forward Purchase Agreements”) to: i) reduce the number of forward purchase shares from an aggregate of 7,500,000 to 3,000,000 and from a total $75,000,000 in the aggregate to $30,000,000 in the aggregate; and ii) to add a requirement for the Purchasers to provide a binding redemption backstop (the “Redemption Backstop”) to purchase an additional $15 million of the redeeming shares in the event that redemptions are greater than 90% in connection with a Business Combination (the “Excess Redemptions”); and</w:t>
      </w:r>
    </w:p>
    <w:p>
      <w:pPr>
        <w:spacing w:after="0" w:line="3" w:lineRule="exact"/>
        <w:rPr>
          <w:sz w:val="20"/>
          <w:szCs w:val="20"/>
          <w:color w:val="auto"/>
        </w:rPr>
      </w:pPr>
    </w:p>
    <w:p>
      <w:pPr>
        <w:jc w:val="both"/>
        <w:ind w:left="60" w:right="79" w:hanging="10"/>
        <w:spacing w:after="0" w:line="253" w:lineRule="auto"/>
        <w:tabs>
          <w:tab w:leader="none" w:pos="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 requirement that at the time of entering into a binding agreement for the Business Combination, the Purchasers will directly provide the target merger company (Target”) with bridge financing of $30 million evidenced by a convertible promissory note (“Convertible Note”) which shall be convertible into the Company’s Class A ordinary shares at the closing of the Business Combination.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 Rights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The holders of these securities are entitled to make up to three demands,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 a 45-day option from the date of the Initial Public Offering to purchase up to 1,800,000 additional Units at the Initial Public Offering price less the underwriting discounts and commissions. The underwriter fully exercised its over-allotment option on July 19, 2021.</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underwriter was paid an underwriting discount of $0.20 per unit, or approximately $2.4 million in the aggregate upon the closing of the Initial Public Offering. In addition, the Company received a reimbursement from the underwriter of $480,000 to cover for certain offering expenses.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$0.35 per unit, or approximately $3.4 million in the aggregate (net of the reimbursement from the underwriter of $820,000 from the deferred commissions for business combination expenses)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Over-Allotment on July 19, 2021, the underwriter was paid an additional fee of $360,000 and an additional amount of $630,000 is payable as deferred underwriting commissions.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close of the Initial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CLASS A ORDINARY SHARES SUBJECT TO POSSIBLE REDEMPTION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shares of Class A ordinary shares with a par value of $0.0001 per share. Holders of the Company’s Class A ordinary shares are entitled to one vote for each share. As of December 31, 2021, there were 13,800,000 shares of Class A ordinary shares issued and outstanding, all of which were subject to possible redemption and are classified outside of permanent equity in the balance sheet.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Class A ordinary shares subject to possible redemption reflected on the balance sheet is reconciled on the following table:</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138,000,000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 issuance costs, net of reimbursement from underwriter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(10,787,717)</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Fair value adjustment of carrying value of Class A ordinary shares to redemption value</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20,792,717</w:t>
            </w:r>
          </w:p>
        </w:tc>
      </w:tr>
      <w:tr>
        <w:trPr>
          <w:trHeight w:val="210"/>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139,380,000</w:t>
            </w:r>
          </w:p>
        </w:tc>
      </w:tr>
      <w:tr>
        <w:trPr>
          <w:trHeight w:val="20"/>
        </w:trPr>
        <w:tc>
          <w:tcPr>
            <w:tcW w:w="7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SHAREHOLDERS’ DEFICIT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 </w:t>
      </w:r>
      <w:r>
        <w:rPr>
          <w:rFonts w:ascii="Times New Roman" w:cs="Times New Roman" w:eastAsia="Times New Roman" w:hAnsi="Times New Roman"/>
          <w:sz w:val="18"/>
          <w:szCs w:val="18"/>
          <w:color w:val="auto"/>
        </w:rPr>
        <w:t>The Company is authorized to issue 1,000,000 preference shares with a par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As of December 31, 2021, there were no preference shares issued or outstanding.</w:t>
      </w:r>
    </w:p>
    <w:p>
      <w:pPr>
        <w:spacing w:after="0" w:line="155"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 </w:t>
      </w:r>
      <w:r>
        <w:rPr>
          <w:rFonts w:ascii="Times New Roman" w:cs="Times New Roman" w:eastAsia="Times New Roman" w:hAnsi="Times New Roman"/>
          <w:sz w:val="18"/>
          <w:szCs w:val="18"/>
          <w:color w:val="auto"/>
        </w:rPr>
        <w:t>The Company is authorized to issue 200,000,000 Class A ordinary shares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Holders of the Company’s Class A ordinary shares are entitled to one vote for each share. As of December 31, 2021, there were 13,800,000 Class A ordinary shares issued and outstanding, all subject to possible redemption and classified outside permanent equity in the accompanying balance sheet. See Note 6.</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 </w:t>
      </w:r>
      <w:r>
        <w:rPr>
          <w:rFonts w:ascii="Times New Roman" w:cs="Times New Roman" w:eastAsia="Times New Roman" w:hAnsi="Times New Roman"/>
          <w:sz w:val="18"/>
          <w:szCs w:val="18"/>
          <w:color w:val="auto"/>
        </w:rPr>
        <w:t>The Company is authorized to issue 20,000,000 Class B ordinary shares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On March 23, 2021, the Company issued 4,312,500 Class B ordinary shares to the Sponsor. On June 14, 2021, the Sponsor effected a surrender of 862,500 Class B ordinary shares to the Company for no consideration, resulting in a decrease in the total number of Class B ordinary shares outstanding from 4,312,500 to 3,450,000. All shares and share amounts have been retroactively adjusted. The holders of the Founder Shares agreed to surrender and cancel up to an aggregate of 450,000 Class B ordinary shares for no consideration to the extent that the underwriters’ over-allotment option was not exercised in full or in part, so that the Initial Shareholders would collectively own 20% of the Company’s issued and outstanding ordinary shares after the Initial Public Offering. The underwriters fully exercised their over-allotment option on July 19, 2021; therefore, these 450,000 Founder Shares were no longer subject to forfeiture. As of December 31, 2021, there were 3,450,000 Class B ordinary share issued and outstanding.</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concurrently with or immediately following the consummation of the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the initial Business Combination, the number of Class A ordinary shares issuable upon conversion of all Founder Shares will equal, in the aggregate, 20% of the total number of ordinary shares outstanding after such conversion,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any private placement warrants issued to the Sponsor, officers or directors upon conversion of Working Capital Loans; provided that such conversion of Founder Shares will never occur on a less than one-for-one basis.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DERIVATIVE WARRANT LIABILITIES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had 6,900,000 and 5,910,000 Public Warrants and Private Placement Warrants, respectively, outstanding. The Company accounts for the warrants as derivative warrant liabilities in accordance with the guidance contained in ASC 815-40. Such guidance provides that because the warrants do not meet the criteria for equity treatment thereunder, each warrant must be recorded as a liability due to the existence of provisions whereby adjustments to the exercise price of the warrants is based on a variable that is not an input to the fair value of a “fixed-for-fixed” option and the existence of the potential for net cash settlement for the warrant holders (but not all shareholders) in the event of a tender offer.</w:t>
      </w:r>
    </w:p>
    <w:p>
      <w:pPr>
        <w:spacing w:after="0" w:line="18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and (b) 12 months from the closing of the Proposed Public Offering; provided in each case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laws of the state of residence of the holder (or the Company permit holders to exercise their warrants on a cashless basis under certain circumstances). The Company has agreed that as soon as practicable, but in no event later than 45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20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board of directors and, in the case of any such issuance to the initial shareholders or their affiliates, without taking into account any Founder Shares held by the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10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prices described under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under “Redemption of warrants when the price per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Class A ordinary share equals or exceeds $10.00” will be adjusted (to the nearest cent) to be equal to the higher of the Market Value and the Newly Issued Price.</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Proposed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87"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$18.00: </w:t>
      </w:r>
      <w:r>
        <w:rPr>
          <w:rFonts w:ascii="Times New Roman" w:cs="Times New Roman" w:eastAsia="Times New Roman" w:hAnsi="Times New Roman"/>
          <w:sz w:val="18"/>
          <w:szCs w:val="18"/>
          <w:color w:val="auto"/>
        </w:rPr>
        <w:t>Once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exercisable, the Company may redeem the outstanding warrants (except as described herein with respect to the Private Placement Warrants):</w:t>
      </w:r>
    </w:p>
    <w:p>
      <w:pPr>
        <w:spacing w:after="0" w:line="175"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presents information about the Company’s financial assets and liabilities that are measured at fair value on a recurring basis as of December 31, 2021, by level within the fair value hierarchy:</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38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417"/>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32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3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w w:val="99"/>
              </w:rPr>
              <w:t>Investments held in Trust Account - U.S. Treasury Securities</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139,399,054</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 - Public Warrants</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3,174,000</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 Private Warrants</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fair value measurement to a Level 1 fair value measurement, when the Public Warrants were separately listed and traded in September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Level 1 instruments include investments in U.S Treasury securities. The Company uses inputs such as actual trade data, benchmark yields, quoted market prices from dealers or brokers, and other similar sources to determine the fair value of its investments.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fair value of the Public Warrants as of December 31, 2021, was measured utilizing the Level 1 input of the observable listed trading price for such warrants. The fair value of the Public Warrants and the Private Placement Warrants were initially measured at fair value using a Monte Carlo simulation and a Black Scholes option pricing model, respectively. The fair value of the Private Placement Warrants continues to be measured using a Black-Scholes option pricing model. Inherent in a Monte Carlo simulation and a Black Scholes option pricing model are assumptions related to expected stock-price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used to estimate fair value of the warrants at their measurement dates: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At initial issuance</w:t>
            </w:r>
          </w:p>
        </w:tc>
        <w:tc>
          <w:tcPr>
            <w:tcW w:w="18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23.0 %</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9.5 %</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 - 1.10 %</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1.43 %</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completing business combination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95.0 %</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95.0 %</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change in the fair value of warrants measured with Level 3 inputs for the period from March 10, 2021 (inception) through December 31, 2021, is summarized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March 10, 2021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Public and Private Warrants - Level 3 - July 2021</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16,308,000</w:t>
            </w:r>
          </w:p>
        </w:tc>
      </w:tr>
      <w:tr>
        <w:trPr>
          <w:trHeight w:val="216"/>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 of Public Warrants to Level 1 measurement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w:t>
            </w:r>
          </w:p>
        </w:tc>
      </w:tr>
      <w:tr>
        <w:trPr>
          <w:trHeight w:val="216"/>
        </w:trPr>
        <w:tc>
          <w:tcPr>
            <w:tcW w:w="6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(4,787,100)</w:t>
            </w:r>
          </w:p>
        </w:tc>
      </w:tr>
      <w:tr>
        <w:trPr>
          <w:trHeight w:val="210"/>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2021 - Level 3</w:t>
            </w:r>
          </w:p>
        </w:tc>
        <w:tc>
          <w:tcPr>
            <w:tcW w:w="1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2,895,900</w:t>
            </w:r>
          </w:p>
        </w:tc>
      </w:tr>
      <w:tr>
        <w:trPr>
          <w:trHeight w:val="20"/>
        </w:trPr>
        <w:tc>
          <w:tcPr>
            <w:tcW w:w="6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up to the date financial statements were issued.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AMENDED AND RESTATED FORWARD PURCHASE AGREEMENT</w:t>
      </w:r>
    </w:p>
    <w:p>
      <w:pPr>
        <w:spacing w:after="0" w:line="193"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20"/>
          <w:szCs w:val="20"/>
          <w:color w:val="auto"/>
        </w:rPr>
        <w:t>This Amended and Restated Forward Purchase Agreement (this “Agreement”) is entered into as of January 27, 2022, among JATT Acquisition Corp, a Cayman Islands exempted company (the “Company”), and Athanor Master Fund, LP (“</w:t>
      </w:r>
      <w:r>
        <w:rPr>
          <w:rFonts w:ascii="Times New Roman" w:cs="Times New Roman" w:eastAsia="Times New Roman" w:hAnsi="Times New Roman"/>
          <w:sz w:val="20"/>
          <w:szCs w:val="20"/>
          <w:u w:val="single" w:color="auto"/>
          <w:color w:val="auto"/>
        </w:rPr>
        <w:t>AMF</w:t>
      </w:r>
      <w:r>
        <w:rPr>
          <w:rFonts w:ascii="Times New Roman" w:cs="Times New Roman" w:eastAsia="Times New Roman" w:hAnsi="Times New Roman"/>
          <w:sz w:val="20"/>
          <w:szCs w:val="20"/>
          <w:color w:val="auto"/>
        </w:rPr>
        <w:t>”) and Athanor International Master Fund, LP (“</w:t>
      </w:r>
      <w:r>
        <w:rPr>
          <w:rFonts w:ascii="Times New Roman" w:cs="Times New Roman" w:eastAsia="Times New Roman" w:hAnsi="Times New Roman"/>
          <w:sz w:val="20"/>
          <w:szCs w:val="20"/>
          <w:u w:val="single" w:color="auto"/>
          <w:color w:val="auto"/>
        </w:rPr>
        <w:t>AIMF</w:t>
      </w:r>
      <w:r>
        <w:rPr>
          <w:rFonts w:ascii="Times New Roman" w:cs="Times New Roman" w:eastAsia="Times New Roman" w:hAnsi="Times New Roman"/>
          <w:sz w:val="20"/>
          <w:szCs w:val="20"/>
          <w:color w:val="auto"/>
        </w:rPr>
        <w:t>”) (AMF and AIMF are, collectively, the “</w:t>
      </w:r>
      <w:r>
        <w:rPr>
          <w:rFonts w:ascii="Times New Roman" w:cs="Times New Roman" w:eastAsia="Times New Roman" w:hAnsi="Times New Roman"/>
          <w:sz w:val="20"/>
          <w:szCs w:val="20"/>
          <w:u w:val="single" w:color="auto"/>
          <w:color w:val="auto"/>
        </w:rPr>
        <w:t>Purchasers</w:t>
      </w:r>
      <w:r>
        <w:rPr>
          <w:rFonts w:ascii="Times New Roman" w:cs="Times New Roman" w:eastAsia="Times New Roman" w:hAnsi="Times New Roman"/>
          <w:sz w:val="20"/>
          <w:szCs w:val="20"/>
          <w:color w:val="auto"/>
        </w:rPr>
        <w:t>”), and amends and restates in its entirety, the Forward Purchase Agreements made as of August 5, 2021 (“</w:t>
      </w:r>
      <w:r>
        <w:rPr>
          <w:rFonts w:ascii="Times New Roman" w:cs="Times New Roman" w:eastAsia="Times New Roman" w:hAnsi="Times New Roman"/>
          <w:sz w:val="20"/>
          <w:szCs w:val="20"/>
          <w:u w:val="single" w:color="auto"/>
          <w:color w:val="auto"/>
        </w:rPr>
        <w:t>Original FPA</w:t>
      </w:r>
      <w:r>
        <w:rPr>
          <w:rFonts w:ascii="Times New Roman" w:cs="Times New Roman" w:eastAsia="Times New Roman" w:hAnsi="Times New Roman"/>
          <w:sz w:val="20"/>
          <w:szCs w:val="20"/>
          <w:color w:val="auto"/>
        </w:rPr>
        <w:t>”) by and between the Company and the Purchasers.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179" w:lineRule="exact"/>
        <w:rPr>
          <w:sz w:val="20"/>
          <w:szCs w:val="20"/>
          <w:color w:val="auto"/>
        </w:rPr>
      </w:pPr>
    </w:p>
    <w:p>
      <w:pPr>
        <w:jc w:val="both"/>
        <w:ind w:right="380" w:firstLine="648"/>
        <w:spacing w:after="0" w:line="295" w:lineRule="auto"/>
        <w:rPr>
          <w:sz w:val="20"/>
          <w:szCs w:val="20"/>
          <w:color w:val="auto"/>
        </w:rPr>
      </w:pPr>
      <w:r>
        <w:rPr>
          <w:rFonts w:ascii="Times New Roman" w:cs="Times New Roman" w:eastAsia="Times New Roman" w:hAnsi="Times New Roman"/>
          <w:sz w:val="19"/>
          <w:szCs w:val="19"/>
          <w:color w:val="auto"/>
        </w:rPr>
        <w:t>WHEREAS, the Company was incorporated for the purpose of effecting a merger, capital stock exchange, asset acquisition, stock purchase, reorganization or similar business combination with a business (a “</w:t>
      </w:r>
      <w:r>
        <w:rPr>
          <w:rFonts w:ascii="Times New Roman" w:cs="Times New Roman" w:eastAsia="Times New Roman" w:hAnsi="Times New Roman"/>
          <w:sz w:val="19"/>
          <w:szCs w:val="19"/>
          <w:u w:val="single" w:color="auto"/>
          <w:color w:val="auto"/>
        </w:rPr>
        <w:t>Business Combination</w:t>
      </w:r>
      <w:r>
        <w:rPr>
          <w:rFonts w:ascii="Times New Roman" w:cs="Times New Roman" w:eastAsia="Times New Roman" w:hAnsi="Times New Roman"/>
          <w:sz w:val="19"/>
          <w:szCs w:val="19"/>
          <w:color w:val="auto"/>
        </w:rPr>
        <w:t>”);</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parties hereto wish to amend and restate the Original FPA in its entirety as provided herein;</w:t>
      </w:r>
    </w:p>
    <w:p>
      <w:pPr>
        <w:spacing w:after="0" w:line="17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0"/>
          <w:szCs w:val="20"/>
          <w:color w:val="auto"/>
        </w:rPr>
        <w:t>WHEREAS, the parties wish to enter into this Agreement, pursuant to which concurrently with the closing of the Company’s initial Business Combination (the “</w:t>
      </w:r>
      <w:r>
        <w:rPr>
          <w:rFonts w:ascii="Times New Roman" w:cs="Times New Roman" w:eastAsia="Times New Roman" w:hAnsi="Times New Roman"/>
          <w:sz w:val="20"/>
          <w:szCs w:val="20"/>
          <w:u w:val="single" w:color="auto"/>
          <w:color w:val="auto"/>
        </w:rPr>
        <w:t>Business Combination Closing</w:t>
      </w:r>
      <w:r>
        <w:rPr>
          <w:rFonts w:ascii="Times New Roman" w:cs="Times New Roman" w:eastAsia="Times New Roman" w:hAnsi="Times New Roman"/>
          <w:sz w:val="20"/>
          <w:szCs w:val="20"/>
          <w:color w:val="auto"/>
        </w:rPr>
        <w:t>”), whereby the Purchasers agree to provide a total of $45 million consisting of (a) the Company issuing and selling to the Purchasers, and the Purchasers purchasing from the Company, on a private placement basis, 3,000,000 Class A shares (the “</w:t>
      </w:r>
      <w:r>
        <w:rPr>
          <w:rFonts w:ascii="Times New Roman" w:cs="Times New Roman" w:eastAsia="Times New Roman" w:hAnsi="Times New Roman"/>
          <w:sz w:val="20"/>
          <w:szCs w:val="20"/>
          <w:u w:val="single" w:color="auto"/>
          <w:color w:val="auto"/>
        </w:rPr>
        <w:t>Forward Purchase Shares</w:t>
      </w:r>
      <w:r>
        <w:rPr>
          <w:rFonts w:ascii="Times New Roman" w:cs="Times New Roman" w:eastAsia="Times New Roman" w:hAnsi="Times New Roman"/>
          <w:sz w:val="20"/>
          <w:szCs w:val="20"/>
          <w:color w:val="auto"/>
        </w:rPr>
        <w:t>”) for $10.00 per Forward Purchase Share, or an aggregate purchase price of $30,000,000; and (b) the Purchasers providing a binding redemption backstop for an additional $15 million of excess redemptions greater than 90% (“Excess Redemptions”) by other public shareholders at the time of the Business Combination;</w:t>
      </w:r>
    </w:p>
    <w:p>
      <w:pPr>
        <w:spacing w:after="0" w:line="14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175" w:lineRule="exact"/>
        <w:rPr>
          <w:sz w:val="20"/>
          <w:szCs w:val="20"/>
          <w:color w:val="auto"/>
        </w:rPr>
      </w:pPr>
    </w:p>
    <w:p>
      <w:pPr>
        <w:ind w:left="860" w:hanging="204"/>
        <w:spacing w:after="0"/>
        <w:tabs>
          <w:tab w:leader="none" w:pos="8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 and Purchase of Shares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Forward Purchase Shares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b w:val="1"/>
          <w:bCs w:val="1"/>
          <w:color w:val="auto"/>
        </w:rPr>
      </w:pPr>
    </w:p>
    <w:p>
      <w:pPr>
        <w:ind w:right="100" w:firstLine="1304"/>
        <w:spacing w:after="0" w:line="249" w:lineRule="auto"/>
        <w:tabs>
          <w:tab w:leader="none" w:pos="153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the Company shall issue and sell to the Purchasers, and the Purchasers shall purchase from the Company, 3,000,000 Forward Purchase Shares, consisting of 2,098,500 Forward Purchase Shares for AMF and 901,500 Forward Purchase Share for AIMF, for a purchase price of $10.00 per Forward Purchase Company Share (the “</w:t>
      </w:r>
      <w:r>
        <w:rPr>
          <w:rFonts w:ascii="Times New Roman" w:cs="Times New Roman" w:eastAsia="Times New Roman" w:hAnsi="Times New Roman"/>
          <w:sz w:val="20"/>
          <w:szCs w:val="20"/>
          <w:u w:val="single" w:color="auto"/>
          <w:color w:val="auto"/>
        </w:rPr>
        <w:t>Forward Purchase Price</w:t>
      </w:r>
      <w:r>
        <w:rPr>
          <w:rFonts w:ascii="Times New Roman" w:cs="Times New Roman" w:eastAsia="Times New Roman" w:hAnsi="Times New Roman"/>
          <w:sz w:val="20"/>
          <w:szCs w:val="20"/>
          <w:color w:val="auto"/>
        </w:rPr>
        <w:t>”), or $30,000,000 in the aggregate.</w:t>
      </w:r>
    </w:p>
    <w:p>
      <w:pPr>
        <w:spacing w:after="0" w:line="139" w:lineRule="exact"/>
        <w:rPr>
          <w:rFonts w:ascii="Times New Roman" w:cs="Times New Roman" w:eastAsia="Times New Roman" w:hAnsi="Times New Roman"/>
          <w:sz w:val="20"/>
          <w:szCs w:val="20"/>
          <w:color w:val="auto"/>
        </w:rPr>
      </w:pPr>
    </w:p>
    <w:p>
      <w:pPr>
        <w:ind w:right="260" w:firstLine="1304"/>
        <w:spacing w:after="0" w:line="269" w:lineRule="auto"/>
        <w:tabs>
          <w:tab w:leader="none" w:pos="157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ten (10) Business Days before the Business Combination Closing, the Company shall provide the Purchasers with a notice (the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including:</w:t>
      </w:r>
    </w:p>
    <w:p>
      <w:pPr>
        <w:spacing w:after="0" w:line="119" w:lineRule="exact"/>
        <w:rPr>
          <w:sz w:val="20"/>
          <w:szCs w:val="20"/>
          <w:color w:val="auto"/>
        </w:rPr>
      </w:pPr>
    </w:p>
    <w:p>
      <w:pPr>
        <w:ind w:left="1620" w:hanging="316"/>
        <w:spacing w:after="0"/>
        <w:tabs>
          <w:tab w:leader="none" w:pos="16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anticipated Business Combination Closing date; and</w:t>
      </w:r>
    </w:p>
    <w:p>
      <w:pPr>
        <w:spacing w:after="0" w:line="188"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Instructions for wiring of the Forward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8" w:name="page69"/>
    <w:bookmarkEnd w:id="68"/>
    <w:p>
      <w:pPr>
        <w:ind w:right="20" w:firstLine="1304"/>
        <w:spacing w:after="0" w:line="241" w:lineRule="auto"/>
        <w:tabs>
          <w:tab w:leader="none" w:pos="1639"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of the sale of Forward Purchase Shares (the “</w:t>
      </w:r>
      <w:r>
        <w:rPr>
          <w:rFonts w:ascii="Times New Roman" w:cs="Times New Roman" w:eastAsia="Times New Roman" w:hAnsi="Times New Roman"/>
          <w:sz w:val="20"/>
          <w:szCs w:val="20"/>
          <w:u w:val="single" w:color="auto"/>
          <w:color w:val="auto"/>
        </w:rPr>
        <w:t>Forward Closing</w:t>
      </w:r>
      <w:r>
        <w:rPr>
          <w:rFonts w:ascii="Times New Roman" w:cs="Times New Roman" w:eastAsia="Times New Roman" w:hAnsi="Times New Roman"/>
          <w:sz w:val="20"/>
          <w:szCs w:val="20"/>
          <w:color w:val="auto"/>
        </w:rPr>
        <w:t xml:space="preserve">”) shall be held on the same date and concurrently with the Business Combination Closing;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the Purchasers’ request, the Forward Closing may occur up to five (5) Business Days prior to the Business Combination Closing (such date being referred to as the “</w:t>
      </w:r>
      <w:r>
        <w:rPr>
          <w:rFonts w:ascii="Times New Roman" w:cs="Times New Roman" w:eastAsia="Times New Roman" w:hAnsi="Times New Roman"/>
          <w:sz w:val="20"/>
          <w:szCs w:val="20"/>
          <w:u w:val="single" w:color="auto"/>
          <w:color w:val="auto"/>
        </w:rPr>
        <w:t>Forward Closing Date</w:t>
      </w:r>
      <w:r>
        <w:rPr>
          <w:rFonts w:ascii="Times New Roman" w:cs="Times New Roman" w:eastAsia="Times New Roman" w:hAnsi="Times New Roman"/>
          <w:sz w:val="20"/>
          <w:szCs w:val="20"/>
          <w:color w:val="auto"/>
        </w:rPr>
        <w:t>”). At least three (3) Business Days prior to the Forward Closing Date, the Purchasers shall deliver the Forward Purchase Price for the Forward Purchase Shares by wire transfer of U.S. dollars in immediately available funds to an account specified in the Notice to be held in escrow until the Forward Closing. Immediately prior to the Forward Closing on the Forward Closing Date, (A) the Forward Purchase Price shall be released from escrow automatically and without further action by the Company or the Purchasers, and (B) upon such release, the Company shall issue the Forward Purchase Shares to the Purchasers in book-entry form, free and clear of any liens, registered in the name of the Purchasers (or their nominees in accordance with their delivery instructions), or to a custodian designated by the Purchasers, as applicable. In the event the Business Combination Closing does not occur within ten (10) Business Days of the date scheduled for closing, the Forward Closing shall not occur and the Company shall promptly (but not later than one</w:t>
      </w:r>
    </w:p>
    <w:p>
      <w:pPr>
        <w:spacing w:after="0" w:line="3" w:lineRule="exact"/>
        <w:rPr>
          <w:rFonts w:ascii="Times New Roman" w:cs="Times New Roman" w:eastAsia="Times New Roman" w:hAnsi="Times New Roman"/>
          <w:sz w:val="20"/>
          <w:szCs w:val="20"/>
          <w:color w:val="auto"/>
        </w:rPr>
      </w:pPr>
    </w:p>
    <w:p>
      <w:pPr>
        <w:ind w:right="40" w:firstLine="8"/>
        <w:spacing w:after="0" w:line="257" w:lineRule="auto"/>
        <w:tabs>
          <w:tab w:leader="none" w:pos="28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Business Day thereafter) return the Forward Purchase Price to the Purchasers;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return of the Forward Purchase Price placed in escrow shall not terminate this Agreement or otherwise relieve either party of any of its obligations hereunder and the Company may provide a subsequent Notice pursuant to Section 1(a)(iii). For purposes of this Agreement, “Business Day” means any day, other than a Saturday or a Sunday, that is neither a legal holiday nor a day on which banking institutions are generally authorized or required by law or regulation to close in the City of New York, New York.</w:t>
      </w:r>
    </w:p>
    <w:p>
      <w:pPr>
        <w:spacing w:after="0" w:line="131" w:lineRule="exact"/>
        <w:rPr>
          <w:rFonts w:ascii="Times New Roman" w:cs="Times New Roman" w:eastAsia="Times New Roman" w:hAnsi="Times New Roman"/>
          <w:sz w:val="19"/>
          <w:szCs w:val="19"/>
          <w:color w:val="auto"/>
        </w:rPr>
      </w:pPr>
    </w:p>
    <w:p>
      <w:pPr>
        <w:jc w:val="both"/>
        <w:ind w:right="620" w:firstLine="656"/>
        <w:spacing w:after="0" w:line="254" w:lineRule="auto"/>
        <w:tabs>
          <w:tab w:leader="none" w:pos="92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Each register and book entry for the Forward Purchase Shares shall contain a notation, and each certificate (if any) evidencing the Forward Purchase Shares shall be stamped or otherwise imprinted with a legend, in substantially the following form:</w:t>
      </w:r>
    </w:p>
    <w:p>
      <w:pPr>
        <w:spacing w:after="0" w:line="147"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0"/>
          <w:szCs w:val="20"/>
          <w:color w:val="auto"/>
        </w:rPr>
        <w:t>“THE SECURITIES REPRESENTED HEREBY HAVE NOT BEEN REGISTERED UNDER THE SECURITIES ACT OF 1933, AS AMENDED, OR THE SECURITIES LAWS OF ANY STATE OR OTHER JURISDICTION, AND MAY NOT BE TRANSFERRED IN VIOLATION OF SUCH ACT AND LAWS. THE SALE, PLEDGE, HYPOTHECATION, OR TRANSFER OF THE SECURITIES REPRESENTED HEREBY ARE SUBJECT TO THE TERMS AND CONDITIONS OF A CERTAIN FORWARD PURCHASE AGREEMENT BY AND BETWEEN THE HOLDER AND THE COMPANY. COPIES OF SUCH AGREEMENT MAY BE OBTAINED UPON WRITTEN REQUEST TO THE SECRETARY OF THE COMPANY.”</w:t>
      </w:r>
    </w:p>
    <w:p>
      <w:pPr>
        <w:spacing w:after="0" w:line="141" w:lineRule="exact"/>
        <w:rPr>
          <w:sz w:val="20"/>
          <w:szCs w:val="20"/>
          <w:color w:val="auto"/>
        </w:rPr>
      </w:pPr>
    </w:p>
    <w:p>
      <w:pPr>
        <w:ind w:right="220" w:firstLine="656"/>
        <w:spacing w:after="0" w:line="273" w:lineRule="auto"/>
        <w:tabs>
          <w:tab w:leader="none" w:pos="846"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 of the Purchasers</w:t>
      </w:r>
      <w:r>
        <w:rPr>
          <w:rFonts w:ascii="Times New Roman" w:cs="Times New Roman" w:eastAsia="Times New Roman" w:hAnsi="Times New Roman"/>
          <w:sz w:val="20"/>
          <w:szCs w:val="20"/>
          <w:color w:val="auto"/>
        </w:rPr>
        <w:t>. The Purchasers represent and warrant to the Company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follows, as of the date hereof:</w:t>
      </w:r>
    </w:p>
    <w:p>
      <w:pPr>
        <w:spacing w:after="0" w:line="115" w:lineRule="exact"/>
        <w:rPr>
          <w:sz w:val="20"/>
          <w:szCs w:val="20"/>
          <w:color w:val="auto"/>
        </w:rPr>
      </w:pPr>
    </w:p>
    <w:p>
      <w:pPr>
        <w:ind w:right="240" w:firstLine="656"/>
        <w:spacing w:after="0" w:line="254" w:lineRule="auto"/>
        <w:tabs>
          <w:tab w:leader="none" w:pos="91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and Power</w:t>
      </w:r>
      <w:r>
        <w:rPr>
          <w:rFonts w:ascii="Times New Roman" w:cs="Times New Roman" w:eastAsia="Times New Roman" w:hAnsi="Times New Roman"/>
          <w:sz w:val="20"/>
          <w:szCs w:val="20"/>
          <w:color w:val="auto"/>
        </w:rPr>
        <w:t>. The Purchasers are duly organized, validly existing, and in good standing under the laws of the jurisdiction of their formation and have all requisite power and authority to carry on their business as presently conducted and as proposed to be conducted.</w:t>
      </w:r>
    </w:p>
    <w:p>
      <w:pPr>
        <w:spacing w:after="0" w:line="147" w:lineRule="exact"/>
        <w:rPr>
          <w:rFonts w:ascii="Times New Roman" w:cs="Times New Roman" w:eastAsia="Times New Roman" w:hAnsi="Times New Roman"/>
          <w:sz w:val="20"/>
          <w:szCs w:val="20"/>
          <w:color w:val="auto"/>
        </w:rPr>
      </w:pPr>
    </w:p>
    <w:p>
      <w:pPr>
        <w:ind w:firstLine="656"/>
        <w:spacing w:after="0" w:line="244" w:lineRule="auto"/>
        <w:tabs>
          <w:tab w:leader="none" w:pos="92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The Purchasers have full power and authority to enter into this Agreement. This Agreement, when executed and delivered by the Purchasers, will constitute the valid and legally binding obligation of the Purchasers, enforceable against the Purchasers in accordance with its terms, except (i)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or (iii) to the extent the indemnification provisions contained in the Registration Rights (as defined below) may be limited by applicable federal or state securities laws.</w:t>
      </w:r>
    </w:p>
    <w:p>
      <w:pPr>
        <w:spacing w:after="0" w:line="145" w:lineRule="exact"/>
        <w:rPr>
          <w:rFonts w:ascii="Times New Roman" w:cs="Times New Roman" w:eastAsia="Times New Roman" w:hAnsi="Times New Roman"/>
          <w:sz w:val="20"/>
          <w:szCs w:val="20"/>
          <w:color w:val="auto"/>
        </w:rPr>
      </w:pPr>
    </w:p>
    <w:p>
      <w:pPr>
        <w:ind w:right="1060" w:firstLine="656"/>
        <w:spacing w:after="0" w:line="269" w:lineRule="auto"/>
        <w:tabs>
          <w:tab w:leader="none" w:pos="91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Governmental Consents and Filings</w:t>
      </w:r>
      <w:r>
        <w:rPr>
          <w:rFonts w:ascii="Times New Roman" w:cs="Times New Roman" w:eastAsia="Times New Roman" w:hAnsi="Times New Roman"/>
          <w:sz w:val="20"/>
          <w:szCs w:val="20"/>
          <w:color w:val="auto"/>
        </w:rPr>
        <w:t>. No consent, approval, order or authorization of, or registration, qualification, designation, declaration or filing with, any federal, state or local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578485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9" w:name="page70"/>
    <w:bookmarkEnd w:id="69"/>
    <w:p>
      <w:pPr>
        <w:ind w:right="60"/>
        <w:spacing w:after="0" w:line="268" w:lineRule="auto"/>
        <w:rPr>
          <w:sz w:val="20"/>
          <w:szCs w:val="20"/>
          <w:color w:val="auto"/>
        </w:rPr>
      </w:pPr>
      <w:r>
        <w:rPr>
          <w:rFonts w:ascii="Times New Roman" w:cs="Times New Roman" w:eastAsia="Times New Roman" w:hAnsi="Times New Roman"/>
          <w:sz w:val="20"/>
          <w:szCs w:val="20"/>
          <w:color w:val="auto"/>
        </w:rPr>
        <w:t>authority is required on the part of the Purchasers in connection with the consummation of the transactions contemplated by this Agreement.</w:t>
      </w:r>
    </w:p>
    <w:p>
      <w:pPr>
        <w:spacing w:after="0" w:line="120" w:lineRule="exact"/>
        <w:rPr>
          <w:sz w:val="20"/>
          <w:szCs w:val="20"/>
          <w:color w:val="auto"/>
        </w:rPr>
      </w:pPr>
    </w:p>
    <w:p>
      <w:pPr>
        <w:ind w:right="20" w:firstLine="656"/>
        <w:spacing w:after="0" w:line="243" w:lineRule="auto"/>
        <w:tabs>
          <w:tab w:leader="none" w:pos="92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Other Instruments</w:t>
      </w:r>
      <w:r>
        <w:rPr>
          <w:rFonts w:ascii="Times New Roman" w:cs="Times New Roman" w:eastAsia="Times New Roman" w:hAnsi="Times New Roman"/>
          <w:sz w:val="20"/>
          <w:szCs w:val="20"/>
          <w:color w:val="auto"/>
        </w:rPr>
        <w:t>. The execution, delivery and performance by the Purchasers of this Agreement and the consummation by the Purchasers of the transactions contemplated by this Agreement will not result in any violation or default (i) of any provisions of its organizational documents, (ii) of any instrument, judgment, order, writ or decree to which they are a party or by which they are bound, (iii) under any note, indenture or mortgage to which they are a party or by which they are bound, (iv) under any lease, agreement, contract or purchase order to which they are a party or by which they are bound or (v) of any provision of federal or state statute, rule or regulation applicable to the Purchasers, in each case (other than clause (i)), which would have a material adverse effect on the Purchasers or their ability to consummate the transactions contemplated by this Agreement.</w:t>
      </w:r>
    </w:p>
    <w:p>
      <w:pPr>
        <w:spacing w:after="0" w:line="162" w:lineRule="exact"/>
        <w:rPr>
          <w:rFonts w:ascii="Times New Roman" w:cs="Times New Roman" w:eastAsia="Times New Roman" w:hAnsi="Times New Roman"/>
          <w:sz w:val="20"/>
          <w:szCs w:val="20"/>
          <w:color w:val="auto"/>
        </w:rPr>
      </w:pPr>
    </w:p>
    <w:p>
      <w:pPr>
        <w:ind w:firstLine="656"/>
        <w:spacing w:after="0" w:line="256" w:lineRule="auto"/>
        <w:tabs>
          <w:tab w:leader="none" w:pos="917"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Entirely for Own Account</w:t>
      </w:r>
      <w:r>
        <w:rPr>
          <w:rFonts w:ascii="Times New Roman" w:cs="Times New Roman" w:eastAsia="Times New Roman" w:hAnsi="Times New Roman"/>
          <w:sz w:val="19"/>
          <w:szCs w:val="19"/>
          <w:color w:val="auto"/>
        </w:rPr>
        <w:t>. This Agreement is made with the Purchasers in reliance upon the Purchasers’ representation to the Company, which by the Purchasers’ execution of this Agreement, the Purchasers hereby confirm, that the Forward Purchase Shares to be acquired by the Purchasers will be acquired for investment for the Purchasers’ own account or for the account of funds managed by the Purchasers, not as a nominee or agent, and not with a view to the resale or distribution of any part thereof in violation of any state or federal securities laws, and that the Purchasers have no present intention of selling, granting any participation in, or otherwise distributing the same in violation of law. By executing this Agreement, the Purchasers further represent that the Purchasers do not presently have any contract, undertaking, agreement or arrangement with any Person to sell, transfer or grant participations to such Person or to any third Person, with respect to the Forward Purchase Shares. For purposes of this Agreement, “</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 individual, a limited liability company, a partnership, a joint venture, a corporation, a trust, an unincorporated organization, any other entity or any government or any department or agency thereof. Person does not include any affiliated entity of Purchasers.</w:t>
      </w:r>
    </w:p>
    <w:p>
      <w:pPr>
        <w:spacing w:after="0" w:line="136" w:lineRule="exact"/>
        <w:rPr>
          <w:rFonts w:ascii="Times New Roman" w:cs="Times New Roman" w:eastAsia="Times New Roman" w:hAnsi="Times New Roman"/>
          <w:sz w:val="19"/>
          <w:szCs w:val="19"/>
          <w:color w:val="auto"/>
        </w:rPr>
      </w:pPr>
    </w:p>
    <w:p>
      <w:pPr>
        <w:jc w:val="both"/>
        <w:ind w:right="740" w:firstLine="656"/>
        <w:spacing w:after="0" w:line="254" w:lineRule="auto"/>
        <w:tabs>
          <w:tab w:leader="none" w:pos="89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 of Information</w:t>
      </w:r>
      <w:r>
        <w:rPr>
          <w:rFonts w:ascii="Times New Roman" w:cs="Times New Roman" w:eastAsia="Times New Roman" w:hAnsi="Times New Roman"/>
          <w:sz w:val="20"/>
          <w:szCs w:val="20"/>
          <w:color w:val="auto"/>
        </w:rPr>
        <w:t>. The Purchasers have had an opportunity to discuss the Company’s business, management, financial affairs and the terms and conditions of the offering of the Forward Purchase Shares with the Company’s management.</w:t>
      </w:r>
    </w:p>
    <w:p>
      <w:pPr>
        <w:spacing w:after="0" w:line="133" w:lineRule="exact"/>
        <w:rPr>
          <w:rFonts w:ascii="Times New Roman" w:cs="Times New Roman" w:eastAsia="Times New Roman" w:hAnsi="Times New Roman"/>
          <w:sz w:val="20"/>
          <w:szCs w:val="20"/>
          <w:color w:val="auto"/>
        </w:rPr>
      </w:pPr>
    </w:p>
    <w:p>
      <w:pPr>
        <w:ind w:right="40" w:firstLine="656"/>
        <w:spacing w:after="0" w:line="241" w:lineRule="auto"/>
        <w:tabs>
          <w:tab w:leader="none" w:pos="92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The Purchasers understands that the offer and sale of the Forward Purchase Shares to the Purchasers has not been, and will not be, registered under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by reason of a specific exemption from the registration provisions of the Securities Act which depends upon, among other things, the bona fide nature of the investment intent and the accuracy of the Purchasers’ representations as expressed herein. The Purchasers understand that the Forward Purchase Shares are “restricted securities” under applicable U.S. federal and state securities laws and that, pursuant to these laws, the Purchasers must hold the Forward Purchase Shares indefinitely unless they are registered with the SEC and qualified by state authorities, or an exemption from such registration and qualification requirements is available. The Purchasers acknowledges that the Company has no obligation to register or qualify the Forward Purchase Shares for resale, except for the Registration Rights described below. The Purchasers further acknowledge that if an exemption from registration or qualification is available, it may be conditioned on various requirements including, but not limited to, the time and manner of sale, the holding period for the Forward Purchase Shares, and on requirements relating to the Company which are outside of the Purchasers’ control, and which the Company is under no obligation and may not be able to satisfy. The Purchasers acknowledge that the Company has filed the Registration Statement for its IPO, which went effective on July 13, 2021. The Purchasers understand that the offering of the Forward Purchase Shares was not part of the Company’s IPO, and that the Purchasers will not be able to rely on the protection of Section 11 of the Securities Act with respect to the Forward Purchase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70" w:name="page71"/>
    <w:bookmarkEnd w:id="70"/>
    <w:p>
      <w:pPr>
        <w:jc w:val="both"/>
        <w:ind w:right="180" w:firstLine="656"/>
        <w:spacing w:after="0" w:line="253" w:lineRule="auto"/>
        <w:tabs>
          <w:tab w:leader="none" w:pos="92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Public Market; IPO and Related Transactions</w:t>
      </w:r>
      <w:r>
        <w:rPr>
          <w:rFonts w:ascii="Times New Roman" w:cs="Times New Roman" w:eastAsia="Times New Roman" w:hAnsi="Times New Roman"/>
          <w:sz w:val="20"/>
          <w:szCs w:val="20"/>
          <w:color w:val="auto"/>
        </w:rPr>
        <w:t>. The Purchasers understand that no public market now exists for the Forward Purchase Shares, and that the Company has made no assurances that a public market will ever exist for the Forward Purchase Shares.</w:t>
      </w:r>
    </w:p>
    <w:p>
      <w:pPr>
        <w:spacing w:after="0" w:line="135" w:lineRule="exact"/>
        <w:rPr>
          <w:rFonts w:ascii="Times New Roman" w:cs="Times New Roman" w:eastAsia="Times New Roman" w:hAnsi="Times New Roman"/>
          <w:sz w:val="20"/>
          <w:szCs w:val="20"/>
          <w:color w:val="auto"/>
        </w:rPr>
      </w:pPr>
    </w:p>
    <w:p>
      <w:pPr>
        <w:ind w:right="220" w:firstLine="656"/>
        <w:spacing w:after="0" w:line="269" w:lineRule="auto"/>
        <w:tabs>
          <w:tab w:leader="none" w:pos="8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High Degree of Risk</w:t>
      </w:r>
      <w:r>
        <w:rPr>
          <w:rFonts w:ascii="Times New Roman" w:cs="Times New Roman" w:eastAsia="Times New Roman" w:hAnsi="Times New Roman"/>
          <w:sz w:val="20"/>
          <w:szCs w:val="20"/>
          <w:color w:val="auto"/>
        </w:rPr>
        <w:t>. The Purchasers understand that their agreement to purchase the Forward Purchase Shares involves a high degree of risk which could cause the Purchasers to lose all or part of their investment.</w:t>
      </w:r>
    </w:p>
    <w:p>
      <w:pPr>
        <w:spacing w:after="0" w:line="132" w:lineRule="exact"/>
        <w:rPr>
          <w:rFonts w:ascii="Times New Roman" w:cs="Times New Roman" w:eastAsia="Times New Roman" w:hAnsi="Times New Roman"/>
          <w:sz w:val="20"/>
          <w:szCs w:val="20"/>
          <w:color w:val="auto"/>
        </w:rPr>
      </w:pPr>
    </w:p>
    <w:p>
      <w:pPr>
        <w:ind w:right="220" w:firstLine="656"/>
        <w:spacing w:after="0" w:line="269" w:lineRule="auto"/>
        <w:tabs>
          <w:tab w:leader="none" w:pos="8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Each of the Purchasers is an accredited investor as defined in Rule 501(a) of Regulation D promulgated under the Securities Act.</w:t>
      </w:r>
    </w:p>
    <w:p>
      <w:pPr>
        <w:spacing w:after="0" w:line="118" w:lineRule="exact"/>
        <w:rPr>
          <w:rFonts w:ascii="Times New Roman" w:cs="Times New Roman" w:eastAsia="Times New Roman" w:hAnsi="Times New Roman"/>
          <w:sz w:val="20"/>
          <w:szCs w:val="20"/>
          <w:color w:val="auto"/>
        </w:rPr>
      </w:pPr>
    </w:p>
    <w:p>
      <w:pPr>
        <w:ind w:right="320" w:firstLine="656"/>
        <w:spacing w:after="0" w:line="274" w:lineRule="auto"/>
        <w:tabs>
          <w:tab w:leader="none" w:pos="92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General Solicitation</w:t>
      </w:r>
      <w:r>
        <w:rPr>
          <w:rFonts w:ascii="Times New Roman" w:cs="Times New Roman" w:eastAsia="Times New Roman" w:hAnsi="Times New Roman"/>
          <w:sz w:val="19"/>
          <w:szCs w:val="19"/>
          <w:color w:val="auto"/>
        </w:rPr>
        <w:t>. Neither the Purchasers, nor any of their officers, directors, employees, agents, stockholders or partners, has, either directly or indirectly, including through a broker or finder, (i) engaged in any general solicitation, or (ii) published any advertisement in connection with the offer and sale of the Forward Purchase Shares.</w:t>
      </w:r>
    </w:p>
    <w:p>
      <w:pPr>
        <w:spacing w:after="0" w:line="115" w:lineRule="exact"/>
        <w:rPr>
          <w:rFonts w:ascii="Times New Roman" w:cs="Times New Roman" w:eastAsia="Times New Roman" w:hAnsi="Times New Roman"/>
          <w:sz w:val="19"/>
          <w:szCs w:val="19"/>
          <w:color w:val="auto"/>
        </w:rPr>
      </w:pPr>
    </w:p>
    <w:p>
      <w:pPr>
        <w:ind w:right="660" w:firstLine="656"/>
        <w:spacing w:after="0" w:line="269" w:lineRule="auto"/>
        <w:tabs>
          <w:tab w:leader="none" w:pos="8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Residence</w:t>
      </w:r>
      <w:r>
        <w:rPr>
          <w:rFonts w:ascii="Times New Roman" w:cs="Times New Roman" w:eastAsia="Times New Roman" w:hAnsi="Times New Roman"/>
          <w:sz w:val="20"/>
          <w:szCs w:val="20"/>
          <w:color w:val="auto"/>
        </w:rPr>
        <w:t>. The Purchasers’ principal place of business is the office or offices located at the address of the Purchasers set forth on the signature page hereof.</w:t>
      </w:r>
    </w:p>
    <w:p>
      <w:pPr>
        <w:spacing w:after="0" w:line="132" w:lineRule="exact"/>
        <w:rPr>
          <w:rFonts w:ascii="Times New Roman" w:cs="Times New Roman" w:eastAsia="Times New Roman" w:hAnsi="Times New Roman"/>
          <w:sz w:val="20"/>
          <w:szCs w:val="20"/>
          <w:color w:val="auto"/>
        </w:rPr>
      </w:pPr>
    </w:p>
    <w:p>
      <w:pPr>
        <w:ind w:right="300" w:firstLine="656"/>
        <w:spacing w:after="0" w:line="269" w:lineRule="auto"/>
        <w:tabs>
          <w:tab w:leader="none" w:pos="98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The Purchasers acknowledge their obligations under applicable securities laws with respect to the treatment of non-public information relating to the Company.</w:t>
      </w:r>
    </w:p>
    <w:p>
      <w:pPr>
        <w:spacing w:after="0" w:line="118" w:lineRule="exact"/>
        <w:rPr>
          <w:rFonts w:ascii="Times New Roman" w:cs="Times New Roman" w:eastAsia="Times New Roman" w:hAnsi="Times New Roman"/>
          <w:sz w:val="20"/>
          <w:szCs w:val="20"/>
          <w:color w:val="auto"/>
        </w:rPr>
      </w:pPr>
    </w:p>
    <w:p>
      <w:pPr>
        <w:ind w:right="20" w:firstLine="656"/>
        <w:spacing w:after="0" w:line="269" w:lineRule="auto"/>
        <w:tabs>
          <w:tab w:leader="none" w:pos="92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Adequacy of Financing</w:t>
      </w:r>
      <w:r>
        <w:rPr>
          <w:rFonts w:ascii="Times New Roman" w:cs="Times New Roman" w:eastAsia="Times New Roman" w:hAnsi="Times New Roman"/>
          <w:sz w:val="20"/>
          <w:szCs w:val="20"/>
          <w:color w:val="auto"/>
        </w:rPr>
        <w:t>. At the time of the Forward Closing, the Purchasers will have available to them sufficient funds to satisfy their obligations under this Agreement.</w:t>
      </w:r>
    </w:p>
    <w:p>
      <w:pPr>
        <w:spacing w:after="0" w:line="118" w:lineRule="exact"/>
        <w:rPr>
          <w:rFonts w:ascii="Times New Roman" w:cs="Times New Roman" w:eastAsia="Times New Roman" w:hAnsi="Times New Roman"/>
          <w:sz w:val="20"/>
          <w:szCs w:val="20"/>
          <w:color w:val="auto"/>
        </w:rPr>
      </w:pPr>
    </w:p>
    <w:p>
      <w:pPr>
        <w:ind w:right="40" w:firstLine="656"/>
        <w:spacing w:after="0" w:line="243" w:lineRule="auto"/>
        <w:tabs>
          <w:tab w:leader="none" w:pos="92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Representations and Warranties; Non-Reliance</w:t>
      </w:r>
      <w:r>
        <w:rPr>
          <w:rFonts w:ascii="Times New Roman" w:cs="Times New Roman" w:eastAsia="Times New Roman" w:hAnsi="Times New Roman"/>
          <w:sz w:val="20"/>
          <w:szCs w:val="20"/>
          <w:color w:val="auto"/>
        </w:rPr>
        <w:t xml:space="preserve">. Except for the specific representations and warranties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in any certificate or agreement delivered pursuant hereto, none of the Purchasers nor any person acting on behalf of the Purchasers nor any of the Purchasers’ affiliates (the “</w:t>
      </w:r>
      <w:r>
        <w:rPr>
          <w:rFonts w:ascii="Times New Roman" w:cs="Times New Roman" w:eastAsia="Times New Roman" w:hAnsi="Times New Roman"/>
          <w:sz w:val="20"/>
          <w:szCs w:val="20"/>
          <w:u w:val="single" w:color="auto"/>
          <w:color w:val="auto"/>
        </w:rPr>
        <w:t>Purchasers Parties</w:t>
      </w:r>
      <w:r>
        <w:rPr>
          <w:rFonts w:ascii="Times New Roman" w:cs="Times New Roman" w:eastAsia="Times New Roman" w:hAnsi="Times New Roman"/>
          <w:sz w:val="20"/>
          <w:szCs w:val="20"/>
          <w:color w:val="auto"/>
        </w:rPr>
        <w:t xml:space="preserve">”) has made, makes or shall be deemed to make any other express or implied representation or warranty with respect to the Purchasers and this offering, and the Purchasers Parties disclaim any such representation or warranty. Except for the specific representations and warranties expressly made by the Company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Agreement and in any certificate or agreement delivered pursuant hereto, the Purchasers Parties specifically disclaim that they are relying upon any other representations or warranties that may have been made by the Company, any person on behalf of the Company or any of the Company’s affiliates (collectively, the “</w:t>
      </w:r>
      <w:r>
        <w:rPr>
          <w:rFonts w:ascii="Times New Roman" w:cs="Times New Roman" w:eastAsia="Times New Roman" w:hAnsi="Times New Roman"/>
          <w:sz w:val="20"/>
          <w:szCs w:val="20"/>
          <w:u w:val="single" w:color="auto"/>
          <w:color w:val="auto"/>
        </w:rPr>
        <w:t>Company Parties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860" w:hanging="204"/>
        <w:spacing w:after="0"/>
        <w:tabs>
          <w:tab w:leader="none" w:pos="86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 of the Company</w:t>
      </w:r>
      <w:r>
        <w:rPr>
          <w:rFonts w:ascii="Times New Roman" w:cs="Times New Roman" w:eastAsia="Times New Roman" w:hAnsi="Times New Roman"/>
          <w:sz w:val="20"/>
          <w:szCs w:val="20"/>
          <w:color w:val="auto"/>
        </w:rPr>
        <w:t>. The Company represents and warrants to the Purchasers as</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follows:</w:t>
      </w:r>
    </w:p>
    <w:p>
      <w:pPr>
        <w:spacing w:after="0" w:line="153" w:lineRule="exact"/>
        <w:rPr>
          <w:sz w:val="20"/>
          <w:szCs w:val="20"/>
          <w:color w:val="auto"/>
        </w:rPr>
      </w:pPr>
    </w:p>
    <w:p>
      <w:pPr>
        <w:ind w:right="20" w:firstLine="656"/>
        <w:spacing w:after="0" w:line="254" w:lineRule="auto"/>
        <w:tabs>
          <w:tab w:leader="none" w:pos="91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and Corporate Power</w:t>
      </w:r>
      <w:r>
        <w:rPr>
          <w:rFonts w:ascii="Times New Roman" w:cs="Times New Roman" w:eastAsia="Times New Roman" w:hAnsi="Times New Roman"/>
          <w:sz w:val="20"/>
          <w:szCs w:val="20"/>
          <w:color w:val="auto"/>
        </w:rPr>
        <w:t>. The Company is duly incorporated and validly existing and in good standing as a corporation under the laws of the Cayman Islands and has all requisite corporate power and authority to carry on its business as presently conducted and as proposed to be conducted. The Company has no subsidiaries.</w:t>
      </w:r>
    </w:p>
    <w:p>
      <w:pPr>
        <w:spacing w:after="0" w:line="133" w:lineRule="exact"/>
        <w:rPr>
          <w:rFonts w:ascii="Times New Roman" w:cs="Times New Roman" w:eastAsia="Times New Roman" w:hAnsi="Times New Roman"/>
          <w:sz w:val="20"/>
          <w:szCs w:val="20"/>
          <w:color w:val="auto"/>
        </w:rPr>
      </w:pPr>
    </w:p>
    <w:p>
      <w:pPr>
        <w:ind w:firstLine="656"/>
        <w:spacing w:after="0" w:line="242" w:lineRule="auto"/>
        <w:tabs>
          <w:tab w:leader="none" w:pos="92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All corporate action required to be taken by the Company’s Board of Directors and stockholders in order to authorize the Company to enter into this Agreement and to issue the Forward Purchase Shares at the Forward Closing has been taken or will be taken prior to the Forward Closing. All action on the part of the stockholders, directors and officers of the Company necessary for the execution and delivery of this Agreement, the performance of all obligations of the Company under this Agreement to be performed as of the Forward Closing, and the issuance and delivery of the Forward Company Purchase has been taken or will be taken prior to the Forward Closing. This Agreement, when executed and delivered by the Company, shall constitute the valid and legally binding obligation of the Company, enforceable against the Company in accordance with its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1" w:name="page72"/>
    <w:bookmarkEnd w:id="71"/>
    <w:p>
      <w:pPr>
        <w:ind w:right="200"/>
        <w:spacing w:after="0" w:line="268" w:lineRule="auto"/>
        <w:rPr>
          <w:sz w:val="20"/>
          <w:szCs w:val="20"/>
          <w:color w:val="auto"/>
        </w:rPr>
      </w:pPr>
      <w:r>
        <w:rPr>
          <w:rFonts w:ascii="Times New Roman" w:cs="Times New Roman" w:eastAsia="Times New Roman" w:hAnsi="Times New Roman"/>
          <w:sz w:val="20"/>
          <w:szCs w:val="20"/>
          <w:color w:val="auto"/>
        </w:rPr>
        <w:t>the extent the indemnification provisions contained in the Registration Rights may be limited by applicable federal or state securities laws.</w:t>
      </w:r>
    </w:p>
    <w:p>
      <w:pPr>
        <w:spacing w:after="0" w:line="120" w:lineRule="exact"/>
        <w:rPr>
          <w:sz w:val="20"/>
          <w:szCs w:val="20"/>
          <w:color w:val="auto"/>
        </w:rPr>
      </w:pPr>
    </w:p>
    <w:p>
      <w:pPr>
        <w:ind w:right="180" w:firstLine="656"/>
        <w:spacing w:after="0" w:line="244" w:lineRule="auto"/>
        <w:tabs>
          <w:tab w:leader="none" w:pos="917"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 Issuance of Securities</w:t>
      </w:r>
      <w:r>
        <w:rPr>
          <w:rFonts w:ascii="Times New Roman" w:cs="Times New Roman" w:eastAsia="Times New Roman" w:hAnsi="Times New Roman"/>
          <w:sz w:val="20"/>
          <w:szCs w:val="20"/>
          <w:color w:val="auto"/>
        </w:rPr>
        <w:t xml:space="preserve">. The Forward Purchase Shares, when issued, sold and delivered in accordance with the terms and for the consideration set forth in this Agreement, will be validly issued, fully paid and nonassessable, as applicable, and free of all preemptive or similar rights, taxes, liens, encumbrances and charges with respect to the issue thereof and restrictions on transfer other than restrictions on transfer specified under this Agreement, applicable state and federal securities laws and liens or encumbrances created by or imposed by the Purchasers. Assuming the accuracy of the representations of the Purchasers in this Agreement and subject to the filings described in </w:t>
      </w:r>
      <w:r>
        <w:rPr>
          <w:rFonts w:ascii="Times New Roman" w:cs="Times New Roman" w:eastAsia="Times New Roman" w:hAnsi="Times New Roman"/>
          <w:sz w:val="20"/>
          <w:szCs w:val="20"/>
          <w:u w:val="single" w:color="auto"/>
          <w:color w:val="auto"/>
        </w:rPr>
        <w:t>Section 3(d)</w:t>
      </w:r>
      <w:r>
        <w:rPr>
          <w:rFonts w:ascii="Times New Roman" w:cs="Times New Roman" w:eastAsia="Times New Roman" w:hAnsi="Times New Roman"/>
          <w:sz w:val="20"/>
          <w:szCs w:val="20"/>
          <w:color w:val="auto"/>
        </w:rPr>
        <w:t xml:space="preserve"> below, the Forward Purchase Shares will be issued in compliance with all applicable national and state securities laws.</w:t>
      </w:r>
    </w:p>
    <w:p>
      <w:pPr>
        <w:spacing w:after="0" w:line="158" w:lineRule="exact"/>
        <w:rPr>
          <w:rFonts w:ascii="Times New Roman" w:cs="Times New Roman" w:eastAsia="Times New Roman" w:hAnsi="Times New Roman"/>
          <w:sz w:val="20"/>
          <w:szCs w:val="20"/>
          <w:color w:val="auto"/>
        </w:rPr>
      </w:pPr>
    </w:p>
    <w:p>
      <w:pPr>
        <w:ind w:right="180" w:firstLine="656"/>
        <w:spacing w:after="0" w:line="263" w:lineRule="auto"/>
        <w:tabs>
          <w:tab w:leader="none" w:pos="92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Governmental Consents and Filings</w:t>
      </w:r>
      <w:r>
        <w:rPr>
          <w:rFonts w:ascii="Times New Roman" w:cs="Times New Roman" w:eastAsia="Times New Roman" w:hAnsi="Times New Roman"/>
          <w:sz w:val="19"/>
          <w:szCs w:val="19"/>
          <w:color w:val="auto"/>
        </w:rPr>
        <w:t>. Assuming the accuracy of the representations and warranties made by the Purchasers in this 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applicable requirements of the Securities Act, and applicable state securities laws, if any, and pursuant to the Registration Rights.</w:t>
      </w:r>
    </w:p>
    <w:p>
      <w:pPr>
        <w:spacing w:after="0" w:line="125" w:lineRule="exact"/>
        <w:rPr>
          <w:rFonts w:ascii="Times New Roman" w:cs="Times New Roman" w:eastAsia="Times New Roman" w:hAnsi="Times New Roman"/>
          <w:sz w:val="19"/>
          <w:szCs w:val="19"/>
          <w:color w:val="auto"/>
        </w:rPr>
      </w:pPr>
    </w:p>
    <w:p>
      <w:pPr>
        <w:ind w:firstLine="656"/>
        <w:spacing w:after="0" w:line="243" w:lineRule="auto"/>
        <w:tabs>
          <w:tab w:leader="none" w:pos="917"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Other Instruments</w:t>
      </w:r>
      <w:r>
        <w:rPr>
          <w:rFonts w:ascii="Times New Roman" w:cs="Times New Roman" w:eastAsia="Times New Roman" w:hAnsi="Times New Roman"/>
          <w:sz w:val="20"/>
          <w:szCs w:val="20"/>
          <w:color w:val="auto"/>
        </w:rPr>
        <w:t>. The execution, delivery and performance of this Agreement and the consummation of the transactions contemplated by this Agreement will not result in any violation or default (i) of any provisions of the Company’s Memorandum and Articles of Association, as it may be amended from time to time (the “</w:t>
      </w:r>
      <w:r>
        <w:rPr>
          <w:rFonts w:ascii="Times New Roman" w:cs="Times New Roman" w:eastAsia="Times New Roman" w:hAnsi="Times New Roman"/>
          <w:sz w:val="20"/>
          <w:szCs w:val="20"/>
          <w:u w:val="single" w:color="auto"/>
          <w:color w:val="auto"/>
        </w:rPr>
        <w:t>MAA</w:t>
      </w:r>
      <w:r>
        <w:rPr>
          <w:rFonts w:ascii="Times New Roman" w:cs="Times New Roman" w:eastAsia="Times New Roman" w:hAnsi="Times New Roman"/>
          <w:sz w:val="20"/>
          <w:szCs w:val="20"/>
          <w:color w:val="auto"/>
        </w:rPr>
        <w:t>”), or other governing documents of the Company, (ii) of any instrument, judgment, order, writ or decree to which the Company is a party or by which it is bound, (iii) under any note, indenture or mortgage to which the Company is a party or by which it is bound, (iv) under any lease, agreement, contract or purchase order to which the Company is a party or by which it is bound or (v) of any provision of federal or state statute, rule or regulation applicable to the Company, in each case (other than clause (i)) which would have a material adverse effect on the Company or its ability to consummate the transactions contemplated by this Agreement.</w:t>
      </w:r>
    </w:p>
    <w:p>
      <w:pPr>
        <w:spacing w:after="0" w:line="145" w:lineRule="exact"/>
        <w:rPr>
          <w:rFonts w:ascii="Times New Roman" w:cs="Times New Roman" w:eastAsia="Times New Roman" w:hAnsi="Times New Roman"/>
          <w:sz w:val="20"/>
          <w:szCs w:val="20"/>
          <w:color w:val="auto"/>
        </w:rPr>
      </w:pPr>
    </w:p>
    <w:p>
      <w:pPr>
        <w:jc w:val="center"/>
        <w:ind w:right="40" w:firstLine="656"/>
        <w:spacing w:after="0" w:line="264" w:lineRule="auto"/>
        <w:tabs>
          <w:tab w:leader="none" w:pos="895"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General Solicitation</w:t>
      </w:r>
      <w:r>
        <w:rPr>
          <w:rFonts w:ascii="Times New Roman" w:cs="Times New Roman" w:eastAsia="Times New Roman" w:hAnsi="Times New Roman"/>
          <w:sz w:val="19"/>
          <w:szCs w:val="19"/>
          <w:color w:val="auto"/>
        </w:rPr>
        <w:t>. Neither the Company, nor any of its officers, directors, employees, agents or stockholders, has, either directly or indirectly, including through a broker or finder, (i) engaged in any general solicitation, or</w:t>
      </w:r>
    </w:p>
    <w:p>
      <w:pPr>
        <w:ind w:left="300" w:hanging="292"/>
        <w:spacing w:after="0"/>
        <w:tabs>
          <w:tab w:leader="none" w:pos="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published any advertisement in connection with the offer and sale of the Forward Purchase Shares.</w:t>
      </w:r>
    </w:p>
    <w:p>
      <w:pPr>
        <w:spacing w:after="0" w:line="166" w:lineRule="exact"/>
        <w:rPr>
          <w:rFonts w:ascii="Times New Roman" w:cs="Times New Roman" w:eastAsia="Times New Roman" w:hAnsi="Times New Roman"/>
          <w:sz w:val="20"/>
          <w:szCs w:val="20"/>
          <w:color w:val="auto"/>
        </w:rPr>
      </w:pPr>
    </w:p>
    <w:p>
      <w:pPr>
        <w:ind w:firstLine="656"/>
        <w:spacing w:after="0" w:line="244" w:lineRule="auto"/>
        <w:tabs>
          <w:tab w:leader="none" w:pos="92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Representations and Warranties; Non-Reliance</w:t>
      </w:r>
      <w:r>
        <w:rPr>
          <w:rFonts w:ascii="Times New Roman" w:cs="Times New Roman" w:eastAsia="Times New Roman" w:hAnsi="Times New Roman"/>
          <w:sz w:val="20"/>
          <w:szCs w:val="20"/>
          <w:color w:val="auto"/>
        </w:rPr>
        <w:t xml:space="preserve">. Except for the specific representations and warranties contained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and in any certificate or agreement delivered pursuant hereto, none of the Company Parties has made, makes or shall be deemed to make any other express or implied representation or warranty with respect to the Company, this offering, or a potential Business Combination, and the Company Parties disclaim any such representation or warranty. Except for the specific representations and warranties expressly made by the Purchasers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Agreement and in any certificate or agreement delivered pursuant hereto, the Company Parties specifically disclaim that they are relying upon any other representations or warranties that may have been made by the Purchasers Parties.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4. Registration Rights</w:t>
      </w:r>
    </w:p>
    <w:p>
      <w:pPr>
        <w:spacing w:after="0" w:line="179" w:lineRule="exact"/>
        <w:rPr>
          <w:sz w:val="20"/>
          <w:szCs w:val="20"/>
          <w:color w:val="auto"/>
        </w:rPr>
      </w:pPr>
    </w:p>
    <w:p>
      <w:pPr>
        <w:jc w:val="both"/>
        <w:ind w:firstLine="656"/>
        <w:spacing w:after="0" w:line="249" w:lineRule="auto"/>
        <w:tabs>
          <w:tab w:leader="none" w:pos="91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w:t>
      </w:r>
      <w:r>
        <w:rPr>
          <w:rFonts w:ascii="Times New Roman" w:cs="Times New Roman" w:eastAsia="Times New Roman" w:hAnsi="Times New Roman"/>
          <w:sz w:val="20"/>
          <w:szCs w:val="20"/>
          <w:color w:val="auto"/>
        </w:rPr>
        <w:t>. The holders of the Forward Purchase Shares under this Forward Purchase Agreement will be granted registration rights providing that the Company will register such securities for sale no later than three months after the closing of a Business Combination pursuant to a registration rights agreement to be entered into with the Company, provided that if a PIPE transaction (a “PIPE”) is 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600075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2" w:name="page73"/>
    <w:bookmarkEnd w:id="72"/>
    <w:p>
      <w:pPr>
        <w:spacing w:after="0" w:line="268" w:lineRule="auto"/>
        <w:rPr>
          <w:sz w:val="20"/>
          <w:szCs w:val="20"/>
          <w:color w:val="auto"/>
        </w:rPr>
      </w:pPr>
      <w:r>
        <w:rPr>
          <w:rFonts w:ascii="Times New Roman" w:cs="Times New Roman" w:eastAsia="Times New Roman" w:hAnsi="Times New Roman"/>
          <w:sz w:val="20"/>
          <w:szCs w:val="20"/>
          <w:color w:val="auto"/>
        </w:rPr>
        <w:t>into in connection with the Business Combination, the registration rights shall be equivalent to those provided for in the PIPE transaction</w:t>
      </w:r>
      <w:r>
        <w:rPr>
          <w:rFonts w:ascii="Times New Roman" w:cs="Times New Roman" w:eastAsia="Times New Roman" w:hAnsi="Times New Roman"/>
          <w:sz w:val="20"/>
          <w:szCs w:val="20"/>
          <w:b w:val="1"/>
          <w:bCs w:val="1"/>
          <w:i w:val="1"/>
          <w:iCs w:val="1"/>
          <w:color w:val="auto"/>
        </w:rPr>
        <w: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5. Additional Agreements, Acknowledgements and Waivers of the Purchasers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56"/>
        <w:spacing w:after="0"/>
        <w:tabs>
          <w:tab w:leader="none" w:pos="91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Lock-up; Transfer Restrictions</w:t>
      </w:r>
      <w:r>
        <w:rPr>
          <w:rFonts w:ascii="Times New Roman" w:cs="Times New Roman" w:eastAsia="Times New Roman" w:hAnsi="Times New Roman"/>
          <w:sz w:val="20"/>
          <w:szCs w:val="20"/>
          <w:color w:val="auto"/>
        </w:rPr>
        <w:t xml:space="preserve">. The Purchasers agrees that they shall not transfer any Forward Purchase Shares until at least six (6) months after the Business Combination, or substantially the same lock up period as mutually agreed upon between the Company and other pipe investors, and until the registration of the Forward Purchase Shares with the Securities and Exchange Commission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or pursuant to an exemption from the Securities Act of 1933, as amended, provided that if a PIPE transaction is entered into in connection with the Business Combination, the transfer restrictions shall be equivalent to those provided for in the PIPE transaction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Notwithstanding the foregoing, Transfers of the Forward Purchase Shares are permitted (any such transferees, the “</w:t>
      </w:r>
      <w:r>
        <w:rPr>
          <w:rFonts w:ascii="Times New Roman" w:cs="Times New Roman" w:eastAsia="Times New Roman" w:hAnsi="Times New Roman"/>
          <w:sz w:val="20"/>
          <w:szCs w:val="20"/>
          <w:u w:val="single" w:color="auto"/>
          <w:color w:val="auto"/>
        </w:rPr>
        <w:t>Permitted Transferees</w:t>
      </w:r>
      <w:r>
        <w:rPr>
          <w:rFonts w:ascii="Times New Roman" w:cs="Times New Roman" w:eastAsia="Times New Roman" w:hAnsi="Times New Roman"/>
          <w:sz w:val="20"/>
          <w:szCs w:val="20"/>
          <w:color w:val="auto"/>
        </w:rPr>
        <w:t xml:space="preserve">”): (i) to the Company’s officers or directors, any affiliates or family members of any of the Company’s officers or directors, any members, managers or affiliates of the Purchasers, or any employees or advisors of the Company, the Purchasers or such affiliates; (ii) in the case of an individual, by gift to a member of the individual’s immediate family, to a trust, the beneficiary of which is a member of individual’s immediate family or an affiliate of such person, or to a charitable organization; (iii) in the case of an individual, by virtue of laws of descent and distribution upon death of the individual; (iv) in the case of an individual, pursuant to a qualified domestic relations order;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each case, these Permitted Transferees must enter into a written agreement agreeing to be bound by these transfer restrictions.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shall mean the (x) sale or assignment of, offer to sell, contract or agreement to sell, hypothecation,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of the Forward Purchase Shares (excluding any pledges in the ordinary course of business for bona fide financing purposes or as part of prime brokerage arrangements), (y) entry into any swap or other arrangement that transfers to another, in whole or in part, any of the economic consequences of ownership of any of the Forward Purchase Shares, whether any such transaction is to be settled by delivery of such Forward Purchase Shares, in cash or otherwise, or (z) public announcement of any intention to effect any transaction specified in clause (x) or (y).</w:t>
      </w:r>
    </w:p>
    <w:p>
      <w:pPr>
        <w:spacing w:after="0" w:line="164"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Trust Account;</w:t>
      </w:r>
    </w:p>
    <w:p>
      <w:pPr>
        <w:spacing w:after="0" w:line="175" w:lineRule="exact"/>
        <w:rPr>
          <w:rFonts w:ascii="Times New Roman" w:cs="Times New Roman" w:eastAsia="Times New Roman" w:hAnsi="Times New Roman"/>
          <w:sz w:val="20"/>
          <w:szCs w:val="20"/>
          <w:color w:val="auto"/>
        </w:rPr>
      </w:pPr>
    </w:p>
    <w:p>
      <w:pPr>
        <w:ind w:right="40" w:firstLine="1304"/>
        <w:spacing w:after="0" w:line="246" w:lineRule="auto"/>
        <w:tabs>
          <w:tab w:leader="none" w:pos="1529"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hereby acknowledge that they are aware that the Company has established a trust account for the benefit of its public stockholders (the “Trust Account”). The Purchasers, for themselves and their affiliates, hereby agree that they have no right to redeem, and no title, interest or claim of any kind in or to, any monies held in the trust account, or any other asset of the Company as a result of any liquidation of the Company with respect to the Forward Purchase Price paid under this Agreement for the Forward Purchase Shares.</w:t>
      </w:r>
    </w:p>
    <w:p>
      <w:pPr>
        <w:spacing w:after="0" w:line="157" w:lineRule="exact"/>
        <w:rPr>
          <w:rFonts w:ascii="Times New Roman" w:cs="Times New Roman" w:eastAsia="Times New Roman" w:hAnsi="Times New Roman"/>
          <w:sz w:val="20"/>
          <w:szCs w:val="20"/>
          <w:color w:val="auto"/>
        </w:rPr>
      </w:pPr>
    </w:p>
    <w:p>
      <w:pPr>
        <w:ind w:right="20" w:firstLine="656"/>
        <w:spacing w:after="0" w:line="269" w:lineRule="auto"/>
        <w:tabs>
          <w:tab w:leader="none" w:pos="91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for Business Combination</w:t>
      </w:r>
      <w:r>
        <w:rPr>
          <w:rFonts w:ascii="Times New Roman" w:cs="Times New Roman" w:eastAsia="Times New Roman" w:hAnsi="Times New Roman"/>
          <w:sz w:val="20"/>
          <w:szCs w:val="20"/>
          <w:color w:val="auto"/>
        </w:rPr>
        <w:t>. The Purchasers agree to vote the Forward Purchase Shares and all other Public Shares owned by them in favor of any proposed Business Combination.</w:t>
      </w:r>
    </w:p>
    <w:p>
      <w:pPr>
        <w:spacing w:after="0" w:line="118" w:lineRule="exact"/>
        <w:rPr>
          <w:rFonts w:ascii="Times New Roman" w:cs="Times New Roman" w:eastAsia="Times New Roman" w:hAnsi="Times New Roman"/>
          <w:sz w:val="20"/>
          <w:szCs w:val="20"/>
          <w:color w:val="auto"/>
        </w:rPr>
      </w:pPr>
    </w:p>
    <w:p>
      <w:pPr>
        <w:ind w:right="320" w:firstLine="656"/>
        <w:spacing w:after="0" w:line="254" w:lineRule="auto"/>
        <w:tabs>
          <w:tab w:leader="none" w:pos="92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Backstop Trigger</w:t>
      </w:r>
      <w:r>
        <w:rPr>
          <w:rFonts w:ascii="Times New Roman" w:cs="Times New Roman" w:eastAsia="Times New Roman" w:hAnsi="Times New Roman"/>
          <w:sz w:val="20"/>
          <w:szCs w:val="20"/>
          <w:color w:val="auto"/>
        </w:rPr>
        <w:t>. In addition to the $30 million Forward Purchase Agreement between the parties hereto, the Purchasers shall also provide a binding redemption backstop to cover up to $15 million of Excess Redemptions by other public shareholders at the time of the Business Combination.</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6. Forward Closing Conditions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625475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3" w:name="page74"/>
    <w:bookmarkEnd w:id="73"/>
    <w:p>
      <w:pPr>
        <w:ind w:left="-460" w:right="140" w:firstLine="656"/>
        <w:spacing w:after="0" w:line="253" w:lineRule="auto"/>
        <w:tabs>
          <w:tab w:leader="none" w:pos="45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the Purchasers to purchase the Forward Purchase Shares at the Forward Closing under this Agreement shall be subject to the fulfillment, at or prior to the Forward Closing, of each of the following conditions, any of which, to the extent permitted by applicable laws, may be waived by the Purchasers:</w:t>
      </w:r>
    </w:p>
    <w:p>
      <w:pPr>
        <w:spacing w:after="0" w:line="135" w:lineRule="exact"/>
        <w:rPr>
          <w:rFonts w:ascii="Times New Roman" w:cs="Times New Roman" w:eastAsia="Times New Roman" w:hAnsi="Times New Roman"/>
          <w:sz w:val="20"/>
          <w:szCs w:val="20"/>
          <w:color w:val="auto"/>
        </w:rPr>
      </w:pPr>
    </w:p>
    <w:p>
      <w:pPr>
        <w:ind w:left="-460" w:right="680" w:firstLine="1304"/>
        <w:spacing w:after="0" w:line="269" w:lineRule="auto"/>
        <w:tabs>
          <w:tab w:leader="none" w:pos="106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Combination shall be consummated substantially concurrently with the purchase of Forward Purchase Shares;</w:t>
      </w:r>
    </w:p>
    <w:p>
      <w:pPr>
        <w:spacing w:after="0" w:line="132" w:lineRule="exact"/>
        <w:rPr>
          <w:rFonts w:ascii="Times New Roman" w:cs="Times New Roman" w:eastAsia="Times New Roman" w:hAnsi="Times New Roman"/>
          <w:sz w:val="20"/>
          <w:szCs w:val="20"/>
          <w:color w:val="auto"/>
        </w:rPr>
      </w:pPr>
    </w:p>
    <w:p>
      <w:pPr>
        <w:ind w:left="-460" w:right="580" w:firstLine="1304"/>
        <w:spacing w:after="0" w:line="269" w:lineRule="auto"/>
        <w:tabs>
          <w:tab w:leader="none" w:pos="112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Purchasers a certificate evidencing the Company’s good standing as a Cayman Islands corporation;</w:t>
      </w:r>
    </w:p>
    <w:p>
      <w:pPr>
        <w:spacing w:after="0" w:line="118" w:lineRule="exact"/>
        <w:rPr>
          <w:rFonts w:ascii="Times New Roman" w:cs="Times New Roman" w:eastAsia="Times New Roman" w:hAnsi="Times New Roman"/>
          <w:sz w:val="20"/>
          <w:szCs w:val="20"/>
          <w:color w:val="auto"/>
        </w:rPr>
      </w:pPr>
    </w:p>
    <w:p>
      <w:pPr>
        <w:ind w:left="-460" w:firstLine="1304"/>
        <w:spacing w:after="0" w:line="245" w:lineRule="auto"/>
        <w:tabs>
          <w:tab w:leader="none" w:pos="117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Company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Agreement shall have been true and correct as of the date hereof and shall be true and correct as of the Forward Closing Date,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Company or its ability to consummate the transactions contemplated by this Agreement;</w:t>
      </w:r>
    </w:p>
    <w:p>
      <w:pPr>
        <w:spacing w:after="0" w:line="143" w:lineRule="exact"/>
        <w:rPr>
          <w:rFonts w:ascii="Times New Roman" w:cs="Times New Roman" w:eastAsia="Times New Roman" w:hAnsi="Times New Roman"/>
          <w:sz w:val="20"/>
          <w:szCs w:val="20"/>
          <w:color w:val="auto"/>
        </w:rPr>
      </w:pPr>
    </w:p>
    <w:p>
      <w:pPr>
        <w:ind w:left="-460" w:right="140" w:firstLine="1304"/>
        <w:spacing w:after="0" w:line="254" w:lineRule="auto"/>
        <w:tabs>
          <w:tab w:leader="none" w:pos="116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performed, satisfied and complied in all material respects with the covenants, agreements and conditions required by this Agreement to be performed, satisfied or complied with by the Company at or prior to the Forward Closing; and</w:t>
      </w:r>
    </w:p>
    <w:p>
      <w:pPr>
        <w:spacing w:after="0" w:line="147" w:lineRule="exact"/>
        <w:rPr>
          <w:rFonts w:ascii="Times New Roman" w:cs="Times New Roman" w:eastAsia="Times New Roman" w:hAnsi="Times New Roman"/>
          <w:sz w:val="20"/>
          <w:szCs w:val="20"/>
          <w:color w:val="auto"/>
        </w:rPr>
      </w:pPr>
    </w:p>
    <w:p>
      <w:pPr>
        <w:ind w:left="-460" w:right="100" w:firstLine="1304"/>
        <w:spacing w:after="0" w:line="274" w:lineRule="auto"/>
        <w:tabs>
          <w:tab w:leader="none" w:pos="1116"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Purchasers of the Forward Purchase Shares.</w:t>
      </w:r>
    </w:p>
    <w:p>
      <w:pPr>
        <w:spacing w:after="0" w:line="115" w:lineRule="exact"/>
        <w:rPr>
          <w:rFonts w:ascii="Times New Roman" w:cs="Times New Roman" w:eastAsia="Times New Roman" w:hAnsi="Times New Roman"/>
          <w:sz w:val="19"/>
          <w:szCs w:val="19"/>
          <w:color w:val="auto"/>
        </w:rPr>
      </w:pPr>
    </w:p>
    <w:p>
      <w:pPr>
        <w:ind w:left="-460" w:right="180" w:firstLine="656"/>
        <w:spacing w:after="0" w:line="254" w:lineRule="auto"/>
        <w:tabs>
          <w:tab w:leader="none" w:pos="46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the Company to sell the Forward Purchase Shares at the Forward Closing under this Agreement shall be subject to the fulfillment, at or prior to the Forward Closing of each of the following conditions, any of which, to the extent permitted by applicable laws, may be waived by the Company:</w:t>
      </w:r>
    </w:p>
    <w:p>
      <w:pPr>
        <w:spacing w:after="0" w:line="133" w:lineRule="exact"/>
        <w:rPr>
          <w:rFonts w:ascii="Times New Roman" w:cs="Times New Roman" w:eastAsia="Times New Roman" w:hAnsi="Times New Roman"/>
          <w:sz w:val="20"/>
          <w:szCs w:val="20"/>
          <w:color w:val="auto"/>
        </w:rPr>
      </w:pPr>
    </w:p>
    <w:p>
      <w:pPr>
        <w:ind w:left="-460" w:right="680" w:firstLine="1304"/>
        <w:spacing w:after="0" w:line="269" w:lineRule="auto"/>
        <w:tabs>
          <w:tab w:leader="none" w:pos="106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Combination shall be consummated substantially concurrently with the purchase of Forward Purchase Shares;</w:t>
      </w:r>
    </w:p>
    <w:p>
      <w:pPr>
        <w:spacing w:after="0" w:line="132" w:lineRule="exact"/>
        <w:rPr>
          <w:rFonts w:ascii="Times New Roman" w:cs="Times New Roman" w:eastAsia="Times New Roman" w:hAnsi="Times New Roman"/>
          <w:sz w:val="20"/>
          <w:szCs w:val="20"/>
          <w:color w:val="auto"/>
        </w:rPr>
      </w:pPr>
    </w:p>
    <w:p>
      <w:pPr>
        <w:ind w:left="-460" w:firstLine="1304"/>
        <w:spacing w:after="0" w:line="245" w:lineRule="auto"/>
        <w:tabs>
          <w:tab w:leader="none" w:pos="112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Purchasers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Agreement shall have been true and correct as of the date hereof and shall be true and correct as of the Forward Closing Date,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Purchasers or their ability to consummate the transactions contemplated by this Agreement;</w:t>
      </w:r>
    </w:p>
    <w:p>
      <w:pPr>
        <w:spacing w:after="0" w:line="143" w:lineRule="exact"/>
        <w:rPr>
          <w:rFonts w:ascii="Times New Roman" w:cs="Times New Roman" w:eastAsia="Times New Roman" w:hAnsi="Times New Roman"/>
          <w:sz w:val="20"/>
          <w:szCs w:val="20"/>
          <w:color w:val="auto"/>
        </w:rPr>
      </w:pPr>
    </w:p>
    <w:p>
      <w:pPr>
        <w:ind w:left="-460" w:right="40" w:firstLine="1304"/>
        <w:spacing w:after="0" w:line="254" w:lineRule="auto"/>
        <w:tabs>
          <w:tab w:leader="none" w:pos="117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Purchasers shall have performed, satisfied and complied in all material respects with the covenants, agreements and conditions required by this Agreement to be performed, satisfied or complied with by the Purchasers at or prior to the Forward Closing; and</w:t>
      </w:r>
    </w:p>
    <w:p>
      <w:pPr>
        <w:spacing w:after="0" w:line="133" w:lineRule="exact"/>
        <w:rPr>
          <w:rFonts w:ascii="Times New Roman" w:cs="Times New Roman" w:eastAsia="Times New Roman" w:hAnsi="Times New Roman"/>
          <w:sz w:val="20"/>
          <w:szCs w:val="20"/>
          <w:color w:val="auto"/>
        </w:rPr>
      </w:pPr>
    </w:p>
    <w:p>
      <w:pPr>
        <w:ind w:left="-460" w:right="40" w:firstLine="1304"/>
        <w:spacing w:after="0" w:line="274" w:lineRule="auto"/>
        <w:tabs>
          <w:tab w:leader="none" w:pos="1171"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Purchasers of the Forward Purchase Shares.</w:t>
      </w:r>
    </w:p>
    <w:p>
      <w:pPr>
        <w:spacing w:after="0" w:line="125" w:lineRule="exact"/>
        <w:rPr>
          <w:sz w:val="20"/>
          <w:szCs w:val="20"/>
          <w:color w:val="auto"/>
        </w:rPr>
      </w:pPr>
    </w:p>
    <w:p>
      <w:pPr>
        <w:ind w:left="400" w:hanging="204"/>
        <w:spacing w:after="0"/>
        <w:tabs>
          <w:tab w:leader="none" w:pos="40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r>
        <w:rPr>
          <w:rFonts w:ascii="Times New Roman" w:cs="Times New Roman" w:eastAsia="Times New Roman" w:hAnsi="Times New Roman"/>
          <w:sz w:val="20"/>
          <w:szCs w:val="20"/>
          <w:color w:val="auto"/>
        </w:rPr>
        <w:t>. This Agreement may be terminated at any time prior to the Forward Closing:</w:t>
      </w:r>
    </w:p>
    <w:p>
      <w:pPr>
        <w:spacing w:after="0" w:line="179" w:lineRule="exact"/>
        <w:rPr>
          <w:rFonts w:ascii="Times New Roman" w:cs="Times New Roman" w:eastAsia="Times New Roman" w:hAnsi="Times New Roman"/>
          <w:sz w:val="20"/>
          <w:szCs w:val="20"/>
          <w:b w:val="1"/>
          <w:bCs w:val="1"/>
          <w:color w:val="auto"/>
        </w:rPr>
      </w:pPr>
    </w:p>
    <w:p>
      <w:pPr>
        <w:ind w:left="2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by mutual written consent of the Company and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614045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74" w:name="page75"/>
    <w:bookmarkEnd w:id="74"/>
    <w:p>
      <w:pPr>
        <w:ind w:left="940" w:hanging="284"/>
        <w:spacing w:after="0"/>
        <w:tabs>
          <w:tab w:leader="none" w:pos="9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automatically:</w:t>
      </w:r>
    </w:p>
    <w:p>
      <w:pPr>
        <w:spacing w:after="0" w:line="174" w:lineRule="exact"/>
        <w:rPr>
          <w:rFonts w:ascii="Times New Roman" w:cs="Times New Roman" w:eastAsia="Times New Roman" w:hAnsi="Times New Roman"/>
          <w:sz w:val="20"/>
          <w:szCs w:val="20"/>
          <w:color w:val="auto"/>
        </w:rPr>
      </w:pPr>
    </w:p>
    <w:p>
      <w:pPr>
        <w:ind w:right="200" w:firstLine="1304"/>
        <w:spacing w:after="0" w:line="246" w:lineRule="auto"/>
        <w:tabs>
          <w:tab w:leader="none" w:pos="153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Business Combination is not consummated within eighteen (18) months from the closing of the Company’s IPO (or twenty-one (21) months from the closing of the IPO if the Company has executed a letter of intent, agreement in principle or definitive agreement for the Business Combination within eighteen (18) months from the closing of the IPO but has not completed the Business Combination within such eighteen (18) month period), or such later date as may be approved by the Company’s stockholders.</w:t>
      </w:r>
    </w:p>
    <w:p>
      <w:pPr>
        <w:spacing w:after="0" w:line="15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0"/>
          <w:szCs w:val="20"/>
          <w:color w:val="auto"/>
        </w:rPr>
        <w:t xml:space="preserve">In the event of any termination of this Agreement pursuant to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the Forward Purchase Price (and interest thereon, if any), if previously paid, and all Purchasers’ funds paid in connection herewith shall be promptly returned to the Purchasers, and thereafter this Agreement shall forthwith become null and void and have no effect, without any liability on the part of the Purchasers or the Company and their respective directors, officers, employees, partners, managers, members, or stockholders and all rights and obligations of each party shall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contained in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relieve either party from liabilities or damages arising out of any fraud or willful breach by such party of any of its representations, warranties, covenants or agreements contained in this Agreement.</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9. General Provisions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right="80" w:firstLine="656"/>
        <w:spacing w:after="0" w:line="250" w:lineRule="auto"/>
        <w:tabs>
          <w:tab w:leader="none" w:pos="91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given or made pursuant to this Agreement shall be in writing and shall be deemed effectively given upon the earlier of actual receipt, or (i) personal delivery to the party to be notified,</w:t>
      </w:r>
    </w:p>
    <w:p>
      <w:pPr>
        <w:spacing w:after="0" w:line="1" w:lineRule="exact"/>
        <w:rPr>
          <w:rFonts w:ascii="Times New Roman" w:cs="Times New Roman" w:eastAsia="Times New Roman" w:hAnsi="Times New Roman"/>
          <w:sz w:val="20"/>
          <w:szCs w:val="20"/>
          <w:color w:val="auto"/>
        </w:rPr>
      </w:pPr>
    </w:p>
    <w:p>
      <w:pPr>
        <w:ind w:right="140" w:firstLine="8"/>
        <w:spacing w:after="0"/>
        <w:tabs>
          <w:tab w:leader="none" w:pos="29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 sent, if sent by electronic mail or facsimile (if any) during normal business hours of the recipient, and if not sent during normal business hours, then on the recipient’s next Business Day, (iii) five (5) Business Days after having been sent by registered or certified mail, return receipt requested, postage prepaid, or (iv) one (1) Business Day after deposit with a nationally recognized overnight courier, freight prepaid, specifying next Business Day delivery, with written verification of receipt. All communications to either party shall be sent to such party’s physical or e-mail address as set forth on the signature page hereof, or to such e-mail address, facsimile number (if any) or physical address as subsequently modified by written notice given in accordance with this </w:t>
      </w:r>
      <w:r>
        <w:rPr>
          <w:rFonts w:ascii="Times New Roman" w:cs="Times New Roman" w:eastAsia="Times New Roman" w:hAnsi="Times New Roman"/>
          <w:sz w:val="20"/>
          <w:szCs w:val="20"/>
          <w:u w:val="single" w:color="auto"/>
          <w:color w:val="auto"/>
        </w:rPr>
        <w:t>Section 9(a)</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ind w:firstLine="656"/>
        <w:spacing w:after="0" w:line="243" w:lineRule="auto"/>
        <w:tabs>
          <w:tab w:leader="none" w:pos="92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Finder’s Fees</w:t>
      </w:r>
      <w:r>
        <w:rPr>
          <w:rFonts w:ascii="Times New Roman" w:cs="Times New Roman" w:eastAsia="Times New Roman" w:hAnsi="Times New Roman"/>
          <w:sz w:val="20"/>
          <w:szCs w:val="20"/>
          <w:color w:val="auto"/>
        </w:rPr>
        <w:t>. Each party represents that it neither is nor will be obligated for any finder’s fee or commission in connection with this transaction. The Purchasers agree to indemnify and to hold harmless the Company from any liability for any commission or compensation in the nature of a finder’s or broker’s fee arising out of this transaction (and the costs and expenses of defending against such liability or asserted liability) for which the Purchasers or any of their officers, employees or representatives is responsible. The Company agrees to indemnify and hold harmless the Purchasers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148" w:lineRule="exact"/>
        <w:rPr>
          <w:rFonts w:ascii="Times New Roman" w:cs="Times New Roman" w:eastAsia="Times New Roman" w:hAnsi="Times New Roman"/>
          <w:sz w:val="20"/>
          <w:szCs w:val="20"/>
          <w:color w:val="auto"/>
        </w:rPr>
      </w:pPr>
    </w:p>
    <w:p>
      <w:pPr>
        <w:ind w:right="460" w:firstLine="656"/>
        <w:spacing w:after="0" w:line="269" w:lineRule="auto"/>
        <w:tabs>
          <w:tab w:leader="none" w:pos="91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of the representations and warranties contained herein shall survive the Forward Closing.</w:t>
      </w:r>
    </w:p>
    <w:p>
      <w:pPr>
        <w:spacing w:after="0" w:line="118" w:lineRule="exact"/>
        <w:rPr>
          <w:rFonts w:ascii="Times New Roman" w:cs="Times New Roman" w:eastAsia="Times New Roman" w:hAnsi="Times New Roman"/>
          <w:sz w:val="20"/>
          <w:szCs w:val="20"/>
          <w:color w:val="auto"/>
        </w:rPr>
      </w:pPr>
    </w:p>
    <w:p>
      <w:pPr>
        <w:ind w:right="40" w:firstLine="656"/>
        <w:spacing w:after="0" w:line="249" w:lineRule="auto"/>
        <w:tabs>
          <w:tab w:leader="none" w:pos="92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together with any documents, instruments and writings that are delivered pursuant hereto or referenced herein,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52" w:lineRule="exact"/>
        <w:rPr>
          <w:rFonts w:ascii="Times New Roman" w:cs="Times New Roman" w:eastAsia="Times New Roman" w:hAnsi="Times New Roman"/>
          <w:sz w:val="20"/>
          <w:szCs w:val="20"/>
          <w:color w:val="auto"/>
        </w:rPr>
      </w:pPr>
    </w:p>
    <w:p>
      <w:pPr>
        <w:ind w:right="860" w:firstLine="656"/>
        <w:spacing w:after="0" w:line="269" w:lineRule="auto"/>
        <w:tabs>
          <w:tab w:leader="none" w:pos="91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All of the terms, agreements, covenants, representations, warranties, and conditions of this Agreement are binding upon, and inure to the benefit of and are enforceable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578485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5" w:name="page76"/>
    <w:bookmarkEnd w:id="75"/>
    <w:p>
      <w:pPr>
        <w:jc w:val="both"/>
        <w:ind w:right="260"/>
        <w:spacing w:after="0" w:line="253" w:lineRule="auto"/>
        <w:rPr>
          <w:sz w:val="20"/>
          <w:szCs w:val="20"/>
          <w:color w:val="auto"/>
        </w:rPr>
      </w:pPr>
      <w:r>
        <w:rPr>
          <w:rFonts w:ascii="Times New Roman" w:cs="Times New Roman" w:eastAsia="Times New Roman" w:hAnsi="Times New Roman"/>
          <w:sz w:val="20"/>
          <w:szCs w:val="20"/>
          <w:color w:val="auto"/>
        </w:rPr>
        <w:t>and their respective successors.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36" w:lineRule="exact"/>
        <w:rPr>
          <w:sz w:val="20"/>
          <w:szCs w:val="20"/>
          <w:color w:val="auto"/>
        </w:rPr>
      </w:pPr>
    </w:p>
    <w:p>
      <w:pPr>
        <w:ind w:right="60" w:firstLine="656"/>
        <w:spacing w:after="0" w:line="269" w:lineRule="auto"/>
        <w:tabs>
          <w:tab w:leader="none" w:pos="89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w:t>
      </w:r>
      <w:r>
        <w:rPr>
          <w:rFonts w:ascii="Times New Roman" w:cs="Times New Roman" w:eastAsia="Times New Roman" w:hAnsi="Times New Roman"/>
          <w:sz w:val="20"/>
          <w:szCs w:val="20"/>
          <w:color w:val="auto"/>
        </w:rPr>
        <w:t>. Except as otherwise specifically provided herein, no party hereto may assign either this Agreement or any of its rights, interests, or obligations hereunder without the prior written approval of the other party.</w:t>
      </w:r>
    </w:p>
    <w:p>
      <w:pPr>
        <w:spacing w:after="0" w:line="132" w:lineRule="exact"/>
        <w:rPr>
          <w:rFonts w:ascii="Times New Roman" w:cs="Times New Roman" w:eastAsia="Times New Roman" w:hAnsi="Times New Roman"/>
          <w:sz w:val="20"/>
          <w:szCs w:val="20"/>
          <w:color w:val="auto"/>
        </w:rPr>
      </w:pPr>
    </w:p>
    <w:p>
      <w:pPr>
        <w:ind w:right="260" w:firstLine="656"/>
        <w:spacing w:after="0" w:line="269" w:lineRule="auto"/>
        <w:tabs>
          <w:tab w:leader="none" w:pos="92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will be deemed an original but all of which together will constitute one and the same instrument.</w:t>
      </w:r>
    </w:p>
    <w:p>
      <w:pPr>
        <w:spacing w:after="0" w:line="118" w:lineRule="exact"/>
        <w:rPr>
          <w:rFonts w:ascii="Times New Roman" w:cs="Times New Roman" w:eastAsia="Times New Roman" w:hAnsi="Times New Roman"/>
          <w:sz w:val="20"/>
          <w:szCs w:val="20"/>
          <w:color w:val="auto"/>
        </w:rPr>
      </w:pPr>
    </w:p>
    <w:p>
      <w:pPr>
        <w:ind w:firstLine="656"/>
        <w:spacing w:after="0" w:line="269" w:lineRule="auto"/>
        <w:tabs>
          <w:tab w:leader="none" w:pos="92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section headings contained in this Agreement are inserted for convenience only and will not affect in any way the meaning or interpretation of this Agreement.</w:t>
      </w:r>
    </w:p>
    <w:p>
      <w:pPr>
        <w:spacing w:after="0" w:line="118" w:lineRule="exact"/>
        <w:rPr>
          <w:rFonts w:ascii="Times New Roman" w:cs="Times New Roman" w:eastAsia="Times New Roman" w:hAnsi="Times New Roman"/>
          <w:sz w:val="20"/>
          <w:szCs w:val="20"/>
          <w:color w:val="auto"/>
        </w:rPr>
      </w:pPr>
    </w:p>
    <w:p>
      <w:pPr>
        <w:ind w:right="40" w:firstLine="656"/>
        <w:spacing w:after="0" w:line="254" w:lineRule="auto"/>
        <w:tabs>
          <w:tab w:leader="none" w:pos="88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47" w:lineRule="exact"/>
        <w:rPr>
          <w:rFonts w:ascii="Times New Roman" w:cs="Times New Roman" w:eastAsia="Times New Roman" w:hAnsi="Times New Roman"/>
          <w:sz w:val="20"/>
          <w:szCs w:val="20"/>
          <w:color w:val="auto"/>
        </w:rPr>
      </w:pPr>
    </w:p>
    <w:p>
      <w:pPr>
        <w:ind w:right="20" w:firstLine="656"/>
        <w:spacing w:after="0" w:line="243" w:lineRule="auto"/>
        <w:tabs>
          <w:tab w:leader="none" w:pos="88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Jurisdiction</w:t>
      </w:r>
      <w:r>
        <w:rPr>
          <w:rFonts w:ascii="Times New Roman" w:cs="Times New Roman" w:eastAsia="Times New Roman" w:hAnsi="Times New Roman"/>
          <w:sz w:val="20"/>
          <w:szCs w:val="20"/>
          <w:color w:val="auto"/>
        </w:rPr>
        <w:t>. The parties (i) hereby irrevocably and unconditionally submit to the jurisdiction of the state courts of New York and to the jurisdiction of the United States District Court for the Southern District of New York for the purpose of any suit, action or other proceeding arising out of or based upon this Agreement, (ii) agree not to commence any suit, action or other proceeding arising out of or based upon this Agreement except in state courts of New York or the United States District Court for the Southern District of New York, and (iii)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45" w:lineRule="exact"/>
        <w:rPr>
          <w:sz w:val="20"/>
          <w:szCs w:val="20"/>
          <w:color w:val="auto"/>
        </w:rPr>
      </w:pPr>
    </w:p>
    <w:p>
      <w:pPr>
        <w:ind w:right="240" w:firstLine="656"/>
        <w:spacing w:after="0" w:line="254" w:lineRule="auto"/>
        <w:tabs>
          <w:tab w:leader="none" w:pos="97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THE PARTIES HERETO HEREBY WAIVE ANY RIGHT TO A JURY TRIAL IN CONNECTION WITH ANY LITIGATION PURSUANT TO THIS AGREEMENT AND THE TRANSACTIONS CONTEMPLATED HEREBY.</w:t>
      </w:r>
    </w:p>
    <w:p>
      <w:pPr>
        <w:spacing w:after="0" w:line="134" w:lineRule="exact"/>
        <w:rPr>
          <w:sz w:val="20"/>
          <w:szCs w:val="20"/>
          <w:color w:val="auto"/>
        </w:rPr>
      </w:pPr>
    </w:p>
    <w:p>
      <w:pPr>
        <w:ind w:right="320" w:firstLine="656"/>
        <w:spacing w:after="0" w:line="269" w:lineRule="auto"/>
        <w:tabs>
          <w:tab w:leader="none" w:pos="8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This Agreement may not be amended, modified or waived as to any particular provision except with the prior written consent of the Company and the Purchasers.</w:t>
      </w:r>
    </w:p>
    <w:p>
      <w:pPr>
        <w:spacing w:after="0" w:line="132" w:lineRule="exact"/>
        <w:rPr>
          <w:rFonts w:ascii="Times New Roman" w:cs="Times New Roman" w:eastAsia="Times New Roman" w:hAnsi="Times New Roman"/>
          <w:sz w:val="20"/>
          <w:szCs w:val="20"/>
          <w:color w:val="auto"/>
        </w:rPr>
      </w:pPr>
    </w:p>
    <w:p>
      <w:pPr>
        <w:ind w:right="40" w:firstLine="656"/>
        <w:spacing w:after="0" w:line="244" w:lineRule="auto"/>
        <w:tabs>
          <w:tab w:leader="none" w:pos="98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The provisions of this Agreement will be deemed severable and the invalidity or unenforceability of any provision will not affect the validity or enforceability of the other provisions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provision of this Agreement, as applied to any party hereto or to any circumstance, is adjudged by a governmental authority, arbitrator, or mediator not to be enforceable in accordance with its terms, the parties hereto agree that the governmental authority, arbitrator, or mediator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145" w:lineRule="exact"/>
        <w:rPr>
          <w:rFonts w:ascii="Times New Roman" w:cs="Times New Roman" w:eastAsia="Times New Roman" w:hAnsi="Times New Roman"/>
          <w:sz w:val="20"/>
          <w:szCs w:val="20"/>
          <w:color w:val="auto"/>
        </w:rPr>
      </w:pPr>
    </w:p>
    <w:p>
      <w:pPr>
        <w:ind w:right="120" w:firstLine="656"/>
        <w:spacing w:after="0" w:line="246" w:lineRule="auto"/>
        <w:tabs>
          <w:tab w:leader="none" w:pos="92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Each of the Company and the Purchasers will bear its own costs and expenses incurred in connection with the preparation, execution and performance of this Agreement and the consummation of the transactions contemplated hereby, including all fees and expenses of agents, representatives, financial advisors, legal counsel and accountants. The Company shall be responsible for the fees of its transfer agent, stamp taxes and all of The Depository Trust Company’s fees associated with the issuance of the Forward Purchase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594995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6" w:name="page77"/>
    <w:bookmarkEnd w:id="76"/>
    <w:p>
      <w:pPr>
        <w:ind w:left="-20" w:firstLine="656"/>
        <w:spacing w:after="0" w:line="255" w:lineRule="auto"/>
        <w:tabs>
          <w:tab w:leader="none" w:pos="90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Construction</w:t>
      </w:r>
      <w:r>
        <w:rPr>
          <w:rFonts w:ascii="Times New Roman" w:cs="Times New Roman" w:eastAsia="Times New Roman" w:hAnsi="Times New Roman"/>
          <w:sz w:val="19"/>
          <w:szCs w:val="19"/>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such law as amended and all rules and regulations promulgated thereunder, unless the context requires otherwise. The words “</w:t>
      </w:r>
      <w:r>
        <w:rPr>
          <w:rFonts w:ascii="Times New Roman" w:cs="Times New Roman" w:eastAsia="Times New Roman" w:hAnsi="Times New Roman"/>
          <w:sz w:val="19"/>
          <w:szCs w:val="19"/>
          <w:i w:val="1"/>
          <w:iCs w:val="1"/>
          <w:color w:val="auto"/>
        </w:rPr>
        <w:t>include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includes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including</w:t>
      </w:r>
      <w:r>
        <w:rPr>
          <w:rFonts w:ascii="Times New Roman" w:cs="Times New Roman" w:eastAsia="Times New Roman" w:hAnsi="Times New Roman"/>
          <w:sz w:val="19"/>
          <w:szCs w:val="19"/>
          <w:color w:val="auto"/>
        </w:rPr>
        <w:t>” will be deemed to be followed by “</w:t>
      </w:r>
      <w:r>
        <w:rPr>
          <w:rFonts w:ascii="Times New Roman" w:cs="Times New Roman" w:eastAsia="Times New Roman" w:hAnsi="Times New Roman"/>
          <w:sz w:val="19"/>
          <w:szCs w:val="19"/>
          <w:i w:val="1"/>
          <w:iCs w:val="1"/>
          <w:color w:val="auto"/>
        </w:rPr>
        <w:t>without limitation</w:t>
      </w:r>
      <w:r>
        <w:rPr>
          <w:rFonts w:ascii="Times New Roman" w:cs="Times New Roman" w:eastAsia="Times New Roman" w:hAnsi="Times New Roman"/>
          <w:sz w:val="19"/>
          <w:szCs w:val="19"/>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9"/>
          <w:szCs w:val="19"/>
          <w:i w:val="1"/>
          <w:iCs w:val="1"/>
          <w:color w:val="auto"/>
        </w:rPr>
        <w:t>this Agreement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hereof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hereby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hereunder</w:t>
      </w:r>
      <w:r>
        <w:rPr>
          <w:rFonts w:ascii="Times New Roman" w:cs="Times New Roman" w:eastAsia="Times New Roman" w:hAnsi="Times New Roman"/>
          <w:sz w:val="19"/>
          <w:szCs w:val="19"/>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37" w:lineRule="exact"/>
        <w:rPr>
          <w:rFonts w:ascii="Times New Roman" w:cs="Times New Roman" w:eastAsia="Times New Roman" w:hAnsi="Times New Roman"/>
          <w:sz w:val="19"/>
          <w:szCs w:val="19"/>
          <w:color w:val="auto"/>
        </w:rPr>
      </w:pPr>
    </w:p>
    <w:p>
      <w:pPr>
        <w:ind w:left="-20" w:right="360" w:firstLine="656"/>
        <w:spacing w:after="0" w:line="249" w:lineRule="auto"/>
        <w:tabs>
          <w:tab w:leader="none" w:pos="90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waiver by any party hereto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occurrence.</w:t>
      </w:r>
    </w:p>
    <w:p>
      <w:pPr>
        <w:spacing w:after="0" w:line="152" w:lineRule="exact"/>
        <w:rPr>
          <w:rFonts w:ascii="Times New Roman" w:cs="Times New Roman" w:eastAsia="Times New Roman" w:hAnsi="Times New Roman"/>
          <w:sz w:val="20"/>
          <w:szCs w:val="20"/>
          <w:color w:val="auto"/>
        </w:rPr>
      </w:pPr>
    </w:p>
    <w:p>
      <w:pPr>
        <w:jc w:val="both"/>
        <w:ind w:left="-20" w:right="20" w:firstLine="656"/>
        <w:spacing w:after="0" w:line="254" w:lineRule="auto"/>
        <w:tabs>
          <w:tab w:leader="none" w:pos="90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Purchasers agree that irreparable damage may occur in the event any provision of this Agreement was not performed by the Purchasers in accordance with the terms hereof and that the Company shall be entitled to specific performance of the terms hereof, in addition to any other remedy at law or equity.</w:t>
      </w:r>
    </w:p>
    <w:p>
      <w:pPr>
        <w:spacing w:after="0" w:line="133" w:lineRule="exact"/>
        <w:rPr>
          <w:rFonts w:ascii="Times New Roman" w:cs="Times New Roman" w:eastAsia="Times New Roman" w:hAnsi="Times New Roman"/>
          <w:sz w:val="20"/>
          <w:szCs w:val="20"/>
          <w:color w:val="auto"/>
        </w:rPr>
      </w:pPr>
    </w:p>
    <w:p>
      <w:pPr>
        <w:ind w:left="-20" w:firstLine="656"/>
        <w:spacing w:after="0" w:line="249" w:lineRule="auto"/>
        <w:tabs>
          <w:tab w:leader="none" w:pos="87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Electronic Execution</w:t>
      </w:r>
      <w:r>
        <w:rPr>
          <w:rFonts w:ascii="Times New Roman" w:cs="Times New Roman" w:eastAsia="Times New Roman" w:hAnsi="Times New Roman"/>
          <w:sz w:val="20"/>
          <w:szCs w:val="20"/>
          <w:color w:val="auto"/>
        </w:rPr>
        <w:t>. This Agreement may be signed in multiple counterparts and each counterpart shall represent a fully executed original as if signed by both Parties. Delivery of an executed counterpart of a signature page to this Agreement by facsimile or in electronic format shall be effective as delivery of a manually executed counterpart of this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625475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1000" w:top="118" w:right="1019" w:bottom="1440" w:gutter="0" w:footer="0" w:header="0"/>
        </w:sectPr>
      </w:pPr>
    </w:p>
    <w:bookmarkStart w:id="77" w:name="page78"/>
    <w:bookmarkEnd w:id="77"/>
    <w:p>
      <w:pPr>
        <w:ind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have executed this Agreement to be effective as of the date first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above.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ATHANOR MASTER FUND,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Athanor Capital Partners, LP, its general partner</w:t>
      </w:r>
    </w:p>
    <w:p>
      <w:pPr>
        <w:spacing w:after="0"/>
        <w:rPr>
          <w:sz w:val="20"/>
          <w:szCs w:val="20"/>
          <w:color w:val="auto"/>
        </w:rPr>
      </w:pPr>
      <w:r>
        <w:rPr>
          <w:rFonts w:ascii="Times New Roman" w:cs="Times New Roman" w:eastAsia="Times New Roman" w:hAnsi="Times New Roman"/>
          <w:sz w:val="20"/>
          <w:szCs w:val="20"/>
          <w:color w:val="auto"/>
        </w:rPr>
        <w:t>By: Athanor Capital Partners GP, LLC, its general partner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Parvinder Thiara</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60" w:type="dxa"/>
            <w:vAlign w:val="bottom"/>
            <w:vMerge w:val="continue"/>
          </w:tcPr>
          <w:p>
            <w:pPr>
              <w:spacing w:after="0"/>
              <w:rPr>
                <w:sz w:val="17"/>
                <w:szCs w:val="17"/>
                <w:color w:val="auto"/>
              </w:rPr>
            </w:pPr>
          </w:p>
        </w:tc>
        <w:tc>
          <w:tcPr>
            <w:tcW w:w="43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Parvinder Thiara</w:t>
            </w:r>
          </w:p>
        </w:tc>
        <w:tc>
          <w:tcPr>
            <w:tcW w:w="0" w:type="dxa"/>
            <w:vAlign w:val="bottom"/>
          </w:tcPr>
          <w:p>
            <w:pPr>
              <w:spacing w:after="0"/>
              <w:rPr>
                <w:sz w:val="1"/>
                <w:szCs w:val="1"/>
                <w:color w:val="auto"/>
              </w:rPr>
            </w:pPr>
          </w:p>
        </w:tc>
      </w:tr>
      <w:tr>
        <w:trPr>
          <w:trHeight w:val="25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Authorized Signatory</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ATHANOR INTERNATIONAL MASTER FUND,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Athanor Capital Partners, LP, its general partner</w:t>
      </w:r>
    </w:p>
    <w:p>
      <w:pPr>
        <w:spacing w:after="0"/>
        <w:rPr>
          <w:sz w:val="20"/>
          <w:szCs w:val="20"/>
          <w:color w:val="auto"/>
        </w:rPr>
      </w:pPr>
      <w:r>
        <w:rPr>
          <w:rFonts w:ascii="Times New Roman" w:cs="Times New Roman" w:eastAsia="Times New Roman" w:hAnsi="Times New Roman"/>
          <w:sz w:val="20"/>
          <w:szCs w:val="20"/>
          <w:color w:val="auto"/>
        </w:rPr>
        <w:t>By: Athanor Capital Partners GP, LLC, its general partner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By:</w:t>
            </w:r>
          </w:p>
        </w:tc>
        <w:tc>
          <w:tcPr>
            <w:tcW w:w="4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Parvinder Thiara</w:t>
            </w:r>
          </w:p>
        </w:tc>
      </w:tr>
      <w:tr>
        <w:trPr>
          <w:trHeight w:val="200"/>
        </w:trPr>
        <w:tc>
          <w:tcPr>
            <w:tcW w:w="6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32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Parvinder Thiara</w:t>
            </w:r>
          </w:p>
        </w:tc>
      </w:tr>
      <w:tr>
        <w:trPr>
          <w:trHeight w:val="25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 :</w:t>
            </w:r>
          </w:p>
        </w:tc>
        <w:tc>
          <w:tcPr>
            <w:tcW w:w="43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for Notices: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Athanor Capital, LP</w:t>
      </w:r>
    </w:p>
    <w:p>
      <w:pPr>
        <w:ind w:left="660"/>
        <w:spacing w:after="0"/>
        <w:rPr>
          <w:sz w:val="20"/>
          <w:szCs w:val="20"/>
          <w:color w:val="auto"/>
        </w:rPr>
      </w:pPr>
      <w:r>
        <w:rPr>
          <w:rFonts w:ascii="Times New Roman" w:cs="Times New Roman" w:eastAsia="Times New Roman" w:hAnsi="Times New Roman"/>
          <w:sz w:val="20"/>
          <w:szCs w:val="20"/>
          <w:color w:val="auto"/>
        </w:rPr>
        <w:t>parvinder.thiara@athanorcapital.com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JATT ACQUISITION CORP.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Someit Sidhu</w:t>
            </w:r>
          </w:p>
        </w:tc>
        <w:tc>
          <w:tcPr>
            <w:tcW w:w="0" w:type="dxa"/>
            <w:vAlign w:val="bottom"/>
          </w:tcPr>
          <w:p>
            <w:pPr>
              <w:spacing w:after="0"/>
              <w:rPr>
                <w:sz w:val="1"/>
                <w:szCs w:val="1"/>
                <w:color w:val="auto"/>
              </w:rPr>
            </w:pPr>
          </w:p>
        </w:tc>
      </w:tr>
      <w:tr>
        <w:trPr>
          <w:trHeight w:val="23"/>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80" w:type="dxa"/>
            <w:vAlign w:val="bottom"/>
            <w:vMerge w:val="continue"/>
          </w:tcPr>
          <w:p>
            <w:pPr>
              <w:spacing w:after="0"/>
              <w:rPr>
                <w:sz w:val="17"/>
                <w:szCs w:val="17"/>
                <w:color w:val="auto"/>
              </w:rPr>
            </w:pPr>
          </w:p>
        </w:tc>
        <w:tc>
          <w:tcPr>
            <w:tcW w:w="43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Someit Sidhu</w:t>
            </w:r>
          </w:p>
        </w:tc>
        <w:tc>
          <w:tcPr>
            <w:tcW w:w="0" w:type="dxa"/>
            <w:vAlign w:val="bottom"/>
          </w:tcPr>
          <w:p>
            <w:pPr>
              <w:spacing w:after="0"/>
              <w:rPr>
                <w:sz w:val="1"/>
                <w:szCs w:val="1"/>
                <w:color w:val="auto"/>
              </w:rPr>
            </w:pP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Executive Officer</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for Notices:</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Jatt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20"/>
          </w:cols>
          <w:pgMar w:left="980" w:top="114" w:right="1299" w:bottom="1440" w:gutter="0" w:footer="0" w:header="0"/>
        </w:sectPr>
      </w:pPr>
    </w:p>
    <w:bookmarkStart w:id="78" w:name="page79"/>
    <w:bookmarkEnd w:id="78"/>
    <w:p>
      <w:pPr>
        <w:ind w:left="200"/>
        <w:spacing w:after="0"/>
        <w:rPr>
          <w:sz w:val="20"/>
          <w:szCs w:val="20"/>
          <w:color w:val="auto"/>
        </w:rPr>
      </w:pPr>
      <w:r>
        <w:rPr>
          <w:rFonts w:ascii="Times New Roman" w:cs="Times New Roman" w:eastAsia="Times New Roman" w:hAnsi="Times New Roman"/>
          <w:sz w:val="19"/>
          <w:szCs w:val="19"/>
          <w:color w:val="auto"/>
        </w:rPr>
        <w:t>c/o Maples Corporate Services Limited</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PO Box 309, Ugland House</w:t>
      </w:r>
    </w:p>
    <w:p>
      <w:pPr>
        <w:ind w:left="200"/>
        <w:spacing w:after="0"/>
        <w:rPr>
          <w:sz w:val="20"/>
          <w:szCs w:val="20"/>
          <w:color w:val="auto"/>
        </w:rPr>
      </w:pPr>
      <w:r>
        <w:rPr>
          <w:rFonts w:ascii="Times New Roman" w:cs="Times New Roman" w:eastAsia="Times New Roman" w:hAnsi="Times New Roman"/>
          <w:sz w:val="20"/>
          <w:szCs w:val="20"/>
          <w:color w:val="auto"/>
        </w:rPr>
        <w:t>Grand Cayman, KY1-1104</w:t>
      </w:r>
    </w:p>
    <w:p>
      <w:pPr>
        <w:ind w:left="200"/>
        <w:spacing w:after="0"/>
        <w:rPr>
          <w:sz w:val="20"/>
          <w:szCs w:val="20"/>
          <w:color w:val="auto"/>
        </w:rPr>
      </w:pPr>
      <w:r>
        <w:rPr>
          <w:rFonts w:ascii="Times New Roman" w:cs="Times New Roman" w:eastAsia="Times New Roman" w:hAnsi="Times New Roman"/>
          <w:sz w:val="20"/>
          <w:szCs w:val="20"/>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342900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Someit Sidhu, certify that:</w:t>
      </w:r>
    </w:p>
    <w:p>
      <w:pPr>
        <w:spacing w:after="0" w:line="225" w:lineRule="exact"/>
        <w:rPr>
          <w:sz w:val="20"/>
          <w:szCs w:val="20"/>
          <w:color w:val="auto"/>
        </w:rPr>
      </w:pPr>
    </w:p>
    <w:p>
      <w:pPr>
        <w:ind w:left="180" w:hanging="172"/>
        <w:spacing w:after="0"/>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2021 of Jatt Acquisition Corp;</w:t>
      </w:r>
    </w:p>
    <w:p>
      <w:pPr>
        <w:spacing w:after="0" w:line="225"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180" w:right="20" w:hanging="172"/>
        <w:spacing w:after="0" w:line="312" w:lineRule="auto"/>
        <w:tabs>
          <w:tab w:leader="none" w:pos="1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80" w:right="20" w:hanging="172"/>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2022</w:t>
            </w:r>
          </w:p>
        </w:tc>
        <w:tc>
          <w:tcPr>
            <w:tcW w:w="67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By:/s/ Someit Sidhu</w:t>
            </w:r>
          </w:p>
        </w:tc>
      </w:tr>
      <w:tr>
        <w:trPr>
          <w:trHeight w:val="191"/>
        </w:trPr>
        <w:tc>
          <w:tcPr>
            <w:tcW w:w="3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Someit Sidhu</w:t>
            </w:r>
          </w:p>
        </w:tc>
      </w:tr>
      <w:tr>
        <w:trPr>
          <w:trHeight w:val="216"/>
        </w:trPr>
        <w:tc>
          <w:tcPr>
            <w:tcW w:w="3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Verender S. Badial, certify that:</w:t>
      </w:r>
    </w:p>
    <w:p>
      <w:pPr>
        <w:spacing w:after="0" w:line="225" w:lineRule="exact"/>
        <w:rPr>
          <w:sz w:val="20"/>
          <w:szCs w:val="20"/>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2021 of Jatt Acquisition Corp;</w:t>
      </w:r>
    </w:p>
    <w:p>
      <w:pPr>
        <w:spacing w:after="0" w:line="225"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180" w:right="20" w:hanging="172"/>
        <w:spacing w:after="0" w:line="312" w:lineRule="auto"/>
        <w:tabs>
          <w:tab w:leader="none" w:pos="1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80" w:right="20" w:hanging="172"/>
        <w:spacing w:after="0" w:line="28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2022</w:t>
            </w:r>
          </w:p>
        </w:tc>
        <w:tc>
          <w:tcPr>
            <w:tcW w:w="67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By:/s/ Verender S. Badial</w:t>
            </w:r>
          </w:p>
        </w:tc>
      </w:tr>
      <w:tr>
        <w:trPr>
          <w:trHeight w:val="191"/>
        </w:trPr>
        <w:tc>
          <w:tcPr>
            <w:tcW w:w="3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Verender S. Badial</w:t>
            </w:r>
          </w:p>
        </w:tc>
      </w:tr>
      <w:tr>
        <w:trPr>
          <w:trHeight w:val="216"/>
        </w:trPr>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Jatt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10-K for the year ended December 31, 2021,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Someit Sidhu,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right="60" w:hanging="252"/>
        <w:spacing w:after="0" w:line="282" w:lineRule="auto"/>
        <w:tabs>
          <w:tab w:leader="none" w:pos="2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2022</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Someit Sidhu</w:t>
            </w:r>
          </w:p>
        </w:tc>
      </w:tr>
      <w:tr>
        <w:trPr>
          <w:trHeight w:val="191"/>
        </w:trPr>
        <w:tc>
          <w:tcPr>
            <w:tcW w:w="498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Name:Someit Sidhu</w:t>
            </w:r>
          </w:p>
        </w:tc>
      </w:tr>
      <w:tr>
        <w:trPr>
          <w:trHeight w:val="216"/>
        </w:trPr>
        <w:tc>
          <w:tcPr>
            <w:tcW w:w="49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4980" w:type="dxa"/>
            <w:vAlign w:val="bottom"/>
          </w:tcPr>
          <w:p>
            <w:pPr>
              <w:spacing w:after="0"/>
              <w:rPr>
                <w:sz w:val="20"/>
                <w:szCs w:val="20"/>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49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Jatt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10-K for the year ended December 31, 2021,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Verender S. Badial,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right="60" w:hanging="252"/>
        <w:spacing w:after="0" w:line="282" w:lineRule="auto"/>
        <w:tabs>
          <w:tab w:leader="none" w:pos="2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2022</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Verender S. Badial</w:t>
            </w:r>
          </w:p>
        </w:tc>
      </w:tr>
      <w:tr>
        <w:trPr>
          <w:trHeight w:val="191"/>
        </w:trPr>
        <w:tc>
          <w:tcPr>
            <w:tcW w:w="498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Verender S. Badial</w:t>
            </w:r>
          </w:p>
        </w:tc>
      </w:tr>
      <w:tr>
        <w:trPr>
          <w:trHeight w:val="216"/>
        </w:trPr>
        <w:tc>
          <w:tcPr>
            <w:tcW w:w="49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4980" w:type="dxa"/>
            <w:vAlign w:val="bottom"/>
          </w:tcPr>
          <w:p>
            <w:pPr>
              <w:spacing w:after="0"/>
              <w:rPr>
                <w:sz w:val="20"/>
                <w:szCs w:val="20"/>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49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lowerRoman"/>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lowerRoman"/>
      <w:start w:val="1"/>
    </w:lvl>
  </w:abstractNum>
  <w:abstractNum w:abstractNumId="15">
    <w:nsid w:val="70A64E2A"/>
    <w:multiLevelType w:val="hybridMultilevel"/>
    <w:lvl w:ilvl="0">
      <w:lvlJc w:val="left"/>
      <w:lvlText w:val="(%1)"/>
      <w:numFmt w:val="lowerRoman"/>
      <w:start w:val="2"/>
    </w:lvl>
  </w:abstractNum>
  <w:abstractNum w:abstractNumId="16">
    <w:nsid w:val="6A2342EC"/>
    <w:multiLevelType w:val="hybridMultilevel"/>
    <w:lvl w:ilvl="0">
      <w:lvlJc w:val="left"/>
      <w:lvlText w:val="(%1)"/>
      <w:numFmt w:val="lowerRoman"/>
      <w:start w:val="3"/>
    </w:lvl>
  </w:abstractNum>
  <w:abstractNum w:abstractNumId="17">
    <w:nsid w:val="2A487CB0"/>
    <w:multiLevelType w:val="hybridMultilevel"/>
    <w:lvl w:ilvl="0">
      <w:lvlJc w:val="left"/>
      <w:lvlText w:val="(%1)"/>
      <w:numFmt w:val="lowerRoman"/>
      <w:start w:val="5"/>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1)"/>
      <w:numFmt w:val="lowerRoman"/>
      <w:start w:val="2"/>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lowerRoman"/>
      <w:start w:val="1"/>
    </w:lvl>
  </w:abstractNum>
  <w:abstractNum w:abstractNumId="26">
    <w:nsid w:val="38437FDB"/>
    <w:multiLevelType w:val="hybridMultilevel"/>
    <w:lvl w:ilvl="0">
      <w:lvlJc w:val="left"/>
      <w:lvlText w:val="(%1)"/>
      <w:numFmt w:val="lowerRoman"/>
      <w:start w:val="2"/>
    </w:lvl>
  </w:abstractNum>
  <w:abstractNum w:abstractNumId="27">
    <w:nsid w:val="7644A45C"/>
    <w:multiLevelType w:val="hybridMultilevel"/>
    <w:lvl w:ilvl="0">
      <w:lvlJc w:val="left"/>
      <w:lvlText w:val="(%1)"/>
      <w:numFmt w:val="lowerRoman"/>
      <w:start w:val="3"/>
    </w:lvl>
  </w:abstractNum>
  <w:abstractNum w:abstractNumId="28">
    <w:nsid w:val="32FFF902"/>
    <w:multiLevelType w:val="hybridMultilevel"/>
    <w:lvl w:ilvl="0">
      <w:lvlJc w:val="left"/>
      <w:lvlText w:val="(%1)"/>
      <w:numFmt w:val="lowerRoman"/>
      <w:start w:val="5"/>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lowerRoman"/>
      <w:start w:val="3"/>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lowerLetter"/>
      <w:start w:val="2"/>
    </w:lvl>
  </w:abstractNum>
  <w:abstractNum w:abstractNumId="35">
    <w:nsid w:val="75C6C33A"/>
    <w:multiLevelType w:val="hybridMultilevel"/>
    <w:lvl w:ilvl="0">
      <w:lvlJc w:val="left"/>
      <w:lvlText w:val="%1"/>
      <w:numFmt w:val="decimal"/>
      <w:start w:val="14"/>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2"/>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lowerRoman"/>
      <w:start w:val="3"/>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decimal"/>
      <w:start w:val="1"/>
    </w:lvl>
    <w:lvl w:ilvl="1">
      <w:lvlJc w:val="left"/>
      <w:lvlText w:val="(%2)"/>
      <w:numFmt w:val="lowerRoman"/>
      <w:start w:val="1"/>
    </w:lvl>
  </w:abstractNum>
  <w:abstractNum w:abstractNumId="42">
    <w:nsid w:val="649BB77C"/>
    <w:multiLevelType w:val="hybridMultilevel"/>
    <w:lvl w:ilvl="0">
      <w:lvlJc w:val="left"/>
      <w:lvlText w:val="%1."/>
      <w:numFmt w:val="upperLetter"/>
      <w:start w:val="1"/>
    </w:lvl>
  </w:abstractNum>
  <w:abstractNum w:abstractNumId="43">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4">
    <w:nsid w:val="3938657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5">
    <w:nsid w:val="1CF10FD8"/>
    <w:multiLevelType w:val="hybridMultilevel"/>
    <w:lvl w:ilvl="0">
      <w:lvlJc w:val="left"/>
      <w:lvlText w:val="%1."/>
      <w:numFmt w:val="decimal"/>
      <w:start w:val="2"/>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Letter"/>
      <w:start w:val="4"/>
    </w:lvl>
  </w:abstractNum>
  <w:abstractNum w:abstractNumId="48">
    <w:nsid w:val="47398C89"/>
    <w:multiLevelType w:val="hybridMultilevel"/>
    <w:lvl w:ilvl="0">
      <w:lvlJc w:val="left"/>
      <w:lvlText w:val="(%1)"/>
      <w:numFmt w:val="lowerLetter"/>
      <w:start w:val="8"/>
    </w:lvl>
  </w:abstractNum>
  <w:abstractNum w:abstractNumId="49">
    <w:nsid w:val="354FE9F9"/>
    <w:multiLevelType w:val="hybridMultilevel"/>
    <w:lvl w:ilvl="0">
      <w:lvlJc w:val="left"/>
      <w:lvlText w:val="%1."/>
      <w:numFmt w:val="decimal"/>
      <w:start w:val="3"/>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1"/>
    </w:lvl>
    <w:lvl w:ilvl="1">
      <w:lvlJc w:val="left"/>
      <w:lvlText w:val="(%2)"/>
      <w:numFmt w:val="lowerLetter"/>
      <w:start w:val="3"/>
    </w:lvl>
  </w:abstractNum>
  <w:abstractNum w:abstractNumId="52">
    <w:nsid w:val="D34B6A8"/>
    <w:multiLevelType w:val="hybridMultilevel"/>
    <w:lvl w:ilvl="0">
      <w:lvlJc w:val="left"/>
      <w:lvlText w:val="(%1)"/>
      <w:numFmt w:val="lowerLetter"/>
      <w:start w:val="35"/>
    </w:lvl>
    <w:lvl w:ilvl="1">
      <w:lvlJc w:val="left"/>
      <w:lvlText w:val="(%2)"/>
      <w:numFmt w:val="lowerLetter"/>
      <w:start w:val="8"/>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1"/>
    </w:lvl>
    <w:lvl w:ilvl="1">
      <w:lvlJc w:val="left"/>
      <w:lvlText w:val="(%2)"/>
      <w:numFmt w:val="lowerLetter"/>
      <w:start w:val="9"/>
    </w:lvl>
  </w:abstractNum>
  <w:abstractNum w:abstractNumId="55">
    <w:nsid w:val="61574095"/>
    <w:multiLevelType w:val="hybridMultilevel"/>
    <w:lvl w:ilvl="0">
      <w:lvlJc w:val="left"/>
      <w:lvlText w:val="(%1)"/>
      <w:numFmt w:val="lowerLetter"/>
      <w:start w:val="1"/>
    </w:lvl>
    <w:lvl w:ilvl="1">
      <w:lvlJc w:val="left"/>
      <w:lvlText w:val="(%2)"/>
      <w:numFmt w:val="lowerRoman"/>
      <w:start w:val="1"/>
    </w:lvl>
  </w:abstractNum>
  <w:abstractNum w:abstractNumId="56">
    <w:nsid w:val="7E0C57B1"/>
    <w:multiLevelType w:val="hybridMultilevel"/>
    <w:lvl w:ilvl="0">
      <w:lvlJc w:val="left"/>
      <w:lvlText w:val="%1."/>
      <w:numFmt w:val="decimal"/>
      <w:start w:val="8"/>
    </w:lvl>
  </w:abstractNum>
  <w:abstractNum w:abstractNumId="57">
    <w:nsid w:val="77AE35EB"/>
    <w:multiLevelType w:val="hybridMultilevel"/>
    <w:lvl w:ilvl="0">
      <w:lvlJc w:val="left"/>
      <w:lvlText w:val="(%1)"/>
      <w:numFmt w:val="lowerLetter"/>
      <w:start w:val="2"/>
    </w:lvl>
    <w:lvl w:ilvl="1">
      <w:lvlJc w:val="left"/>
      <w:lvlText w:val="(%2)"/>
      <w:numFmt w:val="lowerLetter"/>
      <w:start w:val="9"/>
    </w:lvl>
  </w:abstractNum>
  <w:abstractNum w:abstractNumId="58">
    <w:nsid w:val="579BE4F1"/>
    <w:multiLevelType w:val="hybridMultilevel"/>
    <w:lvl w:ilvl="0">
      <w:lvlJc w:val="left"/>
      <w:lvlText w:val="%1"/>
      <w:numFmt w:val="lowerLetter"/>
      <w:start w:val="1"/>
    </w:lvl>
    <w:lvl w:ilvl="1">
      <w:lvlJc w:val="left"/>
      <w:lvlText w:val="(%2)"/>
      <w:numFmt w:val="lowerLetter"/>
      <w:start w:val="1"/>
    </w:lvl>
  </w:abstractNum>
  <w:abstractNum w:abstractNumId="59">
    <w:nsid w:val="310C50B3"/>
    <w:multiLevelType w:val="hybridMultilevel"/>
    <w:lvl w:ilvl="0">
      <w:lvlJc w:val="left"/>
      <w:lvlText w:val="(%1)"/>
      <w:numFmt w:val="lowerLetter"/>
      <w:start w:val="35"/>
    </w:lvl>
    <w:lvl w:ilvl="1">
      <w:lvlJc w:val="left"/>
      <w:lvlText w:val="(%2)"/>
      <w:numFmt w:val="lowerLetter"/>
      <w:start w:val="2"/>
    </w:lvl>
  </w:abstractNum>
  <w:abstractNum w:abstractNumId="60">
    <w:nsid w:val="5FF87E05"/>
    <w:multiLevelType w:val="hybridMultilevel"/>
    <w:lvl w:ilvl="0">
      <w:lvlJc w:val="left"/>
      <w:lvlText w:val="(%1)"/>
      <w:numFmt w:val="lowerLetter"/>
      <w:start w:val="6"/>
    </w:lvl>
  </w:abstractNum>
  <w:abstractNum w:abstractNumId="61">
    <w:nsid w:val="2F305DEF"/>
    <w:multiLevelType w:val="hybridMultilevel"/>
    <w:lvl w:ilvl="0">
      <w:lvlJc w:val="left"/>
      <w:lvlText w:val="(%1)"/>
      <w:numFmt w:val="upperLetter"/>
      <w:start w:val="11"/>
    </w:lvl>
  </w:abstractNum>
  <w:abstractNum w:abstractNumId="62">
    <w:nsid w:val="25A70BF7"/>
    <w:multiLevelType w:val="hybridMultilevel"/>
    <w:lvl w:ilvl="0">
      <w:lvlJc w:val="left"/>
      <w:lvlText w:val="(%1)"/>
      <w:numFmt w:val="lowerLetter"/>
      <w:start w:val="12"/>
    </w:lvl>
  </w:abstractNum>
  <w:abstractNum w:abstractNumId="63">
    <w:nsid w:val="1DBABF00"/>
    <w:multiLevelType w:val="hybridMultilevel"/>
    <w:lvl w:ilvl="0">
      <w:lvlJc w:val="left"/>
      <w:lvlText w:val="(%1)"/>
      <w:numFmt w:val="lowerLetter"/>
      <w:start w:val="15"/>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59" Type="http://schemas.openxmlformats.org/officeDocument/2006/relationships/hyperlink" Target="https://www.sec.gov/Archives/edgar/data/1855644/000110465921093483/tm2122413d1_ex1-1.htm" TargetMode="External"/><Relationship Id="rId60" Type="http://schemas.openxmlformats.org/officeDocument/2006/relationships/hyperlink" Target="https://www.sec.gov/Archives/edgar/data/1855644/000110465921081549/tm2112336d2_ex3-1.htm" TargetMode="External"/><Relationship Id="rId61" Type="http://schemas.openxmlformats.org/officeDocument/2006/relationships/hyperlink" Target="https://www.sec.gov/Archives/edgar/data/1855644/000110465921081549/tm2112336d2_ex3-2.htm" TargetMode="External"/><Relationship Id="rId62" Type="http://schemas.openxmlformats.org/officeDocument/2006/relationships/hyperlink" Target="https://www.sec.gov/Archives/edgar/data/1855644/000110465921081549/tm2112336d2_ex4-1.htm" TargetMode="External"/><Relationship Id="rId63" Type="http://schemas.openxmlformats.org/officeDocument/2006/relationships/hyperlink" Target="https://www.sec.gov/Archives/edgar/data/1855644/000110465921081549/tm2112336d2_ex4-2.htm" TargetMode="External"/><Relationship Id="rId64" Type="http://schemas.openxmlformats.org/officeDocument/2006/relationships/hyperlink" Target="https://www.sec.gov/Archives/edgar/data/1855644/000110465921081549/tm2112336d2_ex4-3.htm" TargetMode="External"/><Relationship Id="rId65" Type="http://schemas.openxmlformats.org/officeDocument/2006/relationships/hyperlink" Target="https://www.sec.gov/Archives/edgar/data/1855644/000110465921089459/tm2112336d4_ex4-4.htm" TargetMode="External"/><Relationship Id="rId66" Type="http://schemas.openxmlformats.org/officeDocument/2006/relationships/hyperlink" Target="https://www.sec.gov/Archives/edgar/data/1855644/000110465921093483/tm2122413d1_ex10-1.htm" TargetMode="External"/><Relationship Id="rId67" Type="http://schemas.openxmlformats.org/officeDocument/2006/relationships/hyperlink" Target="https://www.sec.gov/Archives/edgar/data/1855644/000110465921081549/tm2112336d2_ex10-2.htm" TargetMode="External"/><Relationship Id="rId68" Type="http://schemas.openxmlformats.org/officeDocument/2006/relationships/hyperlink" Target="https://www.sec.gov/Archives/edgar/data/1855644/000110465921081549/tm2112336d2_ex10-3.htm" TargetMode="External"/><Relationship Id="rId69" Type="http://schemas.openxmlformats.org/officeDocument/2006/relationships/hyperlink" Target="https://www.sec.gov/Archives/edgar/data/1855644/000110465921081549/tm2112336d2_ex10-4.htm" TargetMode="External"/><Relationship Id="rId70" Type="http://schemas.openxmlformats.org/officeDocument/2006/relationships/hyperlink" Target="https://www.sec.gov/Archives/edgar/data/1855644/000110465921089459/tm2112336d4_ex10-5.htm" TargetMode="External"/><Relationship Id="rId71" Type="http://schemas.openxmlformats.org/officeDocument/2006/relationships/hyperlink" Target="https://www.sec.gov/Archives/edgar/data/1855644/000110465921081549/tm2112336d2_ex10-6.htm" TargetMode="External"/><Relationship Id="rId72" Type="http://schemas.openxmlformats.org/officeDocument/2006/relationships/hyperlink" Target="https://www.sec.gov/Archives/edgar/data/1855644/000110465921089459/tm2112336d4_ex10-7.htm" TargetMode="External"/><Relationship Id="rId73" Type="http://schemas.openxmlformats.org/officeDocument/2006/relationships/hyperlink" Target="https://www.sec.gov/Archives/edgar/data/1855644/000110465921081549/tm2112336d2_ex10-8.htm" TargetMode="External"/><Relationship Id="rId74" Type="http://schemas.openxmlformats.org/officeDocument/2006/relationships/hyperlink" Target="https://www.sec.gov/Archives/edgar/data/1855644/000110465921081549/tm2112336d2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2022-04-11T16:29:50Z</dcterms:created>
  <dcterms:modified xsi:type="dcterms:W3CDTF">2022-04-11T16:29:50Z</dcterms:modified>
</cp:coreProperties>
</file>