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60325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74930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98" w:lineRule="exact"/>
        <w:rPr>
          <w:sz w:val="24"/>
          <w:szCs w:val="24"/>
          <w:color w:val="auto"/>
        </w:rPr>
      </w:pPr>
    </w:p>
    <w:p>
      <w:pPr>
        <w:ind w:left="420" w:hanging="400"/>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7" w:lineRule="exact"/>
        <w:rPr>
          <w:sz w:val="24"/>
          <w:szCs w:val="24"/>
          <w:color w:val="auto"/>
        </w:rPr>
      </w:pPr>
    </w:p>
    <w:p>
      <w:pPr>
        <w:ind w:left="420" w:hanging="400"/>
        <w:spacing w:after="0"/>
        <w:tabs>
          <w:tab w:leader="none" w:pos="4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w:t>
      </w:r>
    </w:p>
    <w:p>
      <w:pPr>
        <w:spacing w:after="0" w:line="39" w:lineRule="exact"/>
        <w:rPr>
          <w:sz w:val="24"/>
          <w:szCs w:val="24"/>
          <w:color w:val="auto"/>
        </w:rPr>
      </w:pPr>
    </w:p>
    <w:p>
      <w:pPr>
        <w:ind w:left="420"/>
        <w:spacing w:after="0"/>
        <w:tabs>
          <w:tab w:leader="none" w:pos="3240" w:val="left"/>
        </w:tabs>
        <w:rPr>
          <w:sz w:val="20"/>
          <w:szCs w:val="20"/>
          <w:color w:val="auto"/>
        </w:rPr>
      </w:pPr>
      <w:r>
        <w:rPr>
          <w:rFonts w:ascii="Times New Roman" w:cs="Times New Roman" w:eastAsia="Times New Roman" w:hAnsi="Times New Roman"/>
          <w:sz w:val="16"/>
          <w:szCs w:val="16"/>
          <w:b w:val="1"/>
          <w:bCs w:val="1"/>
          <w:color w:val="auto"/>
        </w:rPr>
        <w:t>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001-40598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81915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ZURA BIO LIMITED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60325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49" w:lineRule="exact"/>
        <w:rPr>
          <w:sz w:val="24"/>
          <w:szCs w:val="24"/>
          <w:color w:val="auto"/>
        </w:rPr>
      </w:pPr>
    </w:p>
    <w:tbl>
      <w:tblPr>
        <w:tblLayout w:type="fixed"/>
        <w:tblInd w:w="1140" w:type="dxa"/>
        <w:tblCellMar>
          <w:top w:w="0" w:type="dxa"/>
          <w:left w:w="0" w:type="dxa"/>
          <w:bottom w:w="0" w:type="dxa"/>
          <w:right w:w="0" w:type="dxa"/>
        </w:tblCellMar>
      </w:tblPr>
      <w:tr>
        <w:trPr>
          <w:trHeight w:val="203"/>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27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98-1725736</w:t>
            </w:r>
          </w:p>
        </w:tc>
      </w:tr>
      <w:tr>
        <w:trPr>
          <w:trHeight w:val="202"/>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760" w:type="dxa"/>
            <w:vAlign w:val="bottom"/>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6"/>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760" w:type="dxa"/>
            <w:vAlign w:val="bottom"/>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12"/>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w w:val="99"/>
              </w:rPr>
              <w:t>1489 W. Warm Springs Rd. #110</w:t>
            </w:r>
          </w:p>
        </w:tc>
        <w:tc>
          <w:tcPr>
            <w:tcW w:w="2760" w:type="dxa"/>
            <w:vAlign w:val="bottom"/>
          </w:tcPr>
          <w:p>
            <w:pPr>
              <w:spacing w:after="0"/>
              <w:rPr>
                <w:sz w:val="18"/>
                <w:szCs w:val="18"/>
                <w:color w:val="auto"/>
              </w:rPr>
            </w:pPr>
          </w:p>
        </w:tc>
      </w:tr>
      <w:tr>
        <w:trPr>
          <w:trHeight w:val="220"/>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Henderson, NV</w:t>
            </w:r>
          </w:p>
        </w:tc>
        <w:tc>
          <w:tcPr>
            <w:tcW w:w="27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89014</w:t>
            </w:r>
          </w:p>
        </w:tc>
      </w:tr>
      <w:tr>
        <w:trPr>
          <w:trHeight w:val="212"/>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760" w:type="dxa"/>
            <w:vAlign w:val="bottom"/>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(702) 825-9872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Class A Ordinary Shares</w:t>
            </w:r>
          </w:p>
        </w:tc>
        <w:tc>
          <w:tcPr>
            <w:tcW w:w="14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ZURA</w:t>
            </w:r>
          </w:p>
        </w:tc>
        <w:tc>
          <w:tcPr>
            <w:tcW w:w="160" w:type="dxa"/>
            <w:vAlign w:val="bottom"/>
          </w:tcPr>
          <w:p>
            <w:pPr>
              <w:spacing w:after="0"/>
              <w:rPr>
                <w:sz w:val="10"/>
                <w:szCs w:val="10"/>
                <w:color w:val="auto"/>
              </w:rPr>
            </w:pPr>
          </w:p>
        </w:tc>
        <w:tc>
          <w:tcPr>
            <w:tcW w:w="44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40" w:val="left"/>
          <w:tab w:leader="none" w:pos="1000" w:val="left"/>
        </w:tabs>
        <w:rPr>
          <w:sz w:val="20"/>
          <w:szCs w:val="20"/>
          <w:color w:val="auto"/>
        </w:rPr>
      </w:pPr>
      <w:r>
        <w:rPr>
          <w:rFonts w:ascii="Times New Roman" w:cs="Times New Roman" w:eastAsia="Times New Roman" w:hAnsi="Times New Roman"/>
          <w:sz w:val="14"/>
          <w:szCs w:val="14"/>
          <w:color w:val="auto"/>
        </w:rPr>
        <w:t>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0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46"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228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w:t>
      </w:r>
      <w:r>
        <w:rPr>
          <w:rFonts w:ascii="Times New Roman" w:cs="Times New Roman" w:eastAsia="Times New Roman" w:hAnsi="Times New Roman"/>
          <w:sz w:val="14"/>
          <w:szCs w:val="14"/>
          <w:color w:val="212529"/>
        </w:rPr>
        <w:t>November 10</w:t>
      </w:r>
      <w:r>
        <w:rPr>
          <w:rFonts w:ascii="Times New Roman" w:cs="Times New Roman" w:eastAsia="Times New Roman" w:hAnsi="Times New Roman"/>
          <w:sz w:val="14"/>
          <w:szCs w:val="14"/>
          <w:color w:val="auto"/>
        </w:rPr>
        <w:t>, 2025, the registrant had 65,023,308 Class A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75565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118745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3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360" w:type="dxa"/>
            <w:vAlign w:val="bottom"/>
            <w:gridSpan w:val="4"/>
            <w:vMerge w:val="restart"/>
          </w:tcPr>
          <w:p>
            <w:pPr>
              <w:spacing w:after="0"/>
              <w:rPr>
                <w:sz w:val="15"/>
                <w:szCs w:val="15"/>
                <w:color w:val="auto"/>
              </w:rPr>
            </w:pPr>
          </w:p>
        </w:tc>
        <w:tc>
          <w:tcPr>
            <w:tcW w:w="8320" w:type="dxa"/>
            <w:vAlign w:val="bottom"/>
            <w:gridSpan w:val="18"/>
            <w:vMerge w:val="continue"/>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00" w:type="dxa"/>
            <w:vAlign w:val="bottom"/>
            <w:gridSpan w:val="2"/>
            <w:vMerge w:val="continue"/>
          </w:tcPr>
          <w:p>
            <w:pPr>
              <w:spacing w:after="0"/>
              <w:rPr>
                <w:sz w:val="18"/>
                <w:szCs w:val="18"/>
                <w:color w:val="auto"/>
              </w:rPr>
            </w:pPr>
          </w:p>
        </w:tc>
        <w:tc>
          <w:tcPr>
            <w:tcW w:w="360" w:type="dxa"/>
            <w:vAlign w:val="bottom"/>
            <w:gridSpan w:val="4"/>
            <w:vMerge w:val="continue"/>
          </w:tcPr>
          <w:p>
            <w:pPr>
              <w:spacing w:after="0"/>
              <w:rPr>
                <w:sz w:val="18"/>
                <w:szCs w:val="18"/>
                <w:color w:val="auto"/>
              </w:rPr>
            </w:pPr>
          </w:p>
        </w:tc>
        <w:tc>
          <w:tcPr>
            <w:tcW w:w="41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418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4660" w:type="dxa"/>
            <w:vAlign w:val="bottom"/>
            <w:gridSpan w:val="7"/>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Redeemable Noncontrolling Interest and Shareholders’</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Equity</w:t>
            </w:r>
          </w:p>
        </w:tc>
        <w:tc>
          <w:tcPr>
            <w:tcW w:w="7840" w:type="dxa"/>
            <w:vAlign w:val="bottom"/>
            <w:gridSpan w:val="1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2.</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980" w:type="dxa"/>
            <w:vAlign w:val="bottom"/>
            <w:tcBorders>
              <w:left w:val="single" w:sz="8" w:color="0000EE"/>
            </w:tcBorders>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39"/>
        </w:trPr>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00" w:type="dxa"/>
            <w:vAlign w:val="bottom"/>
            <w:gridSpan w:val="3"/>
          </w:tcPr>
          <w:p>
            <w:pPr>
              <w:spacing w:after="0"/>
              <w:rPr>
                <w:sz w:val="24"/>
                <w:szCs w:val="24"/>
                <w:color w:val="auto"/>
              </w:rPr>
            </w:pPr>
          </w:p>
        </w:tc>
        <w:tc>
          <w:tcPr>
            <w:tcW w:w="18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44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gridSpan w:val="2"/>
          </w:tcPr>
          <w:p>
            <w:pPr>
              <w:spacing w:after="0"/>
              <w:rPr>
                <w:sz w:val="18"/>
                <w:szCs w:val="18"/>
                <w:color w:val="auto"/>
              </w:rPr>
            </w:pPr>
          </w:p>
        </w:tc>
        <w:tc>
          <w:tcPr>
            <w:tcW w:w="9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7420" w:type="dxa"/>
            <w:vAlign w:val="bottom"/>
            <w:gridSpan w:val="15"/>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2.</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56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2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6.</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the current expectations of Zura Bio Limited (the “Company” or “Zura”) and its management and are inherently subject to uncertainties and changes in circumstances and their potential effects and speak only as of the date of such statements. Forward-looking statements are not guarantees of performance. You should not put undue reliance on our forward-looking statements.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p>
      <w:pPr>
        <w:spacing w:after="0" w:line="187" w:lineRule="exact"/>
        <w:rPr>
          <w:sz w:val="20"/>
          <w:szCs w:val="20"/>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 candidates and their related benefits, and our beliefs regarding competing product candidates and products both in development and approved, may not be achieved;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vision and strategy may not be successful;</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key events and initiation of our studies and release of clinical data may take longer than anticipated or may not be achieved at all;</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potential general acceptability and maintenance of our product candidates by regulatory authorities, payors, physicians, and patients may not be achieved;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key personnel;</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our future operating expenses, capital requirements and needs for additional financing may not be achieved;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completed any clinical trials, and have no products approved for commercial sale;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incur significant losses for the foreseeable future and may not be able to achieve or sustain profitability in the future;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renew existing contracts, enter into new contracts or may experience disputes or other challenges with respect to our vendors or other third-parties;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development manufacturing organizations for the manufacture of clinical materials;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 research organizations, clinical trial sites, and other third parties to conduct our preclinical studies and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for our product candidates, and there may be related restrictions or limitations of any approved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respond to general economic and geopolitical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manage growth;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competitive pressures from other companies worldwide;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protect our intellectual property rights;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set forth in documents filed, or to be filed, with the Securities and Exchange Commission (the “SEC”).</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our business, can be found under “Risk Factors” in Part I, Item 1A of our Annual Report on Form 10-K for the year ended December 31, 2024 (the “2024 Annual Report”), as supplemented by the risks and uncertainties described in “Risk Factors” Item 1A. Risk Factors in Part II of this Quarterly Report. We may not actually achieve the plans, intentions or expectations disclosed in our forward-looking statements.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Our forward-looking statements do not reflect the potential impact of any future acquisitions, mergers, dispositions, joint ventures, investments or other transactions we may execute.</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this Quarterly Report and the documents referenced within this Quarterly Report and the other cautionary statements that are included elsewhere in this Quarterly Report and in our public filings, including under “Management’s Discussion and Analysis of Financial Condition and Results of Operations.” Forward-looking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5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143,935</w:t>
            </w:r>
          </w:p>
        </w:tc>
        <w:tc>
          <w:tcPr>
            <w:tcW w:w="24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25,491</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 shares authorized as of September 30, 2025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2024; no shares issued and outstanding as of September 30, 2025 and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300,000,000 shares authorized as of</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30, 2025 and December 31, 2024; 65,018,058 and 65,297,530 shares issued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(207,372)</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Zura Bio Limited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108,243</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109,784</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148,356</w:t>
            </w:r>
          </w:p>
        </w:tc>
        <w:tc>
          <w:tcPr>
            <w:tcW w:w="0" w:type="dxa"/>
            <w:vAlign w:val="bottom"/>
          </w:tcPr>
          <w:p>
            <w:pPr>
              <w:spacing w:after="0"/>
              <w:rPr>
                <w:sz w:val="1"/>
                <w:szCs w:val="1"/>
                <w:color w:val="auto"/>
              </w:rPr>
            </w:pPr>
          </w:p>
        </w:tc>
      </w:tr>
      <w:tr>
        <w:trPr>
          <w:trHeight w:val="21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143,935</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5"/>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5"/>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39,457</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(39,457)</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expense/(income),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(income)/expense, net</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 to redemption value</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(2,828)</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of redeemable noncontrolling interest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Class A Ordinary Shareholders of Zura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(22,942)</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(53,472)</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(36,338)</w:t>
            </w:r>
          </w:p>
        </w:tc>
        <w:tc>
          <w:tcPr>
            <w:tcW w:w="0" w:type="dxa"/>
            <w:vAlign w:val="bottom"/>
          </w:tcPr>
          <w:p>
            <w:pPr>
              <w:spacing w:after="0"/>
              <w:rPr>
                <w:sz w:val="1"/>
                <w:szCs w:val="1"/>
                <w:color w:val="auto"/>
              </w:rPr>
            </w:pPr>
          </w:p>
        </w:tc>
      </w:tr>
      <w:tr>
        <w:trPr>
          <w:trHeight w:val="151"/>
        </w:trPr>
        <w:tc>
          <w:tcPr>
            <w:tcW w:w="53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loss per share attributable to Class A Ordinary Shareholders of</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21"/>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Zura, basic and diluted</w:t>
            </w:r>
          </w:p>
        </w:tc>
        <w:tc>
          <w:tcPr>
            <w:tcW w:w="12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Weighted-average Class A Ordinary Shares used in computing net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 share attributable to Class A Ordinary Shareholders of Zura,</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94,564,632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87,335,667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93,941,675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69,778,401</w:t>
            </w:r>
          </w:p>
        </w:tc>
        <w:tc>
          <w:tcPr>
            <w:tcW w:w="0" w:type="dxa"/>
            <w:vAlign w:val="bottom"/>
          </w:tcPr>
          <w:p>
            <w:pPr>
              <w:spacing w:after="0"/>
              <w:rPr>
                <w:sz w:val="1"/>
                <w:szCs w:val="1"/>
                <w:color w:val="auto"/>
              </w:rPr>
            </w:pPr>
          </w:p>
        </w:tc>
      </w:tr>
      <w:tr>
        <w:trPr>
          <w:trHeight w:val="221"/>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3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1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3"/>
                <w:szCs w:val="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3"/>
                <w:szCs w:val="3"/>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3"/>
                <w:szCs w:val="3"/>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Borders>
              <w:bottom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11,663</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62,064,270</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315,231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(189,332)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127,446</w:t>
            </w:r>
          </w:p>
        </w:tc>
        <w:tc>
          <w:tcPr>
            <w:tcW w:w="0" w:type="dxa"/>
            <w:vAlign w:val="bottom"/>
          </w:tcPr>
          <w:p>
            <w:pPr>
              <w:spacing w:after="0"/>
              <w:rPr>
                <w:sz w:val="1"/>
                <w:szCs w:val="1"/>
                <w:color w:val="auto"/>
              </w:rPr>
            </w:pPr>
          </w:p>
        </w:tc>
      </w:tr>
      <w:tr>
        <w:trPr>
          <w:trHeight w:val="126"/>
        </w:trPr>
        <w:tc>
          <w:tcPr>
            <w:tcW w:w="3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upon exercise of</w:t>
            </w: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2,888,952</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Pre-Funded Warrants</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for restricted share</w:t>
            </w: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64,836</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 net of shares withheld for taxes</w:t>
            </w: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Partial extinguishment of redeemable noncontrolling</w:t>
            </w:r>
          </w:p>
        </w:tc>
        <w:tc>
          <w:tcPr>
            <w:tcW w:w="8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(5,831)</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Accretion of redeemable noncontrolling interest to</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(2,828)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value</w:t>
            </w: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2,379</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(18,040)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(18,040)</w:t>
            </w:r>
          </w:p>
        </w:tc>
        <w:tc>
          <w:tcPr>
            <w:tcW w:w="0" w:type="dxa"/>
            <w:vAlign w:val="bottom"/>
          </w:tcPr>
          <w:p>
            <w:pPr>
              <w:spacing w:after="0"/>
              <w:rPr>
                <w:sz w:val="1"/>
                <w:szCs w:val="1"/>
                <w:color w:val="auto"/>
              </w:rPr>
            </w:pPr>
          </w:p>
        </w:tc>
      </w:tr>
      <w:tr>
        <w:trPr>
          <w:trHeight w:val="142"/>
        </w:trPr>
        <w:tc>
          <w:tcPr>
            <w:tcW w:w="35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8,660</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65,018,058</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315,608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(207,372)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109,784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3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10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3"/>
                <w:szCs w:val="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3"/>
                <w:szCs w:val="3"/>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3"/>
                <w:szCs w:val="3"/>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Borders>
              <w:bottom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14,000</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63,683,806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278,086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(121,570)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158,063</w:t>
            </w:r>
          </w:p>
        </w:tc>
        <w:tc>
          <w:tcPr>
            <w:tcW w:w="0" w:type="dxa"/>
            <w:vAlign w:val="bottom"/>
          </w:tcPr>
          <w:p>
            <w:pPr>
              <w:spacing w:after="0"/>
              <w:rPr>
                <w:sz w:val="1"/>
                <w:szCs w:val="1"/>
                <w:color w:val="auto"/>
              </w:rPr>
            </w:pPr>
          </w:p>
        </w:tc>
      </w:tr>
      <w:tr>
        <w:trPr>
          <w:trHeight w:val="126"/>
        </w:trPr>
        <w:tc>
          <w:tcPr>
            <w:tcW w:w="3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Pre-Funded Warrants in exchange for Class A</w:t>
            </w: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(4,000,000)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Ordinary Shares</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 exchange for</w:t>
            </w: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1,718,108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6,230</w:t>
            </w: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Private Placement Warrants</w:t>
            </w: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 exchange for</w:t>
            </w: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2,064,082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Public Warrants</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 connection with a</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 under the ATM, net of $0.2 million of</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w:t>
            </w: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ATM transaction costs</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0" w:type="dxa"/>
            <w:vAlign w:val="bottom"/>
          </w:tcPr>
          <w:p>
            <w:pPr>
              <w:spacing w:after="0"/>
              <w:rPr>
                <w:sz w:val="1"/>
                <w:szCs w:val="1"/>
                <w:color w:val="auto"/>
              </w:rPr>
            </w:pPr>
          </w:p>
        </w:tc>
      </w:tr>
      <w:tr>
        <w:trPr>
          <w:trHeight w:val="126"/>
        </w:trPr>
        <w:tc>
          <w:tcPr>
            <w:tcW w:w="3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for restricted share</w:t>
            </w: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327,534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 net of shares withheld for taxes</w:t>
            </w: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8,646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8,646</w:t>
            </w:r>
          </w:p>
        </w:tc>
        <w:tc>
          <w:tcPr>
            <w:tcW w:w="0" w:type="dxa"/>
            <w:vAlign w:val="bottom"/>
          </w:tcPr>
          <w:p>
            <w:pPr>
              <w:spacing w:after="0"/>
              <w:rPr>
                <w:sz w:val="1"/>
                <w:szCs w:val="1"/>
                <w:color w:val="auto"/>
              </w:rPr>
            </w:pPr>
          </w:p>
        </w:tc>
      </w:tr>
      <w:tr>
        <w:trPr>
          <w:trHeight w:val="126"/>
        </w:trPr>
        <w:tc>
          <w:tcPr>
            <w:tcW w:w="3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Accretion of redeemable noncontrolling interest to</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(2,240)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value</w:t>
            </w: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(20,702)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(20,702)</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16,240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65,293,530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295,311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(142,272)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154,287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3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0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9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11,663</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65,297,530</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302,705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(155,897)</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148,356</w:t>
            </w:r>
          </w:p>
        </w:tc>
        <w:tc>
          <w:tcPr>
            <w:tcW w:w="0" w:type="dxa"/>
            <w:vAlign w:val="bottom"/>
          </w:tcPr>
          <w:p>
            <w:pPr>
              <w:spacing w:after="0"/>
              <w:rPr>
                <w:sz w:val="1"/>
                <w:szCs w:val="1"/>
                <w:color w:val="auto"/>
              </w:rPr>
            </w:pPr>
          </w:p>
        </w:tc>
      </w:tr>
      <w:tr>
        <w:trPr>
          <w:trHeight w:val="126"/>
        </w:trPr>
        <w:tc>
          <w:tcPr>
            <w:tcW w:w="3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 connection with</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under the ATM, net of $0.2 million of</w:t>
            </w:r>
          </w:p>
        </w:tc>
        <w:tc>
          <w:tcPr>
            <w:tcW w:w="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commissions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Pre-Funded Warrants in exchange for Class</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(6,500,000)</w:t>
            </w:r>
          </w:p>
        </w:tc>
        <w:tc>
          <w:tcPr>
            <w:tcW w:w="2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 Ordinary Shares</w:t>
            </w: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upon exercise of</w:t>
            </w:r>
          </w:p>
        </w:tc>
        <w:tc>
          <w:tcPr>
            <w:tcW w:w="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2,888,952</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Pre-Funded Warrants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for share option</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exercises and restricted share units, net of shares</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331,576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withheld for taxes</w:t>
            </w: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Partial extinguishment of redeemable noncontrolling</w:t>
            </w:r>
          </w:p>
        </w:tc>
        <w:tc>
          <w:tcPr>
            <w:tcW w:w="8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(5,831)</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Accretion of redeemable noncontrolling interest to</w:t>
            </w:r>
          </w:p>
        </w:tc>
        <w:tc>
          <w:tcPr>
            <w:tcW w:w="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(2,828)</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value</w:t>
            </w: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9,755</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(51,475)</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(51,475)</w:t>
            </w:r>
          </w:p>
        </w:tc>
        <w:tc>
          <w:tcPr>
            <w:tcW w:w="0" w:type="dxa"/>
            <w:vAlign w:val="bottom"/>
          </w:tcPr>
          <w:p>
            <w:pPr>
              <w:spacing w:after="0"/>
              <w:rPr>
                <w:sz w:val="1"/>
                <w:szCs w:val="1"/>
                <w:color w:val="auto"/>
              </w:rPr>
            </w:pPr>
          </w:p>
        </w:tc>
      </w:tr>
      <w:tr>
        <w:trPr>
          <w:trHeight w:val="142"/>
        </w:trPr>
        <w:tc>
          <w:tcPr>
            <w:tcW w:w="3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8,660</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65,018,058</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315,608</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(207,372)</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109,784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3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080" w:type="dxa"/>
            <w:vAlign w:val="bottom"/>
            <w:gridSpan w:val="3"/>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9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18,680</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43,593,678</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162,820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(103,494)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60,871</w:t>
            </w:r>
          </w:p>
        </w:tc>
        <w:tc>
          <w:tcPr>
            <w:tcW w:w="0" w:type="dxa"/>
            <w:vAlign w:val="bottom"/>
          </w:tcPr>
          <w:p>
            <w:pPr>
              <w:spacing w:after="0"/>
              <w:rPr>
                <w:sz w:val="1"/>
                <w:szCs w:val="1"/>
                <w:color w:val="auto"/>
              </w:rPr>
            </w:pPr>
          </w:p>
        </w:tc>
      </w:tr>
      <w:tr>
        <w:trPr>
          <w:trHeight w:val="126"/>
        </w:trPr>
        <w:tc>
          <w:tcPr>
            <w:tcW w:w="3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 connection with</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April 2024 Private Placement, net of $7.2 million of</w:t>
            </w:r>
          </w:p>
        </w:tc>
        <w:tc>
          <w:tcPr>
            <w:tcW w:w="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20,090,128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55,221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55,223</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costs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Pre-Funded Warrants in connection with</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50,030</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50,030</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April 2024 Private Placement</w:t>
            </w: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Pre-Funded Warrants in exchange for Class</w:t>
            </w:r>
          </w:p>
        </w:tc>
        <w:tc>
          <w:tcPr>
            <w:tcW w:w="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(4,000,000)</w:t>
            </w:r>
          </w:p>
        </w:tc>
        <w:tc>
          <w:tcPr>
            <w:tcW w:w="200" w:type="dxa"/>
            <w:vAlign w:val="bottom"/>
          </w:tcPr>
          <w:p>
            <w:pPr>
              <w:spacing w:after="0"/>
              <w:rPr>
                <w:sz w:val="10"/>
                <w:szCs w:val="10"/>
                <w:color w:val="auto"/>
              </w:rPr>
            </w:pP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 Ordinary Shares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 exchange for</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1,718,108</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6,230</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6,230</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Private Placement Warrants</w:t>
            </w: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 exchange for</w:t>
            </w:r>
          </w:p>
        </w:tc>
        <w:tc>
          <w:tcPr>
            <w:tcW w:w="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2,064,082</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Public Warrants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 connection with</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under the ATM, net of $0.2 million of</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w:t>
            </w: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ATM transaction costs</w:t>
            </w: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0" w:type="dxa"/>
            <w:vAlign w:val="bottom"/>
          </w:tcPr>
          <w:p>
            <w:pPr>
              <w:spacing w:after="0"/>
              <w:rPr>
                <w:sz w:val="1"/>
                <w:szCs w:val="1"/>
                <w:color w:val="auto"/>
              </w:rPr>
            </w:pPr>
          </w:p>
        </w:tc>
      </w:tr>
      <w:tr>
        <w:trPr>
          <w:trHeight w:val="126"/>
        </w:trPr>
        <w:tc>
          <w:tcPr>
            <w:tcW w:w="3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for restricted share</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327,534</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(318)</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 net of shares withheld for taxes</w:t>
            </w: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13,981</w:t>
            </w:r>
          </w:p>
        </w:tc>
        <w:tc>
          <w:tcPr>
            <w:tcW w:w="0" w:type="dxa"/>
            <w:vAlign w:val="bottom"/>
          </w:tcPr>
          <w:p>
            <w:pPr>
              <w:spacing w:after="0"/>
              <w:rPr>
                <w:sz w:val="1"/>
                <w:szCs w:val="1"/>
                <w:color w:val="auto"/>
              </w:rPr>
            </w:pPr>
          </w:p>
        </w:tc>
      </w:tr>
      <w:tr>
        <w:trPr>
          <w:trHeight w:val="126"/>
        </w:trPr>
        <w:tc>
          <w:tcPr>
            <w:tcW w:w="3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Adjustment of redeemable noncontrolling interest from</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(7,017)</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value to carrying value</w:t>
            </w: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Accretion of redeemable noncontrolling interest to</w:t>
            </w: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(4,577)</w:t>
            </w:r>
          </w:p>
        </w:tc>
        <w:tc>
          <w:tcPr>
            <w:tcW w:w="16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 value</w:t>
            </w: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(38,778)</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(38,778)</w:t>
            </w:r>
          </w:p>
        </w:tc>
        <w:tc>
          <w:tcPr>
            <w:tcW w:w="0" w:type="dxa"/>
            <w:vAlign w:val="bottom"/>
          </w:tcPr>
          <w:p>
            <w:pPr>
              <w:spacing w:after="0"/>
              <w:rPr>
                <w:sz w:val="1"/>
                <w:szCs w:val="1"/>
                <w:color w:val="auto"/>
              </w:rPr>
            </w:pPr>
          </w:p>
        </w:tc>
      </w:tr>
      <w:tr>
        <w:trPr>
          <w:trHeight w:val="142"/>
        </w:trPr>
        <w:tc>
          <w:tcPr>
            <w:tcW w:w="3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16,240</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65,293,530</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295,311</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(142,272)</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154,287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18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(51,475)</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before redeemable noncontrolling interest to net cash used in operating activities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 in fair value of private placement warrants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exchange transaction loss (gain)</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(814)</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(42,537)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(17,252)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research and development license</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Proceeds from issuance of Class A Ordinary Shares in connection with a sale under the ATM, net of $0.2 million of</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commissions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share options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Pre-Funded Warrants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employee withholding taxes for restricted share units withheld</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Proceeds from issuance of Class A Ordinary Shares in connection with April 2024 Private Placement, net of $7.2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million of transaction costs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Pre-Funded Warrants in connection with April 2024 Private Placement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ATM transaction costs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deferred transaction costs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5,152</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110,697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(37,481)</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88,415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176,498</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99,806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ending of period</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139,017</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taxes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Partial extinguishment of redeemable noncontrolling interest</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5,831</w:t>
            </w:r>
          </w:p>
        </w:tc>
        <w:tc>
          <w:tcPr>
            <w:tcW w:w="240" w:type="dxa"/>
            <w:vAlign w:val="bottom"/>
          </w:tcPr>
          <w:p>
            <w:pPr>
              <w:spacing w:after="0"/>
              <w:rPr>
                <w:sz w:val="12"/>
                <w:szCs w:val="12"/>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 to redemption value</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2,828</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A Ordinary Shares in exchange for private placement warrants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Unpaid ATM transaction costs included in accounts payable and accrued expenses</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Restricted share units withheld to pay employee withholding taxes that are included in accounts payable and accrued</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0"/>
                <w:szCs w:val="10"/>
                <w:color w:val="auto"/>
              </w:rPr>
            </w:pPr>
          </w:p>
        </w:tc>
        <w:tc>
          <w:tcPr>
            <w:tcW w:w="28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expenses</w:t>
            </w:r>
          </w:p>
        </w:tc>
        <w:tc>
          <w:tcPr>
            <w:tcW w:w="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 of redeemable noncontrolling interest from redemption value to carrying value</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Purchase of property and equipment included in accounts payable and accrued expenses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Zura Bio Limited, a Cayman Islands exempted company, formerly known as JATT Acquisition Corp (“JATT”), together with its subsidiaries (collectively, the “Company” or “Zura”), is a clinical-stage, multi-asset immunology company dedicated to developing novel dual-pathway antibodies for a range of autoimmune and inflammatory diseases with unmet needs.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strategic focus is to leverage dual-pathway biology to develop therapies intended to provide broader and deeper clinical benefits for patients with immune-mediated conditions. The Company currently has one clinical-stage product candidate in ongoing Phase 2 trials and is continuing to evaluate additional development opportunities within its pipeline, focusing on indications with unmet need and commercial potential.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lead product candidate, tibulizumab (ZB-106), is an immunoglobulin G (“IgG”)-single-chain variable fragment (“scFv”) bispecific dual-antagonist antibody engineered by the fusion of TALTZ® (ixekizumab) and tabalumab to neutralize interleukin-17A (IL-17A) and B-cell activating factor (BAFF).</w:t>
      </w:r>
    </w:p>
    <w:p>
      <w:pPr>
        <w:spacing w:after="0" w:line="176" w:lineRule="exact"/>
        <w:rPr>
          <w:sz w:val="20"/>
          <w:szCs w:val="20"/>
          <w:color w:val="auto"/>
        </w:rPr>
      </w:pPr>
    </w:p>
    <w:p>
      <w:pPr>
        <w:jc w:val="both"/>
        <w:ind w:left="6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initiated TibuSHIELD, a global randomized, double-blind, placebo-controlled Phase 2 clinical study evaluating tibulizumab in approximately 180 adults with moderate to severe hidradenitis suppurativa (HS). The trial is designed to assess the safety, tolerability, and efficacy of tibulizumab for the treatment of HS in this patient population.</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Company initiated TibuSURE, a global randomized, double-blind, placebo-controlled Phase 2 study evaluating tibulizumab in approximately 80 adults with early diffuse cutaneous systemic sclerosis (dcSSc). The trial is designed to assess the safety, tolerability, and efficacy of tibulizumab for the treatment of dcSSc in this patient population.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the Company is actively assessing the competitive landscape and evaluating potential therapeutic indications for crebankitug and torudokimab.</w:t>
      </w:r>
    </w:p>
    <w:p>
      <w:pPr>
        <w:spacing w:after="0" w:line="162" w:lineRule="exact"/>
        <w:rPr>
          <w:sz w:val="20"/>
          <w:szCs w:val="20"/>
          <w:color w:val="auto"/>
        </w:rPr>
      </w:pPr>
    </w:p>
    <w:p>
      <w:pPr>
        <w:jc w:val="both"/>
        <w:ind w:left="680" w:hanging="321"/>
        <w:spacing w:after="0" w:line="26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Crebankitug (ZB-168) is a fully human, high affinity monoclonal antibody that binds and neutralizes the interleukin-7 receptor (IL-7R) alpha chain. IL-7Rα sits at the nexus of two key immune pathways, IL-7 and thymic stromal lymphopoietin (“TSLP”), thus IL-7Rα has the potential to block activation through either of these pathways. As a result, the Company believes crebankitug could be therapeutically relevant in a broad set of indications where the IL-7 or TSLP pathways may be involved.</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Torudokimab (ZB-880) is a fully human, high affinity monoclonal antibody that neutralizes interleukin-33 (“IL-33”), thereby inhibiting ST2-dependent inflammatory signaling and potentially modulating ST2-independent pathways, such as those mediated by the receptor for advanced glycation end products (“RAGE”). The IL-33/ST2 axis is supported by genetic evidence and is being investigated as a therapeutic target in inflammatory diseases, with development programs in asthma and ongoing evaluation in chronic obstructive pulmonary disease (“COPD”).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20, 2023 (the “Closing Date”), the Company consummated the previously announced business combination (the “Business Combination”), pursuant to the terms of a business combination agreement (the “Business Combination Agreement”), dated as of June 16, 2022 (as amended on September 20, 2022, November 14, 2022, and January 13, 2023), by and among JATT, JATT Merger Sub, JATT Merger Sub 2, Zura Bio Holdings Ltd. (“Holdco”), and Zura Bio Limited, a limited company incorporated under the laws of England and Wales (“Legacy Zura”). Pursuant to the Business Combination Agreement, (a) before the closing of the Business Combination, Holdco was established as a new holding company of Legacy Zura and became a party to the Business Combination Agreement; and (b) on the Closing Date, in sequential order: (i) Merger Sub merged with and into Holdco, with Holdco continuing as the surviving company and a wholly owned subsidiary of JATT; (ii) immediately following the Merger, Holdco merged with and into Merger Sub 2, with Merger Sub 2 continuing as the surviving company and a wholly owned subsidiary of JATT; and (iii) JATT changed its name to “Zura Bio Limited”.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JATT’s public shares, public warrants, and public units were listed on the New York Stock Exchange (“NYSE”) under the symbols “JATT,” “JATT.WS,” and “JATT.U,” respectively. On March 20, 2023, the Company’s Class A ordinary shares (“Class A Ordinary Shares”) and public warrants began trading on the Nasdaq Stock Market (“Nasdaq”) under the symbols “ZURA” and “ZURAW,” respectively. As of August 27, 2024, the Public Warrants (as defined herein) were no longer listed on the Nasdaq in connection with the completion of the Warrant Exchange (as defined herein). See Note 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Company’s unaudited condensed consolidated financial statements (the “condensed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 The Company expects to no longer be an emerging growth company effective December 31,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The Company has an accumulated deficit of $207.4 million and $155.9 million as of September 30, 2025 and December 31, 2024, respectively, and a net loss of $18.0 million and $51.5 million for the three and nine months ended September 30, 2025, respectively. The Company’s existing sources of liquidity as of September 30, 2025 include $139.0 million in cash and cash equivalents.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the Company historically funded operations primarily with issuances of convertible preferred shares and a promissory note. Upon the closing of the Business Combination, the Company received $56.7 million in net cash proceeds. Additionally, the Company raised (a) $10.6 million of cash proceeds after sales agent commissions in connection with sales under the ATM (as defined herein) since September 2024, (b) an aggregate of $105.3 million of net cash proceeds from the sale of Class A Ordinary Shares and pre-funded warrants in April 2024 (the “April 2024 Private Placement”), and (c) $75.8 million in net cash proceeds from the sale of Class A Ordinary Shares and pre-funded warrants in May and June 2023 (the “April 2023 Private Placement”). The Company’s cash requirements include, but are not limited to, clinical development, product manufacturing costs and working capital requirements. The Company expects that such operating losses and negative cash flows from operations will continue, but that it should have sufficient liquidity to fund its operations over the next twelve months.</w:t>
      </w:r>
    </w:p>
    <w:p>
      <w:pPr>
        <w:spacing w:after="0" w:line="18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accounting principles generally accepted in the United States of America (“U.S. GAAP”) applicable to interim financial statements and include the accounts of its consolidated subsidiaries. Other shareholders’ interests in the Company’s subsidiaries, Z33 Bio, Inc. (“Z33”) and ZB17 LLC (“ZB17”), are shown in the condensed consolidated financial statements as redeemable noncontrolling interest and noncontrolling interest, respectively. All intercompany balances and transactions have been eliminated in consolidation.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condensed consolidated financial statements are presented in accordance with the rules and regulations of the United States (“U.S.”) Securities and Exchange Commission (“SEC”) and do not include all disclosures normally required in annual consolidated financial statements prepared in accordance with U.S. GAAP. As such, the information included herein should be read in conjunction with the Company’s consolidated financial statements and accompanying notes as of and for the year ended December 31, 2024 (the “audited consolidated financial statements”) that were included in the Company’s Annual Report on Form 10-K for the year ended December 31, 2024 filed with the SEC on March 25, 2025 (the “Annual Report”). In Management’s opinion, these unaudited condensed consolidated financial statements have been prepared on the same basis as the annual consolidated financial statements and reflect all adjustments, which include normal recurring adjustments, necessary for the fair statement of the Company’s financial position as of September 30, 2025 and the results of operations for the three and nine months ended September 30, 2025 and 2024. The results of operations for the three and nine months ended September 30, 2025 are not necessarily indicative of the results to be expected for the full year ending December 31, 2025 or any other future interim or annual period.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addition of Research and Development (“R&amp;D”) incentive credits, there have been no significant changes in the Company’s significant accounting policies from those that were disclosed in Note 2, Summary of Significant Accounting Policies, included in the Company’s consolidated financial statements in the Company’s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the Company’s management to make estimates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Significant estimates and assumptions reflected in the condensed consolidated financial statements relate to and include, but are not limited to, the fair value of share-based compensation, the fair value of redeemable noncontrolling interest, the valuation allowance of deferred tax assets resulting from net operating losses and the fair value of the private placement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clinical manufacturing to commercial production of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 candidates will require approvals from the United States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 adverse impact on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The Company’s CODM is the Chief Executive Officer or, when applicable, the Interim Chief Executive Officer. The Company and the CODM view its operations and manage its business as one operating segment, focused on developing novel medicines for immune and inflammatory disorders. The Company has business activities in different regions that are managed on a consolidated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policies of the Company’s segment are the same as those described within this footnote. The CODM uses net loss, that is reported in the condensed consolidated statements of operations to assess performance for the Company’s segment and decide how to allocate resources. The significant expenses within net loss are separately presented in the Company’s condensed consolidated statement of operations. The CODM monitors budget versus actual results using operating loss which is a component of net loss. The measure of segment assets is reported on the condensed consolidated balance sheet as total consolidated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Incentive Credits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eligible to obtain certain R&amp;D incentive credits (the “R&amp;D Credits”), through participation in the United Kingdom’s (“U.K.”) R&amp;D Small and Medium Enterprise (“SME”) and the Research and Development Expenditure Credit (“RDEC”) tax relief programs.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R&amp;D Credits are calculated as a percentage of qualifying R&amp;D expenses incurred as part of research projects. The R&amp;D Credits are used as tax credits for the Company with the resulting amount being payable in cash by the U.K. government (tax authority) to the Company. The R&amp;D Credits are subject to future audits by the U.K. tax authority within defined periods.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incentive credits are administered through the local tax authority, the Company has accounted for the incentives outside of the scope of FASB Accounting Standards Codification Topic 740, Income Taxes (“ASC 740”), since the incentives are not linked to the Company’s taxable income and can be realized regardless of whether the Company has generated taxable income in the respective jurisdictions. The Company accounts for these incentive credits as a government grant which analogizes with International Accounting Standards 20 (“IAS 20”), Accounting for Government Grants and Disclosure of Government Assistance.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IAS 20, the Company will recognize the R&amp;D Credits when it has reasonable assurance that the R&amp;D Credits will be received. As the Company has only filed two claims under the tax relief programs as of September 30, 2025, it has determined that reasonable assurance will be met upon cash receipt. For the three and nine months ended September 30, 2025, the Company recorded $0.3 million in other income, net in the condensed consolidated statement of operations for R&amp;D Credits received in May 2025. In April 2025, the Company filed an additional claim for an R&amp;D Credit for $1.0 million that was not received as of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Class A Ordinary Shareholders by the weighted-average number of Class A Ordinary Shares outstanding during the period. Basic and diluted net loss per share were the same for each period presented as the inclusion of all potentially dilutive securities outstanding would have been anti-dilutive due to the Company’s net loss.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provides potentially dilutive securities not included in the calculation of the diluted net loss per share as of the periods presented because to do so would be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5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14,480,663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9,318,906</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settlement of Z33 Series Seed Preferred Shares Put Right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vesting of restricted share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573,282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1,050,720</w:t>
            </w:r>
          </w:p>
        </w:tc>
      </w:tr>
      <w:tr>
        <w:trPr>
          <w:trHeight w:val="216"/>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share awards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249,997</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374,995</w:t>
            </w:r>
          </w:p>
        </w:tc>
      </w:tr>
      <w:tr>
        <w:trPr>
          <w:trHeight w:val="209"/>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17,303,942</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12,744,621</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4, 2025, President Trump signed H.R. 1, the “One Big Beautiful Bill Act” (“OBBBA”) into law. The OBBBA makes permanent many of the provisions previously enacted as part of the 2017 Tax Cut and Jobs Act that were set to expire at the end of 2025 and includes other changes to certain U.S. corporate tax provisions including (i) the restoration of immediate expensing for domestic research and development expenditures, (ii) the reinstatement of 100% bonus depreciation for qualified property and (iii) favorably modifying the section 163(j) interest limitation (similar to EBITDA). FASB Topic 740, “Income Taxes”, requires the tax effects of changes in tax laws or rates be recognized in the period in which the law is enacted. The enactment of the OBBBA did not have a material impact on our effective tax rate as of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results of operations, or cash flows upon adoption.</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Income Taxes (Topic 740): </w:t>
      </w:r>
      <w:r>
        <w:rPr>
          <w:rFonts w:ascii="Times New Roman" w:cs="Times New Roman" w:eastAsia="Times New Roman" w:hAnsi="Times New Roman"/>
          <w:sz w:val="18"/>
          <w:szCs w:val="18"/>
          <w:i w:val="1"/>
          <w:iCs w:val="1"/>
          <w:color w:val="auto"/>
        </w:rPr>
        <w:t>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 Disclosures </w:t>
      </w:r>
      <w:r>
        <w:rPr>
          <w:rFonts w:ascii="Times New Roman" w:cs="Times New Roman" w:eastAsia="Times New Roman" w:hAnsi="Times New Roman"/>
          <w:sz w:val="18"/>
          <w:szCs w:val="18"/>
          <w:color w:val="auto"/>
        </w:rPr>
        <w:t>(“ASU 2023-09”), ASU 2023-09 is intended to enhance the transparency and decision usefulness of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The amendments in the ASU address investor requests for enhanced income tax information primarily through changes to the rate reconciliation and income taxes paid information. ASU 2023-09 is effective for the Company beginning with the Company’s Annual Report on Form-10-K for the year ended December 31, 2025. Early adoption is permitted. The Company is currently evaluating the presentational effect that ASU 2023-09 will have on the Company’s consolidated financial statements and disclosures, but the Company expects considerable changes to the Company’s income tax disclosures.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(“ASU 2024-03”). This ASU requires disclosure,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financial statements, of the nature of certain expenses included in the income statement. ASU 2024-03 will be effective for</w:t>
      </w:r>
    </w:p>
    <w:p>
      <w:pPr>
        <w:sectPr>
          <w:pgSz w:w="11900" w:h="16838" w:orient="portrait"/>
          <w:cols w:equalWidth="0" w:num="1">
            <w:col w:w="9920"/>
          </w:cols>
          <w:pgMar w:left="980" w:top="513"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 reporting periods beginning after December 15, 2026, and interim reporting periods beginning after December 15, 2027. Early adoption is permitted. The Company is currently evaluating the impact of ASU 2024-03 and expects to adopt it for the year ending December 31, 2027.</w:t>
      </w:r>
    </w:p>
    <w:p>
      <w:pPr>
        <w:spacing w:after="0" w:line="17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Inputs are observable, unadjusted quoted prices in active markets for similar assets or liabilities, unadjusted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significant to the measurement of the fair value of the assets or liabilities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supported by little or no market data.</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and cash equivalents, prepaid and other current assets, accounts payable and accrued expenses, and private placement warrants. The carrying values of the Company’s cash, prepaid and other current assets, and accounts payable and accrued expenses approximate their fair value due to the short-term maturity of these instruments.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 September 30, 2025 and December 31, 2024 (in thousands), and the fair value hierarchy of the valuation techniques utilized.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135,905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135,905</w:t>
            </w:r>
          </w:p>
        </w:tc>
      </w:tr>
      <w:tr>
        <w:trPr>
          <w:trHeight w:val="20"/>
        </w:trPr>
        <w:tc>
          <w:tcPr>
            <w:tcW w:w="3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3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170,743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170,743</w:t>
            </w:r>
          </w:p>
        </w:tc>
      </w:tr>
      <w:tr>
        <w:trPr>
          <w:trHeight w:val="20"/>
        </w:trPr>
        <w:tc>
          <w:tcPr>
            <w:tcW w:w="3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into or out of Level 1, Level 2, or Level 3 during the three and nine months ended September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2024, pursuant to the Warrant Exchange (as defined herein), the Company exchanged all of the outstanding Private Placement Warrants (as defined herein) for Class A Ordinary Shares. See Note 7. The Private Placement Warrants were measured at fair value on a recurring basis. Because the transfer of Private Placement Warrants to non-permitted transferees would result in the Private Placement Warrants having substantially the same terms as the Public Warrants (as defined herein), the Company determined that the fair value of each Private Placement Warrant is consistent with that of a Public Warrant. Accordingly, the Private Placement Warrants were classified as Level 2 financial instruments. Upon completion of the Warrant Exchange, the Private Placement Warrants were remeasured to settlement value which was determined based on the fair value of the Class A Ordinary Shares issued in exchange for the Private Placement Warrants. There were no Private Placement Warrants outstanding as of September 30, 2025 and December 31, 2024. The change in fair value of the Private Placement Warrants for the three and nine months ended September 30, 2024 was $3.9 million and $5.2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is comprised of the following as of September 30, 2025 and December 31, 2024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36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2023 Lilly License costs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settlement of Put Option</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0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9"/>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102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19,514</w:t>
            </w:r>
          </w:p>
        </w:tc>
      </w:tr>
      <w:tr>
        <w:trPr>
          <w:trHeight w:val="20"/>
        </w:trPr>
        <w:tc>
          <w:tcPr>
            <w:tcW w:w="4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Lilly License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26, 2023, the Company’s consolidated subsidiary ZB17 LLC (“ZB17”) entered into a license agreement (the “2023 Lilly License” and, together with the 2022 Lilly License (as defined below), the “Lilly Licenses”) with Lilly, for an exclusive license to develop, manufacture and commercialize a certain bispecific antibody relating to IL-17 and BAFF (“tibulizumab”).</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in consideration for the investment made by Stone Peach, ZB17 granted Stone Peach the right, but not the obligation, to purchase 4.99% of the fully diluted equity of ZB17 for $1.0 million (the “Stone Peach Call Right”). The Stone Peach Call Right is not exercisable until after the last patient is dosed in any single next clinical trial with tibulizumab and expires one year from the date of first indication approval for tibulizumab by the FDA or the European Commission. The Stone Peach Call Right represents noncontrolling interest in the Company’s consolidated subsidiary, ZB17. As of September 30, 2025 and December 31, 2024, the noncontrolling interest balance was $1.5 million in the condensed consolidated balance sheets.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additional consideration, beginning on May 1, 2023, Stone Peach receives an annual payment of $0.6 million initially, and increasing by 10% annually, so long as the Company maintains its license for tibulizumab, to be paid on May 1st of each year. The Company records expenses for these annual payments when they become due. An annual payment of $0.7 million was paid during each of the nine months ended September 30, 2025 and 2024. The Company recorded this payment within research and development expense in the condensed consolidated statement of operations.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one-time payment of $4.5 million for additional consideration due to Stone Peach upon acceptance from the FDA for its Investigational New Drug (“IND”) and commencement of the clinical trial for tibulizumab was recorded in research and development in the consolidated statement of operations for the year ended December 31, 2024 and was paid in June 2025. The payment is included in accounts payable and accrued expenses in the condensed consolidated balance sheets as of December 31, 2024.</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letter agreement, dated as of April 25, 2023, by and between BAFFX17 Ltd (“BAFFX17”) and the Company, and as amended by Amendment No. 1 on December 18, 2023 (the “BAFFX17 Letter Agreement”), provided that, as a finder’s fee for arranging the acquisition of the 2023 Lilly License, the Company would be required to make a one-time milestone payment of $5.0 million to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measured on April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each year. As the Company’s fully diluted shares outstanding exceeded 52,500,000 shares prior to December 31, 2023, the $5.0 million fee was previously accounted for in research and development in the consolidated statement of operations for the year ended December 31, 2023, and is included in accounts payable and accrued expenses in the condensed consolidated balance sheets as of September 30, 2025 and December 31, 2024. On June 30, 2025, the Company received an invoice on behalf of BAFFX17 requesting a $5.0 million milestone payment (the “Milestone Payment”) pursuant to the BAFFX17 Letter Agreement. The Company has not made such payment as of September 30,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consideration paid and/or earned during the years ended December 31, 2024 and 2023, the Company is also obligated to make payments (a) to Lilly for four (4) development milestone payments up to an aggregate of $155.0 million, and sales milestone payments up to an aggregate of $440.0 million based on respective thresholds of net sales of products developed from tibulizumab; (b) to Lilly over a multi-year period (twelve years, or upon the later expiration of regulatory exclusivity of tibulizumab in a country) for an</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annual earned royalty at a marginal royalty rate in the mid-single digits to low-double digits, with increasing rates depending on net sales in the respective calendar year, based on a percentage of sales within varying thresholds for a certain period of years; (c) to BAFFX17 for a fee equal to 3% of any milestone or royalty payments due to Lilly pursuant to the terms of either the 2022 Lilly License or the 2023 Lilly License; (d) to Stone Peach for a one-time milestone payment of $25 million upon either (i) certain equity-related transactions, or</w:t>
      </w:r>
    </w:p>
    <w:p>
      <w:pPr>
        <w:spacing w:after="0" w:line="3"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regulatory approval from the applicable regulatory authority for any new indication in the applicable jurisdiction; and</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Stone Peach for a royalty of 2% of the aggregate net sales of any products developed from the Compound (collectively, the “2023 Lilly Contingent Payments”). As of September 30, 2025, none of the 2023 Lilly Contingent Payments are due and accordingly will not be recorded in the Company’s financial statements until they are due.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Lilly License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8, 2022, the Company’s consolidated subsidiary,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letter agreement dated as of December 8, 2022, as amended on November 21, 2023 (the “Stone Peach Letter Agreement”), by and between Stone Peach and the Company, provided that, as a finder’s fee for the 2022 Lilly License, the Company’s consolidated subsidiary Z33 issued 4,900,222 shares of Z33 Series Seed Preferred Shares to Stone Peach. Zura and Stone Peach have the following rights, as amended, (a) Zura had the right, but not the obligation to purchase up to 50% of the Series Seed Preferred Shares issued to Stone Peach at a price per share of $2.448869 for a period of two years from the date of the agreement (the “Call Option”); (b) Stone Peach has the right, but not the obligation to sell up to 50% of the Series Seed Preferred Shares issued to Stone Peach to Zura for a price per share of $2.040724 (the “Put Option”), and (c) Stone Peach has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See Note 10. The Z33 Series Seed Preferred Shares are remeasured to the greater of the redemption value or the initial fair value, less noncontrolling shareholder’s interest in net loss of Z33, at each reporting period. The Z33 Series Seed Preferred Shares represent redeemable noncontrolling interest in the Company’s consolidated subsidiary, Z33.</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Company received a request from Stone Peach to exercise the Put Option pursuant to which Stone Peach would sell 50% of its Series Seed Preferred Shares in Z33 for $5.0 million. Additionally, in July 2025, the Company received a further request from Stone Peach to exercise the Put Right pursuant to which Stone Peach would sell 50% of its Series Seed Preferred Shares in Z33 in exchange for 2,000,000 of the Company’s Class A Ordinary Shares. Upon exercise, the obligation to settle the Put Option in cash was recorded in accounts payable and accrued expenses and additional paid-in capital. As the Company has not yet made such cash payment, the obligation to settle the Put Right in Class A Ordinary Shares represents redeemable noncontrolling interest. As of September 30, 2025, $5.0 million to settle the Put Option is included in accounts payable and accrued expenses on the condensed consolidated balance sheet.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consideration paid and transferred in 2022 and 2023, the Company is also obligated to make payments to Lilly for (a) $3.0 million upon the completion of a financing by Z33 with gross proceeds exceeding $100.0 million; (b) 10 commercial, development and regulatory milestone payments up to an aggregate of $155.0 million and sales milestone payments up to an aggregate of $440.0 million based on respective thresholds of net sales of products developed from the licensed compound, if any; and (c) an annual earned royalty at a marginal royalty rate between in the mid-single to low-double digits (less than 20%), with increasing rates based on net sales in the respective calendar year, based on a percentage of sales within varying thresholds for a certain period of the year, if any year (collectively, the “2022 Lilly Contingent Payments”). The Company will account for these contingent milestone payments when they become due. As of September 30, 2025, none of the 2022 Lilly Contingent Payments are due and accordingly will not be recorded in the Company’s financial statements until they are due. If a financing by Z33 with gross proceeds exceeding $100.0 million and corresponding payment of $3.0 million to Lilly does not occur by December 7, 2025, Lilly may terminate the 2022 Lilly License, unless by the same date, the Company makes a $3.0 million payment. As of September 30, 2025, no such payment has been made and will not be recorded in the Company’s financial statements until it is deemed probable.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Agreement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22, 2022, the Company entered into a license agreement and a Series A-1 Subscription and Shareholder’s Agreement (collectively, the “Pfizer Agreement”) with Pfizer. Under the Pfizer Agreement, the Company acquired a license for a compound previously developed by Pfizer.</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consideration paid and transferred during 2022 and 2023 and the first $1.0 million development milestone paid during 2024, the Company is obligated to make payments to Pfizer for (a) eleven (11) remaining future development and regulatory milestone payments aggregating up to $69.0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the Company’s Products, if any (collectively, the “Pfizer Contingent Payments”). Royalties are payable on a country-by-country basis for a certain period of years or upon the later expiration of regulatory exclusivity of the Company’s Products in a country. As of September 30, 2025, no additional Pfizer Contingent Payments are due and accordingly no additional Pfizer Contingent Payments will be recorded in the Company’s financial statements until they are due.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Lonza License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may terminate the Lonza License at any time upon 60 days’ notice, with or without cause. Lonza may terminate the Lonza License for cause upon a breach by the Company or for other commercially standard reasons.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Lonza License, the Company has a license fee of $0.4 million due to Lonza annually in the fourth quarter as a result of manufacturing drug substance with a third party other than Lonza since 2023. For the year ended December 31, 2024, the Company recorded $0.4 million for the Lonza License, which is included in accounts payable and accrued expenses on the condensed consolidated balance sheet as of September 30, 2025 and December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WuXi Biologics License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the Company entered into a biologics master services agreement (the “WuXi Biologics MSA”) with WuXi Biologics. Pursuant to the WuXi Biologics MSA, the parties enter into work orders setting forth the services and fees associated with drug substance and drug product activities and manufacturing for torudokimab, which fees are recognized as research and development expenses as incurred. Pursuant to the WuXi Biologics MSA, the Company entered into a cell line license agreement (the “Cell Line License Agreement”), which is further described below.</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Cell Line License Agreement was for certain of WuXi Biologics’ know – 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the Company manufactures all of its commercial supplies of bulk drug product for WuXi Biologics Licensed Products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(i) by the Company upon three months’ prior written notice and its payment of all undisputed amounts due to WuXi Biologics through the effective date of termination, (ii) by WuXi Biologics for a material breach by the Company that remains uncured for 30 days after written notice, or (iii) by WuXi Biologics if the Company fails to make a payment and such failure continues for 30 days after receiving notice of such failure. As of September 30, 2025, there are no payments currently due under the Cell Line License Agreement.</w:t>
      </w:r>
    </w:p>
    <w:p>
      <w:pPr>
        <w:spacing w:after="0" w:line="15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16, 2023, in connection with the closing of the Business Combination and effective upon the Closing Date, the Company authorized 300,000,000 Class A Ordinary Shares, par value of $0.0001 and 1,000,000 preferred shares, par value of $0.0001.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 Class A Ordinary Shares for Pre-Funded 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share surrender and warrant agreements with certain affiliated shareholders (the “2025 Shareholders”), pursuant to which (i) the 2025 Shareholders surrendered an aggregate of 6,500,000 Class A Ordinary Shares owned by</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Shareholders, for no consideration, which were immediately cancelled and retired, upon surrender; and (ii) the Company issued pre-funded warrants to purchase an aggregate of 6,500,000 Class A Ordinary Shares (the “2025 Share Exchange Warrants) (such transaction, the “2025 Share Exchange”). See Note 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ATM Program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filed a shelf registration statement on Form S-3 (the “Shelf Registration Statement”), which was declared effective on September 17, 2024. Pursuant to the Shelf Registration Statement, the Company may offer and sell ordinary shares, preference shares, debt securities, warrants and or units having an aggregate public offering price of up to $300.0 million. In connection with the filing of the Shelf Registration Statement, the Company also entered into a sales agreement (the “Sales Agreement”) with Leerink Partners LLC (“Leerink Partners”), relating to the sale of the Company’s Class A Ordinary Shares having an aggregate gross sales price of up to $125.0 million, from time to time through Leerink Partners, acting as sales agent (the “ATM”). During 2024, the Company incurred $0.6 million of offering expenses in connection with establishing the ATM.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sold 3,000,000 Class A Ordinary Shares at a price of $1.75 per share under the ATM, for net proceeds of $5.1 million, after sales agent commissions. During the three months ended September 30, 2025, there were no sales of Class A Ordinary Shares pursuant to the ATM. As of September 30, 2025, $114.0 million of Class A Ordinary Shares remained available for sale under the Sales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Reserved for Issuance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shares reserved for issuance as of September 30, 2025 is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Borders>
              <w:bottom w:val="single" w:sz="8" w:color="CCEEFF"/>
            </w:tcBorders>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1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pre-funded warrants to purchase Class A Ordinary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27,495,396</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16,819,399</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grant under 2023 Equity Incentive Plan and ESPP</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374,971</w:t>
            </w:r>
          </w:p>
        </w:tc>
      </w:tr>
      <w:tr>
        <w:trPr>
          <w:trHeight w:val="216"/>
        </w:trPr>
        <w:tc>
          <w:tcPr>
            <w:tcW w:w="8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Shares issuable upon settlement of Z33 Series Seed Preferred Shares Put Right</w:t>
            </w:r>
            <w:r>
              <w:rPr>
                <w:rFonts w:ascii="Times New Roman" w:cs="Times New Roman" w:eastAsia="Times New Roman" w:hAnsi="Times New Roman"/>
                <w:sz w:val="25"/>
                <w:szCs w:val="25"/>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release of restricted share units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583,282</w:t>
            </w:r>
          </w:p>
        </w:tc>
      </w:tr>
      <w:tr>
        <w:trPr>
          <w:trHeight w:val="21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reserved for issuance</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47,273,048</w:t>
            </w:r>
          </w:p>
        </w:tc>
      </w:tr>
      <w:tr>
        <w:trPr>
          <w:trHeight w:val="20"/>
        </w:trPr>
        <w:tc>
          <w:tcPr>
            <w:tcW w:w="24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5960" w:type="dxa"/>
            <w:vAlign w:val="bottom"/>
          </w:tcPr>
          <w:p>
            <w:pPr>
              <w:spacing w:after="0"/>
              <w:rPr>
                <w:sz w:val="5"/>
                <w:szCs w:val="5"/>
                <w:color w:val="auto"/>
              </w:rPr>
            </w:pPr>
          </w:p>
        </w:tc>
        <w:tc>
          <w:tcPr>
            <w:tcW w:w="1480" w:type="dxa"/>
            <w:vAlign w:val="bottom"/>
          </w:tcPr>
          <w:p>
            <w:pPr>
              <w:spacing w:after="0"/>
              <w:rPr>
                <w:sz w:val="5"/>
                <w:szCs w:val="5"/>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10 for more information.</w:t>
      </w:r>
    </w:p>
    <w:p>
      <w:pPr>
        <w:spacing w:after="0" w:line="23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2025, in conjunction with the 2025 Share Exchange (see Note 6), the Company issued the 2025 Share Exchange Warrants with an exercise price of $0.001 per share and no expiration date. The 2025 Share Exchange Warrants are exercisable immediately and have substantially identical terms to the form of 2024 Pre-Funded Warrant (see below).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15, 2024, the Company entered into a share surrender and warrant agreement with certain affiliated shareholders (the “2024 Shareholders”), pursuant to which (i) the 2024 Shareholders surrendered an aggregate of 4,000,000 Class A Ordinary Shares owned by the 2024 Shareholders, for no consideration, which were immediately cancelled and retired, upon surrender; and (ii) the Company issued pre-funded warrants to purchase an aggregate of 4,000,000 Ordinary Shares, with an exercise price of $0.001 per share (the “2024 Share Exchange Warrants”).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April 2024 Private Placement, the Company sold to accredited investors the pre-funded warrants to purchase up to 16,102,348 Class A Ordinary Shares at a price of $3.107 per pre-funded warrant for an aggregate purchase price of $50.0 million (the “2024 Pre-Funded Warrants”).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1,206,952 Class A Ordinary Shares were issued in connection with the exercise of 2024 Pre-Funded Warrants. As of September 30, 2025, 14,895,396 of the 2024 Pre-Funded Warrants remained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April 2023 Private Placement, the Company sold to accredited investors pre-funded warrants to purchase up to 3,782,000 Class A Ordinary Shares at a price of $4.249 per pre-funded warrant for an aggregate purchase price of approximately $16.1 million (the “2023 Pre-Funded Warrants”).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1,682,000 Class A Ordinary Shares were issued in connection with the exercise of 2023 Pre-Funded Warrants. As of September 30, 2025, 2,100,000 of the 2023 Pre-Funded Warrants remained outstanding.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there was an aggregate 27,495,396 and 23,884,348 pre-funded warrants outstanding, respectively, consisting of the 2023 Pre-Funded Warrants, 2024 Pre-Funded Warrants, 2024 Share Exchange Warrants and the 2025 Share Exchange Warrants (collectively, the “Pre-Funded Warrants”), each with an exercise price of $0.001.</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Pre-Funded Warrant is exercisable for one Class A Ordinary Share at any time or times until the Pre-Funded Warrants are exercised in full. A holder of the Pre-Funded Warrants (together with its affiliates and other attribution parties) may not exercise any portion of a Pre-Funded Warrant to the extent that immediately prior to or after giving effect to such exercise the holder would beneficially own more than 4.99% or 9.99%, depending on the holder of the Company’s outstanding Class A Ordinary Shares immediately after exercise, which percentage may be increased or decreased to any other percentage specified not in excess of 19.99% at the holder’s election upon 61 days’ notice to the Company subject to the terms of the Pre-Funded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12, 2024, the Company completed an exchange offer (the “Exchange Offer”) relating to its outstanding warrants that it assumed in connection with the Business Combination, including (i) public warrants to purchase 5,910,000 Class A Ordinary Shares (the “Public Warrants”) that were held by JATT, and (ii) private placement warrants to purchase 6,899,996 Class A Ordinary Shares (the “Private Placement Warrants”) that were held by JATT shareholders, and issued 2,064,082 Class A Ordinary Shares in exchange for the Public Warrants and 1,718,108 Class A Ordinary Shares in exchange for the Private Placement Warrants (collectively, the “Warrant Exchange”).</w:t>
      </w:r>
    </w:p>
    <w:p>
      <w:pPr>
        <w:spacing w:after="0" w:line="183"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16, 2023, JATT’s board of directors approved the Zura Bio Limited 2023 Equity Incentive Plan (the “Equity Incentive Plan”) which became effective on the day immediately preceding the Closing Date of the Business Combination. The Equity Incentive Plan allows for the grant of share options, both incentive and nonqualified share options; stock appreciation rights (“SARs”), alone or in conjunction with other awards; restricted shares awards (“RSAs”) and restricted share units (“RSUs”); incentive bonuses, which may be paid in cash, shares, or a combination thereof; and other share-based awards to employees, officers, non-employee directors and other service providers. The Company has granted share options, RSUs and RSAs that generally vest over four years and expire after 10 years.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Ordinary Shares issuable under the Equity Incentive Plan are subject to an annual increase on January 1st of each calendar year beginning on January 1, 2024, and ending on and including January 1, 2029, equal to the lesser of (i) 5.0% of the aggregate number of Class A Ordinary Shares outstanding on the final day of the immediately preceding calendar year, (ii) 8,059,796 Class A Ordinary Shares or (iii) such smaller number of shares as is determined by the board.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16, 2023, JATT’s board of directors approved the Zura Bio Limited 2023 Employee Share Purchase Plan (the “ESPP”) which became effective on the day immediately preceding the Closing Date of the Business Combination. The maximum number of Class A Ordinary Shares that may be issued under the ESPP is 4,029,898, plus an aggregate number of Class A Ordinary shares that are automatically added under the Equity Incentive Plan on January 1st of each calendar year, beginning on January 1, 2024, and ending on and including January 1, 2029, as discussed above. The ESPP enables eligible employees of the Company and designated affiliates to purchase Class A Ordinary Shares at a discount of 15%. As of September 30, 2025, the Company has not activated its ESPP.</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2025, the Class A Ordinary Shares reserved for future issuances under the Equity Incentive Plan and/or ESPP were increased by the annual automatic increase of 5% of outstanding Class A Ordinary Shares as of December 31, 2024, or 3,264,877 Class A Ordinary Shares. As of September 30, 2025, there were 18,944,302 Class A Ordinary Shares authorized for issuance under the Equity Incentive Plan and ESPP, collectively, including 2,055,314 Class A Ordinary Shares authorized for issuance outside of the Equity Incentive Plan and the ESPP.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Equity Incentive Plan share options are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averaging the vesting period and the contractual life of the share options granted.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the Equity Incentive Plan share options issued during the nine months ended September 30, 2025 and 2024:</w:t>
      </w:r>
    </w:p>
    <w:p>
      <w:pPr>
        <w:spacing w:after="0" w:line="169"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4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r>
      <w:tr>
        <w:trPr>
          <w:trHeight w:val="21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100.3 %</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101.2 %</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share option activity for the nine months ended September 30,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12,217,747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5,715,390</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(75,468)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(1,038,270)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September 30,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16,819,399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September 30, 2025</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7,046,030</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16,024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Included in options outstanding as of September 30, 2025 and December 31, 2024 in the table above are 2,055,314 and 2,165,369 options, respectively, to purchase Class A Ordinary Shares issued to certain directors, executives, and employees outside of the Equity Incentive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the Company granted 408,000 share options to purchase Class A Ordinary shares with non-market performance conditions (“PSOs”), included in the table above, that will vest upon the earlier of achieving a one-year service condition or upon the Company’s next Annual General Meeting (“AGM”).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granted 1,053,000 PSOs (the “2024 PSOs”), included in the table above, that were to vest upon the earlier of achieving a one-year service condition or upon the Company’s AGM. In February 2025, the date of the AGM was set to May 21, 2025 (the “AGM Date”). Accordingly, management determined that the performance condition was met and recorded the remaining unrecognized compensation expense of $1.5 million ratably through the AGM Date. The 2024 PSOs vested on the AGM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nine months ended September 30, 2025 and 2024 was $0.97 and $2.83,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Market-Based Share Options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2025, there are 306,373 options outstanding to purchase Class A Ordinary Shares, with market-based performance conditions, (“Market-Based Share Options”) that were granted to a certain director of the board during 2023. These awards will vest only to the extent that the 20-day volume weighted average trading price (“VWAP”) of the Class A Ordinary Shares is over $30 per Class A Ordinary Share at any time prior to the fifth anniversary of the grant date. These awards have an exercise price of $8.16 and become exercisable when vested and the market condition is satisfied. These awards expire 10 years from the date of grant. The fair value of these Market-Based Share Options was estimated using a Monte Carlo valuation method on the grant date. No Market-Based Share Options were granted during the nine months ended September 30, 2025 and the year ended December 31,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expense recognized related to Market-Based Share Options was $0 and $0.2 million, respectively, for the three months ended September 30, 2025 and 2024, and $0.3 million and $0.5 million, respectively, for each of the nine months ended September 30, 2025 and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nine months ended September 30, 2025:</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1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FV</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outstanding as of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874,923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Released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(291,641)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09"/>
        </w:trPr>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outstanding as of September 30,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583,282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related to RSUs was $0.5 million for each of the three months ended September 30, 2025 and 2024, and $1.3 million and $1.6 million for the nine months ended September 30, 2025 and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RSA activity for the nine months ended September 30,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20" w:type="dxa"/>
            <w:vAlign w:val="bottom"/>
          </w:tcPr>
          <w:p>
            <w:pPr>
              <w:spacing w:after="0"/>
              <w:rPr>
                <w:sz w:val="15"/>
                <w:szCs w:val="15"/>
                <w:color w:val="auto"/>
              </w:rPr>
            </w:pPr>
          </w:p>
        </w:tc>
        <w:tc>
          <w:tcPr>
            <w:tcW w:w="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RSAs outstanding as of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374,995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(124,998)</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09"/>
        </w:trPr>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RSAs outstanding as of September 30,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related to RSAs was $0.3 million for each of the three months ended September 30, 2025 and 2024, and $0.8 million for each of the nine months ended September 30, 2025 and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Modification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2025, the Company amended a member of the board of director’s option agreements, causing his unvested options to purchase 32,099 Class A Ordinary Shares to become fully vested and exercisable as of the AGM Date. Additionally, the board of directors extended the post-termination exercise period of his vested options to purchase an aggregate of 165,149 Class A Ordinary Shares to the applicable expiration date of each of the respective option awards, upon completion of his service as a member of the board of directors. During the nine months ended September 30, 2025, the Company recognized $0.1 million of share-based compensation expense related to this modification within general and administrative expense in the condensed consolidated statement of operations.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2025, the Company and Verender Badial, the Company’s former Chief Financial Officer, entered into an agreement in connection with Mr. Badial’s resignation from the Company (the “Settlement Agreement”). The Settlement Agreement provides for accelerated vesting of the unvested portion of two outstanding options, previously granted to Mr. Badial, relating to an aggregate of 198,540 Class A Ordinary Shares, which became fully vested and exercisable on July 31, 2025. The Settlement Agreement also provides for an extension of the post-termination exercise period of all of Mr. Badial’s vested share options to the applicable expiration date of</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share option, as of July 31, 2025, subject to certain conditions therein. All other remaining unvested options to purchase Class A Ordinary Shares were forfeited and cancelled on July 31, 2025. For the three and nine months ended September 30, 2025, the Company recognized $0.1 million and $0.2 million, respectively, of share-based compensation expense related to this modification within general and administrative expense in the condensed consolidated statement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for all equity arrangements for the three and nine months ended September 30, 2025 and 2024 was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206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5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12,140</w:t>
            </w:r>
          </w:p>
        </w:tc>
      </w:tr>
      <w:tr>
        <w:trPr>
          <w:trHeight w:val="209"/>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2025, there was approximately $15.8 million of total unrecognized share-based compensation expense related to options granted to employees, executives, and directors that is expected to be recognized over a weighted average period of 3.0 years. As of September 30, 2025, there was approximately $2.9 million of total unrecognized share-based compensation expense related to RSUs granted to certain employees, executives, and directors under the Company’s Equity Incentive Plan that is expected to be recognized over a weighted average period of 1.7 years. As of September 30, 2025, there was approximately $1.5 million of total unrecognized share-based compensation expense related to RSAs granted to a certain director under the Company’s Equity Incentive Plan that is expected to be recognized over a weighted average period of 1.5 years.</w:t>
      </w:r>
    </w:p>
    <w:p>
      <w:pPr>
        <w:spacing w:after="0" w:line="18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material pending or threatened claims. From time to time, the Company may be subject to various legal proceedings and claims that arise in the ordinary course of its business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Noncontrolling Interest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finder’s fee for the 2022 Lilly License, the Company’s consolidated subsidiary Z33 issued 4,900,222 shares of Z33 Series Seed Preferred Shares to Stone Peach. Zura and Stone Peach have the following rights, as amended, (a) Zura had the right, but not the obligation to purchase up to 50% of the Series Seed Preferred Shares issued to Stone Peach at a price per share of $2.448869 for a period of two years from the date of the agreement (the “Call Option”); (b) Stone Peach has the right, but not the obligation to sell up to 50% of the Series Seed Preferred Shares issued to Stone Peach to Zura for a price per share of $2.040724 (the “Put Option”), and (c) Stone Peach has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Stone Peach exercised its Put Option and Put Right. Upon exercise, the obligation to settle the Put Option in cash was recorded in accounts payable and accrued expenses extinguishing 50% of the redeemable noncontrolling interest. The Company has not yet made such payment. As of September 30, 2025, $5.0 million to settle the Put Option is included in accounts payable and accrued expenses on the condensed consolidated balance sheet. See Note 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it is not possible to specifically identify the shares that may be redeemed upon exercising the Put Option, and the applicable unit of account is each share, the Company assessed that the remaining 50% of the Z33 Series Seed Preferred Shares must be considered redeemable until the settlement of the Put Option or Put Right. Accordingly, the 50% of the Z33 Series Seed Preferred Shares issued to Stone Peach represent redeemable noncontrolling interest and were remeasured as of September 30, 2025. As of September 30, 2025 and December 31, 2024, the redeemable noncontrolling interest balance was $8.7 million and $11.7 million,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Defined Contribution Plans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a 401(k) defined contribution retirement plan (the “401(k) Plan”) for all of its U.S. employees. For the 401(k) Plan, the Company makes a matching contribution up to a maximum of 6% of an employee’s annual salary. For U.K. employees, the Company contributes up to 6% of an employee’s annual salary to defined contribution retirement pension plans (the “U.K. Defined Contribution Plan” and, together with the 401(k) Plan, the “Defined Contribution Plans”). Contributions made by the Company vest 100% upon contribution. The expense recorded for the Defined Contribution Plans was $0.1 million and $57,000 for the three months ended September 30, 2025 and 2024, respectively, and $0.4 million and $0.2 million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our audited consolidated financial statements as of December 31, 2024, included in the 2024 Annual Report filed with the SEC on March 25, 2025, and in conjunction with the unaudited condensed consolidated financial statements and notes thereto included elsewhere in this Quarterly Report.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discussion and analysis contains forward-looking statements. These forward-looking statements are subject to risks and uncertainties, including those discussed in the section titled “Risk Factors” in our Form 10-K filed with the SEC on March 25, 2025, as supplemented by the risks and uncertainties described in “Risk Factors” Item I.A. Risk Factors in Part II of this Quarterly Report, that could cause actual results to differ materially from historical results or anticipated results. You should carefully read the information under “Cautionary Note Regarding Forward-Looking Statements” in this Quarterly Report. Unless the context otherwise requires, references in this “Management’s Discussion and Analysis of Financial Condition and Results of Operations” to “Zura,” “we,” “us,” and “our” refer to Zura Bio Limited, a Cayman Islands exempted company formerly known as JATT Acquisition Corp, and its consolidated subsidiaries. References to JATT Acquisition Corp or “JATT” refer to the Company prior to the consummation of the Business Combination.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clinical-stage, multi-asset immunology company dedicated to developing novel dual-pathway antibodies for autoimmune and inflammatory diseases with unmet needs. Leveraging the extensive experience of our team, we identify relevant diseases and develop our differentiated assets in those diseases. Our strategic focus is to harness dual-pathway biology to provide broader and deeper clinical benefits to patients with autoimmune and inflammatory diseases.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currently advancing one lead product candidate in ongoing Phase 2 clinical trials and are actively evaluating additional development opportunities across our pipeline of clinical-stage product candidates, prioritizing indications with unmet need and commercial potential.</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lead product candidate, tibulizumab (ZB-106), is an immunoglobulin G (“IgG”)-single-chain variable fragment (“scFv”) bispecific dual-antagonist antibody engineered by the fusion of TALTZ® (ixekizumab) and tabalumab to neutralize interleukin-17A (IL-17A) and B-cell activating factor (“BAFF”). These cytokines play pivotal roles in various inflammatory and autoimmune disorders. By targeting IL-17A and BAFF, tibulizumab demonstrates potential in mitigating chronic inflammation while preserving the integrity of the immune system. Three Phase 1/1b clinical studies evaluating tibulizumab have been completed, including studies involving participants with rheumatoid arthritis and Sjögren’s syndrome.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May 2025, the Company initiated TibuSHIELD, a global Phase 2 clinical study evaluating tibulizumab in adults with moderate to severe hidradenitis suppurativa (“HS”). TibuSHIELD is a randomized, double-blind, placebo-controlled study designed to assess the safety, tolerability, and efficacy of tibulizumab in approximately 180 adults across the United States, Canada and Europe. The study will evaluate tibulizumab over a 28-week period, which includes a 16-week efficacy assessment period followed by an optional open-label extension (“OLE”) and a 12-week safety follow-up. The primary endpoint of the study is the percent change from baseline in total abscess and nodule (“AN”) count at week 16. Secondary endpoints include the proportion of participants achieving HiSCR50 or HiSCR75, defined as at least a 50% or 75% reduction in AN count without an increase in abscesses or draining fistulas at week 16. Key safety assessments include the assessment of tolerability, and monitoring for adverse events. Topline results are expected to be available in the third quarter of 2026. We continue to monitor timelines and evaluate strategy in light of the competitive landscape for conducting clinical trials, competition for enrollment of patients, and external events, including those potentially impacting regulatory matters and overall study execution.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2024, we initiated TibuSURE, a global Phase 2 clinical study evaluating tibulizumab in adults with early diffuse cutaneous systemic sclerosis (“dcSSc”). TibuSURE is a randomized, double-blind, placebo-controlled study designed to assess the safety, tolerability, and efficacy of tibulizumab in approximately 80 participants with early diffuse cutaneous systemic sclerosis (dcSSc). The study includes a 24-week efficacy period followed by a 28-week OLE. The primary endpoint is the modified Rodnan Skin Score (“mRSS”). Key efficacy endpoints include lung disease, assessed by quantitative high-resolution computed tomography (“qHRCT”) and forced vital capacity (“FVC”); physical function, measured by the Health Assessment Questionnaire-Disability Index (HAQ-DI); and the revised Combined Response Index in Systemic Sclerosis (“rCRISS”). Topline results are expected to be available in the fourth quarter of 2026. We continue to monitor timelines and evaluate strategy in light of the competitive landscape for conducting clinical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trials, competition for enrollment of patients, and external events, including those potentially impacting regulatory matters and overall study execution.</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Crebankitug (ZB-168) is a fully human, high affinity monoclonal antibody that binds and neutralizes the interleukin-7 receptor (IL-7R) alpha chain. IL-7Rα sits at the nexus of two key immune pathways, IL-7 and thymic stromal lymphopoietin (TSLP), thus IL-7Rα has the potential to block activation through either of these pathways. As a result, we believe crebankitug could be therapeutically relevant in a broad set of indications where the IL-7 or TSLP pathways may be involved. Three Phase 1/1b clinical studies evaluating crebankitug have been conducted to date. We are actively assessing the competitive landscape and evaluating potential therapeutic indications for crebankitug.</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Torudokimab (ZB-880) is a fully human, high affinity monoclonal antibody that neutralizes interleukin-33 (IL-33), thereby inhibiting ST2-dependent inflammatory signaling and potentially modulating ST2-independent pathways, such as those mediated by the RAGE. The IL-33/ST2 axis is supported by genetic evidence and is under clinical investigation as a therapeutic target in inflammatory diseases, with development programs in asthma and ongoing evaluation in COPD. Three Phase 1/2 clinical studies evaluating torudokimab have been conducted to date. We continue to monitor publicly available clinical data from other IL-33/ST2-targeted programs. To date, two companies have reported results from Phase 2b and Phase 3 trials in COPD, with some studies meeting their predefined efficacy endpoints and others not. An additional IL-33/ST2 program is expected to report results in 2026. These data, along with ongoing internal assessments and an evaluation of the competitive landscape, may inform future development plans for torudokimab.</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as a Cayman Islands exempted company on March 10, 2021. Our wholly owned subsidiary, Zura Bio Limited was formed in the United Kingdom (“U.K.”) (“Zura Bio UK”), on January 18, 2022. Prior to March 20, 2023, our operations were conducted through Zura Bio UK.</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manufacturing, and research and development activities. Our lead product candidate is in the clinical testing stage; however, prior to the initiation of TibuSHIELD and TibuSURE in May 2025 and December 2024, respectively, we had not conducted any clinical tests ourselves. We do not have any product candidates approved for sale and have not generated any revenue from product sales. We have funded our operations through (i) the sale of equity, raising an aggregate of $10.0 million of gross proceeds from the sale of our convertible preferred shares of Zura Bio UK through March 31, 2023; (ii) the issuance of a promissory note, receiving net proceeds of $7.6 million in December 2022; (iii) proceeds from the Business Combination of $56.7 million in March 2023; (iv) the sale of Class A Ordinary Shares and pre-funded warrants to purchase up to 3,782,000 Class A Ordinary Shares at a price of $4.249 per pre-funded warrant for an aggregate purchase price of approximately $16.1 million (the “2023 Pre-Funded Warrants”) during the year ended December 31, 2023 (the “April 2023 Private Placement”), raising an aggregate of $75.8 million of net cash proceeds; (v) the sale of Class A Ordinary Shares and pre-funded warrants to purchase up to 16,102,348 Class A Ordinary Shares at a price of $3.107 per pre-funded warrant for an aggregate purchase price of $50.0 million (the “2024 Pre-Funded Warrants”) in April 2024 (the “April 2024 Private Placement”) raising an aggregate of $105.3 million of net cash proceeds; (vi) the sale of 1,500,000 Class A Ordinary Shares at a price of $3.80 per share under the ATM (as defined below) for net proceeds of $5.5 million, after sales agent commissions, in September 2024; and (vii) the sale of 3,000,000 Class A Ordinary Shares at a price of $1.75 per share under the ATM for net proceeds of $5.1 million, after sales agent commissions, in the first quarter of 2025.</w:t>
      </w:r>
    </w:p>
    <w:p>
      <w:pPr>
        <w:spacing w:after="0" w:line="19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for the three and nine months ended September 30, 2025 were $18.0 million and $51.5 million, respectively. As of September 30, 2025, we had an accumulated deficit of $207.4 million. We anticipate that our expenses will increase significantly in connection with our ongoing activities, as we:</w:t>
      </w:r>
    </w:p>
    <w:p>
      <w:pPr>
        <w:spacing w:after="0" w:line="176"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preclinical studies and clinical trials for our product candidates, as well as initiate and complete additional trials of future potential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practices, or cGMP, material for clinical trials or potential commercial sales;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regulatory, manufacturing, scientific and administrative personnel;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manufacturing and distribution capabilities to commercialize any product candidates for which we may obtain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4, 2025, President Trump signed H.R. 1, the “One Big Beautiful Bill Act” (“OBBBA”) into law. The OBBBA makes permanent many of the provisions previously enacted as part of the 2017 Tax Cut and Jobs Act that were set to expire at the end of 2025 and includes other changes to certain U.S. corporate tax provisions including (i) the restoration of immediate expensing for domestic research and development expenditures, (ii) the reinstatement of 100% bonus depreciation for qualified property and (iii) favorably modifying the section 163(j) interest limitation (similar to EBITDA). FASB Topic 740, “Income Taxes”, requires the tax effects of changes in tax laws or rates be recognized in the period in which the law is enacted. The enactment of the OBBBA did not have a material impact on our effective tax rate as of September 30, 2025.</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July 7, 2025, Eric Hyllengren succeeded Verender Badial as Chief Financial Officer of the Company.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10, 2025, we announced that Robert Lisicki, our Chief Executive Officer, commenced a medical leave of absence. Accordingly, effective October 10, 2025, our board of directors appointed Kim Davis, our Chief Operating Officer, Chief Legal Officer and Corporate Secretary, to serve as our interim Chief Executive Officer, in addition to her current duties.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20, 2023, we consummated the previously-announced transactions contemplated by the Business Combination Agreement, dated June 16, 2022, as amended on September 20, 2022, November 14, 2022, and January 13, 2023 by and among Zura Bio Limited, a limited company incorporated under the laws of England and Wales (“Zura Bio UK”), JATT Acquisition Corp, a Cayman Islands exempted company (“JATT”), JATT Merger Sub, a Cayman Islands exempted company and wholly owned subsidiary of JATT (“Merger Sub”), JATT Merger Sub 2, a Cayman Islands exempted company and wholly owned subsidiary of JATT (“Merger Sub 2”) and Zura Bio Holdings Ltd, a Cayman Islands exempted company (“Holdco”), following the approval at an extraordinary general meeting of JATT’s shareholders held on March 16, 2023.On March 21, 2023, our Class A Ordinary Shares and public warrants began trading on the Nasdaq under the symbols “ZURA” and “ZURAW,” respectively. As of August 27, 2024, our public warrants were no longer listed on the Nasdaq in connection with the completion of our exchange of our public warrants for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and ATM Program</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shelf registration statement on Form S-3 declared effective on September 17, 2024 (the “Shelf Registration Statement”), we may offer and sell ordinary shares, preference shares, debt securities, warrants and or units having an aggregate public offering price of up to $300.0 million. In connection with the filing of the Shelf Registration Statement, we also entered into a sales agreement (the “Sales Agreement”) with Leerink Partners LLC (“Leerink Partners”), relating to the sale of our Class A Ordinary Shares having an aggregate gross sales price of up to $125.0 million, from time to time through Leerink Partners, acting as sales agent (the “ATM”). In the first quarter of 2025, we sold 3,000,000 Class A Ordinary Shares at a price of $1.75 per share under the ATM, for net proceeds of $5.1 million, after sales agent commissions. There were no sales of Class A Ordinary Shares pursuant to the ATM during the second and third quarters of 2025. As of the date of this filing, we have $114.0 million of Class A Ordinary Shares remaining available for sale under the Sales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 Activity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2025, we issued 1,682,000 and 1,206,952 Class A Ordinary Shares in connection with the exercise of 2023 Pre-Funded Warrants and 2024 Pre-Funded Warrants, respectively. The exercise prices for such pre-funded warrants were immaterial.</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2025, we entered into share surrender and warrant agreements with certain affiliated shareholders (the “2025 Shareholders”), pursuant to which (i) the 2025 Shareholders surrendered an aggregate of 6,500,000 Class A Ordinary Shares owned by the 2025 Shareholders, for no consideration, which were immediately cancelled and retired, upon surrender; and (ii) we issued pre-funded warrants to purchase an aggregate of 6,500,000 Class A Ordinary Shares, with an exercise price of $0.001 per share and no expiration date (the “2025 Share Exchange Warrants). The 2025 Share Exchange Warrants are exercisable immediately and have substantially identical terms to the pre-funded warrants issued in 2024 in connection with our April 2024 subscription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Lilly License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April 26, 2023, our consolidated subsidiary ZB17 LLC (“ZB17”) entered into a license agreement (the “2023 Lilly License” and, together with the 2022 Lilly License (as defined below), the “Lilly Licenses”) with Lilly, for an exclusive license to develop, manufacture and commercialize a certain bispecific antibody relating to IL-17 and BAFF (“tibulizumab”).</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consideration for the investment made by Stone Peach, in 2023 ZB17 granted Stone Peach the right, but not the obligation, to purchase 4.99% of the fully diluted equity of ZB17 for $1.0 million (the “Stone Peach Call Right”). The Stone Peach Call Right is not exercisable until after the last patient is dosed in any single next clinical trial with tibulizumab and expires one year from the date of first indication approval for tibulizumab by the United States Food and Drug Administration (“FDA”) or European Commission. The Stone Peach Call Right represents noncontrolling interest in our consolidated subsidiary, ZB17. As of September 30, 2025 and December 31, 2024 the noncontrolling interest balance was $1.5 million in the condensed consolidated balance sheets.</w:t>
      </w:r>
    </w:p>
    <w:p>
      <w:pPr>
        <w:spacing w:after="0" w:line="187"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As additional consideration, beginning on May 1, 2023, Stone Peach receives an annual payment of $0.6 million initially, and increasing by 10% annually, so long as we maintain our license for tibulizumab, to be paid on May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We record expenses for these annual payments when they become due. An annual payment of $0.7 million was paid during each of the nine months ended September 30, 2025 and 2024. The Company recorded this payment within research and development expenses in the condensed consolidated statement of operations.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one-time payment of $4.5 million for additional consideration due to Stone Peach upon acceptance from the FDA for our Investigational New Drug (“IND”) and commencement of our clinical trial for tibulizumab was recorded in research and development in the consolidated statement of operations for the year ended December 31, 2024 and was paid in June 2025. This payment is included in accounts payable and accrued expenses in the condensed consolidated balance sheets as of December 31, 2024.</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letter agreement, dated as of April 25, 2023, by and between BAFFX17, Ltd (“BAFFX17”) and the Company, and as amended by Amendment No. 1 on December 18, 2023 (the “BAFFX17 Letter Agreement”), provided that, as a finder’s fee for arranging the acquisition of the 2023 Lilly License, we would be required to make a one-time milestone payment of $5.0 million to BAFFX17 upon the occurrence of either: (i) a change of control transaction, (ii) the closing of an issuance of equity or equity-linked securities by us of at least $100.0 million (iii) the consummation of a sale of assets resulting in net proceeds in excess of $100.0 million, or (iv) our fully diluted shares outstanding exceed 52,500,000 shares (on a split adjusted basis), as measured on April 24th of each year. As our fully diluted shares outstanding exceeded 52,500,000 shares prior to December 31, 2023, the $5.0 million fee was previously accounted for in research and development in the consolidated statement of operations for the year ended December 31, 2023, and is included in accounts payable and accrued expenses in the condensed consolidated balance sheets as of September 30, 2025 and December 31, 2024. On June 30, 2025, the Company received an invoice on behalf of BAFFX17 requesting a $5.0 million milestone payment (the “Milestone Payment”) pursuant to the BAFFX17 Letter Agreement. The Company has not made such payment as of September 30, 2025. See “Part</w:t>
      </w:r>
    </w:p>
    <w:p>
      <w:pPr>
        <w:spacing w:after="0" w:line="4" w:lineRule="exact"/>
        <w:rPr>
          <w:sz w:val="20"/>
          <w:szCs w:val="20"/>
          <w:color w:val="auto"/>
        </w:rPr>
      </w:pPr>
    </w:p>
    <w:p>
      <w:pPr>
        <w:ind w:firstLine="8"/>
        <w:spacing w:after="0" w:line="260" w:lineRule="auto"/>
        <w:tabs>
          <w:tab w:leader="none" w:pos="1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Item 1A. Risk Factors – </w:t>
      </w:r>
      <w:r>
        <w:rPr>
          <w:rFonts w:ascii="Times New Roman" w:cs="Times New Roman" w:eastAsia="Times New Roman" w:hAnsi="Times New Roman"/>
          <w:sz w:val="18"/>
          <w:szCs w:val="18"/>
          <w:i w:val="1"/>
          <w:iCs w:val="1"/>
          <w:color w:val="auto"/>
        </w:rPr>
        <w:t>Our business, reputation, financial condition and results of operations could be adversely affected by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ongoing internal review of certain agreements and other matters.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consideration paid and/or earned in 2024 and 2023, we are also obligated to make payments (a) to Lilly for four (4) development milestone payments up to an aggregate of $155.0 million, and sales milestone payments up to an aggregate of $440.0 million based on respective thresholds of net sales of products developed from tibulizumab; (b) to Lilly over a multi-year period (twelve years, or upon the later expiration of regulatory exclusivity of tibulizumab in a country) for an annual earned royalty at a marginal royalty rate in the mid-single digits to low-double digits, with increasing rates depending on net sales in the respective calendar year, based on a percentage of sales within varying thresholds for a certain period of years; (c) to BAFFX17 for a fee equal to 3% of any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milestone or royalty payments due to Lilly pursuant to the terms of either the 2022 Lilly License or the 2023 Lilly License; (d) to Stone Peach for a one-time milestone payment of $25 million upon either (i) certain equity-related transactions, or (ii) the receipt of regulatory approval from the applicable regulatory authority for any new indication in the applicable jurisdiction; and (e) to Stone Peach for a royalty of 2% of the aggregate net sales of any products developed from the Compound (collectively, the “2023 Lilly Contingent Payments”). As of September 30, 2025, none of the 2023 Lilly Contingent Payments are due and accordingly will not be recorded in our financial statements until they are due.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Lilly License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8, 2022, our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A letter agreement dated December 8, 2022, as amended on November 21, 2023 (the “Stone Peach Letter Agreement”) by and between Stone Peach and the Company, provided that, as a finder’s fee for the 2022 Lilly License, Z33 issued to Stone Peach Properties, LLC (“Stone Peach”) 4,900,222 shares of Z33 Series Seed Preferred Shares to Stone Peach. We and Stone Peach have the following rights, as amended, (a) we had the right, but not the obligation to purchase up to 50% of the Series Seed Preferred Shares issued to Stone Peach at a price per share of $2.448869 for a period of two years from the date of the agreement (the “Call Option”); (b) Stone Peach has the right, but not the obligation to sell up to 50% of the Series Seed Preferred Shares issued to Stone Peach to us for a price per share of $2.040724 (the “Put Option”), and (c) Stone Peach has the right, but not the obligation to sell up to 50% of the Series Seed Preferred Shares issued to Stone Peach to us in exchange for 2,000,000 Class A Ordinary Shares (the “Put Right”). Stone Peach may exercise its Put Option and Put Right at any time between April 24, 2024, and April 24, 2028. The Z33 Series Seed Preferred Shares are remeasured to the greater of the redemption value or the initial fair value, less noncontrolling shareholder’s interest in net loss of Z33, at each reporting period. The Z33 Series Seed Preferred Shares represent redeemable noncontrolling interest in our consolidated subsidiary, Z33. On July 14, 2025, the Company received a request from Stone Peach to exercise the Put Option pursuant to the Stone Peach Letter Agreement pursuant to which Stone Peach would sell 50% of its Series Seed Preferred Shares in Z33 for $5.0 million. Additionally, on July 23, 2025, the Company received a further request from Stone Peach to exercise the Put Right pursuant to the Stone Peach Letter Agreement pursuant to which Stone Peach would sell 50% of its Series Seed Preferred Shares in Z33 in exchange for 2,000,000 of the Company’s Class A Ordinary Shares. The Company has not effected either the Put Option or the Put Right as of September 30, 2025. See “Part II –Item 1A. Risk Factors – </w:t>
      </w:r>
      <w:r>
        <w:rPr>
          <w:rFonts w:ascii="Times New Roman" w:cs="Times New Roman" w:eastAsia="Times New Roman" w:hAnsi="Times New Roman"/>
          <w:sz w:val="18"/>
          <w:szCs w:val="18"/>
          <w:i w:val="1"/>
          <w:iCs w:val="1"/>
          <w:color w:val="auto"/>
        </w:rPr>
        <w:t>Our business, reputation, financial condition and results of operations could be adversely affected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ongoing internal review of certain agreements and other matters.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the consideration paid and transferred in 2022, we are also obligated to make payments to Lilly for (a) $3.0 million upon the completion of a financing by Z33 with gross proceeds exceeding $100.0 million; (b) 10 commercial, development and regulatory milestone payments up to an aggregate of $155.0 million and sales milestone payments up to an aggregate of $440.0 million based on respective thresholds of net sales of products developed from the licensed compound, if any; and (c) an annual earned royalty at a marginal royalty rate between in the mid-single to low-double digits (less than 20%), with increasing rates based on Net Sales in the respective calendar year, based on a percentage of sales within varying thresholds for a certain period of the year, if any year (collectively, “the “2022 Lilly Contingent Payments”). We will account for these contingent milestone payments as they become due. As of September 30, 2025, none of the 2022 Lilly Contingent Payments are due and accordingly will not be recorded in our financial statements until they are due. If a financing by Z33 with gross proceeds exceeding $100.0 million and corresponding payment of $3.0 million to Lilly does not occur by December 7, 2025, Lilly may terminate the 2022 Lilly License, unless by the same date, the Company makes a $3.0 million payment. As of September 30, 2025, no such payment has been made and will not be recorded in the Company’s financial statements until it is deemed probable.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Pfizer 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22, 2022, we entered into a license agreement and a Series A-1 Subscription and Shareholder’s Agreement (collectively, the “Pfizer Agreement”) with Pfizer. Under the Pfizer Agreement, we acquired a license for a compound previously developed by Pfizer.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consideration paid and transferred during 2022 and 2023 and the first $1.0 million development milestone paid during 2024, we are obligated to make payments to Pfizer for (a) eleven (11) remaining future development and regulatory milestone payments aggregating up to $69.0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Products, if</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(collectively, the “Pfizer Contingent Payments”). Royalties are payable on a country-by-country basis for a certain period of years or upon the later expiration of regulatory exclusivity of our Products in a country.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no additional Pfizer Contingent Payments are due and accordingly no additional Pfizer Contingent Payments will be recorded in our financial statements until they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Economic Trends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Macroeconomic conditions, including uncertainties associated with the changes to and by the United States federal government administration, the current U.S. government shutdown, the ongoing conflicts in the Middle East, the ongoing conflict between Ukraine and Russia, international trade policies (including tariffs, sanctions and trade barriers), economic slowdowns, public health crises, labor shortages, recessions or market corrections, supply chain disruptions, inflation and monetary policy shifts, liquidity concerns at, and failures of, banks and other financial institutions or other disruptions in the banking system or financing markets, rising interest rates and financial and credit market fluctuations, volatility in the capital markets or other evolving macroeconomic developments, continue to have direct and indirect impacts on our business and could in the future materially impact our results of operations and financial condition. Recent tariffs and trade restrictions have increased costs and complexity for many businesses, which we expect to have an adverse impact on our business. We continue to actively monitor the impact of these macroeconomic factors on our results of operations, financial condition and cash flows. The extent of the impact of these factors on our operational performance and financial condition,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consist of all direct and indirect operating expenses supporting the processes and manufacturing in development, including consulting fees for clinical and manufacturing advisory services, contract research organization (“CRO”) costs, costs related to manufacturing material for clinical studies, payroll and benefits, which includes share-based compensation for research and development employees, licensing fees, and data and study acquisition costs. Expenses are recognized as the related goods are delivered or the services are performed.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R&amp;D expenses include the cost of in-process research and development (“IPR&amp;D”) assets purchased in an asset acquisition transaction. IPR&amp;D assets are expensed provided that the acquired asset did not also include processes or activities that would constitute a “business” as defined under United States Generally Accepted Accounting Principles (“U.S. GAAP”), the drug has not achieved regulatory approval for marketing and, absent obtaining such approval, has no established alternative future use. Acquired IPR&amp;D payments, including upfront payments, transaction fees and subsequent pre-commercial milestone payments, are immediately expensed in the period in which they are incurred. Research and development costs incurred after the acquisition are expensed as incurred. R&amp;D expenses also include the remeasurement of the research and development license consideration liability.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 could include:</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External Expenses:</w:t>
      </w:r>
    </w:p>
    <w:p>
      <w:pPr>
        <w:spacing w:after="0" w:line="227" w:lineRule="exact"/>
        <w:rPr>
          <w:sz w:val="20"/>
          <w:szCs w:val="20"/>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investigative sites and consultants to conduct our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preclinical studies and clinical trials, including fees paid to contract manufacturing organizations (“CMOs”);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under our licensing agreements;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 and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Internal Expenses:</w:t>
      </w:r>
    </w:p>
    <w:p>
      <w:pPr>
        <w:spacing w:after="0" w:line="227" w:lineRule="exact"/>
        <w:rPr>
          <w:sz w:val="20"/>
          <w:szCs w:val="20"/>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share-based compensation and other related costs for those employees involved in research and development efforts.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significant portion of our research and development costs have been external expenses. We utilize third-party contractors for our research and development activities. We track these external expenses on an individual program basis within our portfolio, when they are specific to an individual program, once a clinical product candidate or program has been identified.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CMOs for our manufacturing activities and we do not have our own laboratory or manufacturing facilities. Therefore, we have no material facilities expenses attributed to research and development. We track our manufacturing activities on a portfolio basis when we have multiple programs in a portfolio, but do not track these activities on a program basis within the portfolio, as these costs are deployed across multiple programs within a portfolio.</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internal research and development costs are primarily personnel-related costs. We do not track internal costs on a portfolio or program specific basis because these costs are deployed across multiple programs and, as such, are not separately classified.</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clinical programs. We cannot determine with certainty the timing of initiation, the duration or the completion costs of current or future clinical studies of our product candidates due to the inherently unpredictable nature of clinical development. 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clinical trials, regulatory developments and our ongoing assessments as to commercial potential. We will need to raise substantial additional capital in the future. Our clinical development costs are expected to increase as we commence, continue and expand our clinical trials. Our future expenses may vary significantly each period based on factors such as:</w:t>
      </w:r>
    </w:p>
    <w:p>
      <w:pPr>
        <w:spacing w:after="0" w:line="192"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clinical trial costs, including based on the number of doses that patients receive;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clinical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approval;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clinical trials and follow-up;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contractors failing to comply with regulatory requirements or meet their contractual obligations in a timely manner, or at all;</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insurance, including product liability insurance, in connection with clinical trials;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primarily consist of professional fees for legal, accounting, and consulting costs relating to corporate matters, as well as salaries and related costs for personnel in executive and administrative functions and board of director fees, including share-based compensation.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continue to support research and development activities and incur increased costs of operating as a public company. These costs include increased headcount to support expanded operations and infrastructure.</w:t>
      </w:r>
    </w:p>
    <w:p>
      <w:pPr>
        <w:spacing w:after="0" w:line="176"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100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12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8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(5,719)</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9"/>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(3,866)</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(income)/expense,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(income)/expense, net</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0"/>
        </w:trPr>
        <w:tc>
          <w:tcPr>
            <w:tcW w:w="4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Accretion of redeemable noncontrolling interest to</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300" w:type="dxa"/>
            <w:vAlign w:val="bottom"/>
            <w:gridSpan w:val="2"/>
          </w:tcPr>
          <w:p>
            <w:pPr>
              <w:ind w:left="140"/>
              <w:spacing w:after="0" w:line="242" w:lineRule="exact"/>
              <w:rPr>
                <w:sz w:val="20"/>
                <w:szCs w:val="20"/>
                <w:color w:val="auto"/>
              </w:rPr>
            </w:pPr>
            <w:r>
              <w:rPr>
                <w:rFonts w:ascii="Times New Roman" w:cs="Times New Roman" w:eastAsia="Times New Roman" w:hAnsi="Times New Roman"/>
                <w:sz w:val="18"/>
                <w:szCs w:val="18"/>
                <w:color w:val="auto"/>
              </w:rPr>
              <w:t>redemption value</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(2,240)</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(588)</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Adjustment of redeemable noncontrolling interest</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8"/>
        </w:trPr>
        <w:tc>
          <w:tcPr>
            <w:tcW w:w="43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Net loss attributable to Class A Ordinary Shareholders of</w:t>
            </w: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(20,037)</w:t>
            </w:r>
          </w:p>
        </w:tc>
        <w:tc>
          <w:tcPr>
            <w:tcW w:w="4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(22,942)</w:t>
            </w: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Zura</w:t>
            </w:r>
          </w:p>
        </w:tc>
        <w:tc>
          <w:tcPr>
            <w:tcW w:w="44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1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40" w:hanging="132"/>
        <w:spacing w:after="0"/>
        <w:tabs>
          <w:tab w:leader="none" w:pos="14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Percentage change not meaningful</w:t>
      </w:r>
    </w:p>
    <w:p>
      <w:pPr>
        <w:spacing w:after="0" w:line="27"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“—Results of Operations—Accretion and Adjustment of Redeemable Noncontrolling Interest” below.</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(in thousands):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 expenses by program:</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Tibulizumab Portfolio</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Tibulizumab SSc Program</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Tibulizumab HS Program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Tibulizumab Combined (SSc and HS) Programs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4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0"/>
        </w:trPr>
        <w:tc>
          <w:tcPr>
            <w:tcW w:w="4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Tibulizumab Portfolio</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178"/>
        </w:trPr>
        <w:tc>
          <w:tcPr>
            <w:tcW w:w="440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8"/>
                <w:szCs w:val="18"/>
                <w:color w:val="auto"/>
              </w:rPr>
              <w:t>Additional product candidates (crebankitug and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torudokimab)</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Unallocated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Personnel expenses (including share-based compensation)</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09"/>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1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not meaningful</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$5.9 million for the three months ended September 30, 2025 compared to the three months ended September 30, 2024. This increase was primarily due to:</w:t>
      </w:r>
    </w:p>
    <w:p>
      <w:pPr>
        <w:spacing w:after="0" w:line="162" w:lineRule="exact"/>
        <w:rPr>
          <w:sz w:val="20"/>
          <w:szCs w:val="20"/>
          <w:color w:val="auto"/>
        </w:rPr>
      </w:pPr>
    </w:p>
    <w:p>
      <w:pPr>
        <w:ind w:left="680" w:right="2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and $2.7 million increase in costs as we advance our Phase 2 clinical trials evaluating tibulizumab in adults with SSc and HS, respectively, driven by costs incurred for CRO fees to support the conduct of our clinical trials;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increase in compensation, including share-based compensation, driven by increased personnel in research and development functions;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 million increase in costs related to our additional product candidates, crebankitug and torudokimab, as we continued to explore potential applications therapeutic indications where crebankitug may offer clinical and commercial value, and to monitor external data from IL-33/ST2-targeted programs to help inform our development strategy for torudokimab; and</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increase in unallocated non-portfolio specific research and development expenses due to our growth to support our advancement of our Phase 2 clinical trials and other product candidates.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research and development expenses will continue to increase in the future as we conduct research and development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 (in thousands):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$5.7 million for the three months ended September 30, 2025 as compared to the three months ended September 30, 2024. The decrease was primarily due to a $5.9 million non-cash share-based compensation expense charge for the modification of awards for the former CEO during the three months ended September 30, 2024, partially offset by an increase in professional fees.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decreased by $0.9 million for the three months ended September 30, 2025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This is primarily due to lower interest rates on our cash and cash equivalents balance during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as compared to the three months ended September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we did not have any private placement warrants as all private placement warrants were exchanged for Class A Ordinary Shares in August 2024. Revaluation loss on the liability-classified private placement warrants assumed in the Business Combination was $3.9 million during the three months ended September 30, 2024, prior to the exchange.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net was relatively consistent for each of the three months ended September 30,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Accretion and Adjustment of Redeemable Noncontrolling Interest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2025, there was a $0.8 million adjustment to the redeemable noncontrolling interest recognized as an adjustment to net loss attributable to Class A Ordinary shareholders of Zura as a result of the extinguishment and reclassification upon the exercise of the Put Option to an accrued expense. The redeemable noncontrolling interest balance was $8.7 million as of September 30, 2025 which represents the remaining 50% of the Z33 Series Seed Preferred Shares subject to the Put Right. Accretion of redeemable noncontrolling interest to redemption value was $2.8 million and $2.3 million for the three months ended September 30, 2025 and 2024, respectively, resulting from the remeasurement of the Z33 Series Seed Preferred Shares to redemption value, as the Z33 Series Seed Preferred Shares are recorded at the greater of the redemption value or the initial fair value, less noncontrolling shareholder’s interest in net loss of Z33.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20" w:type="dxa"/>
            <w:vAlign w:val="bottom"/>
          </w:tcPr>
          <w:p>
            <w:pPr>
              <w:spacing w:after="0"/>
              <w:rPr>
                <w:sz w:val="13"/>
                <w:szCs w:val="13"/>
                <w:color w:val="auto"/>
              </w:rPr>
            </w:pPr>
          </w:p>
        </w:tc>
        <w:tc>
          <w:tcPr>
            <w:tcW w:w="100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31,126</w:t>
            </w:r>
          </w:p>
        </w:tc>
        <w:tc>
          <w:tcPr>
            <w:tcW w:w="8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(5,872)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(5,240)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538 %</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60" w:type="dxa"/>
            <w:vAlign w:val="bottom"/>
            <w:tcBorders>
              <w:bottom w:val="single" w:sz="8" w:color="CCEEFF"/>
            </w:tcBorders>
            <w:gridSpan w:val="2"/>
          </w:tcPr>
          <w:p>
            <w:pPr>
              <w:spacing w:after="0"/>
              <w:rPr>
                <w:sz w:val="18"/>
                <w:szCs w:val="18"/>
                <w:color w:val="auto"/>
              </w:rPr>
            </w:pPr>
          </w:p>
        </w:tc>
        <w:tc>
          <w:tcPr>
            <w:tcW w:w="12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689 %</w:t>
            </w: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190"/>
        </w:trPr>
        <w:tc>
          <w:tcPr>
            <w:tcW w:w="4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Accretion of redeemable noncontrolling interest to</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300" w:type="dxa"/>
            <w:vAlign w:val="bottom"/>
            <w:gridSpan w:val="2"/>
          </w:tcPr>
          <w:p>
            <w:pPr>
              <w:ind w:left="140"/>
              <w:spacing w:after="0" w:line="242" w:lineRule="exact"/>
              <w:rPr>
                <w:sz w:val="20"/>
                <w:szCs w:val="20"/>
                <w:color w:val="auto"/>
              </w:rPr>
            </w:pPr>
            <w:r>
              <w:rPr>
                <w:rFonts w:ascii="Times New Roman" w:cs="Times New Roman" w:eastAsia="Times New Roman" w:hAnsi="Times New Roman"/>
                <w:sz w:val="18"/>
                <w:szCs w:val="18"/>
                <w:color w:val="auto"/>
              </w:rPr>
              <w:t>redemption value</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(4,577)</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Adjustment of redeemable noncontrolling interest</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6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78"/>
        </w:trPr>
        <w:tc>
          <w:tcPr>
            <w:tcW w:w="43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Net loss attributable to Class A Ordinary Shareholders of</w:t>
            </w:r>
          </w:p>
        </w:tc>
        <w:tc>
          <w:tcPr>
            <w:tcW w:w="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(53,472)</w:t>
            </w:r>
          </w:p>
        </w:tc>
        <w:tc>
          <w:tcPr>
            <w:tcW w:w="4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(36,338)</w:t>
            </w: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(17,134)</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Zura</w:t>
            </w:r>
          </w:p>
        </w:tc>
        <w:tc>
          <w:tcPr>
            <w:tcW w:w="46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48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change not meaningful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“—Results of Operations—Accretion of Redeemable Noncontrolling Interest” below.</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“—Results of Operations—Adjustment of Redeemable Noncontrolling Interest”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 expenses by program:</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Tibulizumab Portfolio</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Tibulizumab SSc Program</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546 %</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Tibulizumab HS Program</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84629 %</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Tibulizumab Combined (SSc and HS) Programs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4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9"/>
        </w:trPr>
        <w:tc>
          <w:tcPr>
            <w:tcW w:w="4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Tibulizumab Portfolio</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21,779</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178"/>
        </w:trPr>
        <w:tc>
          <w:tcPr>
            <w:tcW w:w="440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8"/>
                <w:szCs w:val="18"/>
                <w:color w:val="auto"/>
              </w:rPr>
              <w:t>Additional product candidates (crebankitug and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torudokimab)</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Unallocated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expenses: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Personnel expenses (including share-based compensation)</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0"/>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31,126</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15,965</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1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not meaningful</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$16.0 million for the nine months ended September 30, 2025 compared to the nine months ended September 30, 2024. This increase was primarily due to:</w:t>
      </w:r>
    </w:p>
    <w:p>
      <w:pPr>
        <w:spacing w:after="0" w:line="162" w:lineRule="exact"/>
        <w:rPr>
          <w:sz w:val="20"/>
          <w:szCs w:val="20"/>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$6.1 million and $5.9 million increase in costs as we advance our Phase 2 clinical trials evaluating tibulizumab in adults with SSc and HS, respectively, driven by costs incurred for CRO fees to support the conduct of our clinical trials;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increase in compensation, including share-based compensation, driven by increased personnel in research and development functions;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 million increase in costs for tibulizumab that was not specific to an indication, primarily driven by an increase of $0.7 million in manufacturing costs for tibulizumab and</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increase in unallocated non-portfolio specific research and development expenses due to our growth to support our advancement of our Phase 2 clinical trials and other product candidates.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related to our additional product candidates (crebankitug and torudokimab), remained relatively consistent for the nine months ended September 30, 2025 compared to the nine months ended September 30, 2024. We anticipate that research and development expenses will continue to increase in the future as we conduct research and development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 (in thousands):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$1.4 million for the nine months ended September 30, 2025 as compared to the nine months ended September 30, 2024. The increase was primarily due to an increase in professional fees to support our growing organization as we advance our Phase 2 clinical trials evaluating tibulizumab in SSc and 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income decreased by $0.8 million for the nine months ended September 30, 2025 as compared to the nine months ended September 30, 2024. The decrease was primarily due to lower interest rates on our cash and cash equivalents balance during the nine months ended September 30, 2025 as compared to the nine months ended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we did not have any private placement warrants as all private placement warrants were exchanged for Class A Ordinary Shares in August 2024. Revaluation loss on the liability-classified private placement warrants assumed in the Business Combination was $5.2 million during the nine months ended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net increased $0.3 million for the nine months ended September 30, 2025 and compared to the nine months ended September 30, 2024 primarily due to the $0.3 million of R&amp;D Incentive Credits received from the U.K. government (tax authority) in May 2025 for qualifying R&amp;D expenses incurred as part of research projects.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Accretion of Redeemable Noncontrolling Interest to Redemption Value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Accretion of redeemable noncontrolling interest to redemption value was $2.8 million and $4.6 million for the nine months ended September 30, 2025 and 2024, respectively, resulting from the remeasurement of the Z33 Series Seed Preferred Shares to redemption value, as the Z33 Series Seed Preferred Shares were recorded at the greater of the redemption value or the initial fair value, less noncontrolling shareholder’s interest in net loss of Z33.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of Redeemable Noncontrolling Interest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2025, there was a $0.8 million adjustment to the redeemable noncontrolling interest recognized as an adjustment to net loss attributable to Class A Ordinary Shareholders of Zura as a result of the extinguishment of 50% of the redeemable noncontrolling interest upon the exercise of the Put Option. For the nine months ended September 30, 2024, redeemable noncontrolling interest was adjusted from its redemption value to its initial fair value, decreased for the noncontrolling shareholder’s interest in net loss of Z33. This $7.0 million adjustment was the result of a decrease in the redemption price below the initial fair value, less the noncontrolling shareholder’s interest in net loss of Z33 as of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our inception, we have not generated any revenue and expect to continue to incur significant operating losses for the foreseeable future and may never become profitable. As of September 30, 2025, we had cash and cash equivalents of $139.0 million. We have funded our operations through (i) the sale of equity, raising an aggregate of $10.0 million of gross proceeds from the sale of our convertible preferred shares of Zura Bio UK through March 31, 2023; (ii) the issuance of a promissory note, receiving net proceeds of $7.6 million in December 2022; (iii) proceeds from the Business Combination of $56.7 million in March 2023; (iv) the April 2023 Private Placement, raising an aggregate of $75.8 million in net cash proceeds; (v) the April 2024 Private Placement, raising an aggregate of $105.3 million in net cash proceeds; (vi) the sale of 1,500,000 Class A Ordinary Shares at a price of $3.80 per share under the ATM for net proceeds of $5.5 million, after sales agent commissions, in September 2024; and (vii) the sale of 3,000,000 Class A Ordinary Shares at a price of $1.75 per share under the ATM for net proceeds of $5.1 million, after sales agent commissions, in the first quarter of 2025.</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operating losses and cash outflows from operations since inception and will require ongoing financing in order to continue our research and development activities. We have not earned any revenue or reached successful commercialization of our products. 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we have not generated revenue from any source, including the commercial sale of approved drug products, and we do not expect to generate revenue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our product candidates, and we do not expect to generate revenue unless and until we obtain regulatory approval of, and commercialize, our product candidates.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continue the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also be responsible to Pfizer and Lilly for significant future contingent payments under the Pfizer Agreement and the Lilly Licenses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Pfizer and Lilly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In addition to milestone payments, we are also required to pay Pfizer and Lilly under the Pfizer Agreement and Lilly Licenses, respectively, ongoing royalties in the mid-single digits to low double-digits (less than 20%) percentage range based upon thresholds of net sales of products.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continue devoting most of the net proceeds from the Business Combination, the April 2023 Private Placement, the April 2024 Private Placement and sales under the ATM to the preclinical and clinical development of our product candidates, our public company compliance costs and certain milestone payments. Based on our current business plans, we believe that our existing cash, cash equivalents and investments should be sufficient to fund our operating expenses and capital requirements through 2027. Our estimate as to how long we expect our existing cash and cash equivalents to be able to fund our operating expenses and capital requirements is based on assumptions that may prove to be wrong, and we could use our available capital resources sooner than we currently expect. Changing circumstances, some of which may be beyond our control, could result in less cash available to us or cause us to consume capital significantly faster than we currently anticipate, and we may need to seek additional funds sooner than planned.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drug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6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product candidates pipeline;</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our milestone payments to Pfizer under the Pfizer Agreement and to Lilly under the Lilly Licenses;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and expand our commercial infrastructure and operations;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distributions,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to Pfizer under the Pfizer Agreement and Lilly under the Lilly Licenses;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under the Stone Peach Letter Agreement and BAFFX17 Letter Agreement;</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sales of our product candidates for which we receive marketing approval;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and are subject to successful clinical development and regulatory approval. Accordingly, we may need to continue to rely on additional financing to achieve our business objectives. Adequate additional financing may not be available to us on acceptable terms, or at all. To the extent that we raise additional capital through securities or debt financing, the terms of these securities or this debt may restrict our ability to operate. Any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cash (used in) provided by operating, investing and financing activities (in thousands):</w:t>
      </w:r>
    </w:p>
    <w:p>
      <w:pPr>
        <w:spacing w:after="0" w:line="232"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110,697</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88,415</w:t>
            </w:r>
          </w:p>
        </w:tc>
      </w:tr>
      <w:tr>
        <w:trPr>
          <w:trHeight w:val="20"/>
        </w:trPr>
        <w:tc>
          <w:tcPr>
            <w:tcW w:w="7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increased by $25.3 million to $42.5 million for the nine months ended September 30, 2025 compared to the nine months ended September 30, 2024. This increase was primarily due to an increase in our cash net loss of $22.0 million, which is comprised of a $12.7 million increase in net loss, as adjusted for the decrease in non-cash charges of $9.3 million, for the nine months ended September 30, 2025. The decrease in non-cash charges was due to a decrease of $4.2 million for share-based compensation expense for the nine months ended September 30, 2025 and a loss from the change in fair value on the private placement warrants of $5.2 million for the nine months ended September 30, 2024. Working capital changes resulted in increased cash used in operating activities of $3.3 million, resulting from higher prepaid expenses and other current assets and an increase in cash used in paying accounts payable and accrued expenses for the nine months ended September 30,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2025 was $0.1 million related to purchase of fixed assets. Cash used in investing activities for the nine months ended September 30, 2024 was $5.0 million which primarily related to the cash consideration paid to acquire the 2023 Lilly License.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2025 was $5.2 million, which related to net proceeds of $5.1 million, after sales agent commissions, for the sale of Class A Ordinary Shares under our ATM and $0.1 million of proceeds from the exercise of share options.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2024 was $110.7 million, which related to net proceeds of $5.5 million, after sales agent commissions, for the sale of Class A Ordinary Shares under our ATM, $62.4 million of gross proceeds from the issuance of Class A Ordinary Shares in connection with the April 2024 Private Placement and $50.0 million of gross proceeds from the issuance of 2024 Pre-Funded Warrants in connection with the April 2024 Private Placement, partially offset by $7.2 million of transaction costs incurred in connection with such financing.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or will enter into agreements in the normal course of business with contract research organizations, contract manufacturing organizations and other vendors for research and development services for operating purposes, which are generally cancelable upon written notice. Some third party CMOs have intellectual property, such as patents and/or know-how with an annual fee and royalty bearing license to its customers that forms part of the manufacturing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Lonza License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2022, we entered into a license agreement (the “Lonza License”) with Lonza Sales AG (“Lonza”) for a worldwide non-exclusive license for Lonza’s gene expression system in exchange for varying considerations depending on a number of factors such as whether we enter further into manufacturing agreements with Lonza or with a third party, and whether we enter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We may terminate the Lonza License at any time upon 60 days’ notice, with or without cause. Lonza may terminate the Lonza License for cause upon a breach by us or for other commercially standard reasons.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terms of the Lonza License, we have a license fee of $0.4 million due to Lonza annually in the fourth quarter as a result of manufacturing drug substance with a third party other than Lonza since 2023. For the year ended December 31, 2024, we recorded $0.4 million for the Lonza License, which is included in accounts payable and accrued expenses in the condensed consolidated balance sheet as of September 30, 2025 and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WuXi Biologics License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2023, the Company entered into a biologics master services agreement (the “WuXi Biologics MSA”) with WuXi Biologics. Pursuant to the WuXi Biologics MSA, the parties enter into work orders setting forth the services and fees associated with drug substance and drug product activities and manufacturing for torudokimab, which fees are recognized as research and development expenses as incurred. Pursuant to the WuXi Biologics MSA, the Company entered into a cell line license agreement (the “Cell Line License Agreement”), which is further described below.</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Cell Line License Agreement was for certain of WuXi Biologics’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we manufacture all of our commercial supplies of bulk drug product for WuXi Biologics Licensed Products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 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 As of September 30, 2025, there are no payments currently due under the Cell Line License Agreement.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unaudited interim condensed consolidated financial statements, which have been prepared in accordance with U.S. GAAP, and on a basis consistent with those accounting principles followed by us and disclosed in Note 2 to our most recent annual audited consolidated financial statements in the 2024 Annual Report. The preparation of these unaudited interim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since December 31, 2024. For a description of our critical accounting policies that affect our significant judgements and estimates used in preparation of our unaudited condensed consolidated financial statements, refer to Item 7 in “Management’s Discussion and Analysis of Financial Condition and Results of Operations,” contained in the 2024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for a description of recent accounting pronouncements applicable to our financial statements.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of 1933, as amended (“Securities Act”) for complying with new or revised accounting standards. Thus, an emerging growth company can delay the adoption of certain accounting standards until those standards would otherwise apply to private companies. Upon closing of the Business Combination, we remained an emerging growth company and may elect to extend the transition period for complying with new or revised accounting standards, which delays the adoption of these accounting standards until they would apply to private companies.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680" w:right="20" w:hanging="321"/>
        <w:spacing w:after="0" w:line="266" w:lineRule="auto"/>
        <w:tabs>
          <w:tab w:leader="none" w:pos="680" w:val="left"/>
        </w:tabs>
        <w:numPr>
          <w:ilvl w:val="0"/>
          <w:numId w:val="3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175" w:lineRule="exact"/>
        <w:rPr>
          <w:rFonts w:ascii="Times New Roman" w:cs="Times New Roman" w:eastAsia="Times New Roman" w:hAnsi="Times New Roman"/>
          <w:sz w:val="18"/>
          <w:szCs w:val="18"/>
          <w:color w:val="212529"/>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an exception from compliance with the auditor attestation requirements of Section 404 of the Sarbanes-Oxley Act of 2002, as amended;</w:t>
      </w:r>
    </w:p>
    <w:p>
      <w:pPr>
        <w:spacing w:after="0" w:line="161" w:lineRule="exact"/>
        <w:rPr>
          <w:rFonts w:ascii="Times New Roman" w:cs="Times New Roman" w:eastAsia="Times New Roman" w:hAnsi="Times New Roman"/>
          <w:sz w:val="18"/>
          <w:szCs w:val="18"/>
          <w:color w:val="212529"/>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reduced disclosure about our executive compensation arrangements in our periodic reports, proxy statements and registrations statements; and</w:t>
      </w:r>
    </w:p>
    <w:p>
      <w:pPr>
        <w:spacing w:after="0" w:line="161" w:lineRule="exact"/>
        <w:rPr>
          <w:rFonts w:ascii="Times New Roman" w:cs="Times New Roman" w:eastAsia="Times New Roman" w:hAnsi="Times New Roman"/>
          <w:sz w:val="18"/>
          <w:szCs w:val="18"/>
          <w:color w:val="212529"/>
        </w:rPr>
      </w:pPr>
    </w:p>
    <w:p>
      <w:pPr>
        <w:jc w:val="both"/>
        <w:ind w:left="680" w:hanging="321"/>
        <w:spacing w:after="0" w:line="266" w:lineRule="auto"/>
        <w:tabs>
          <w:tab w:leader="none" w:pos="680" w:val="left"/>
        </w:tabs>
        <w:numPr>
          <w:ilvl w:val="0"/>
          <w:numId w:val="3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would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Accordingly, the information contained herein may be different than you might obtain from other public companies in which you hold equity interests.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as defined under the Securities Act and Securities Exchange Act of 1934, as amended (the “Exchange Act”). We may continue to be a smaller reporting company so long as either (i) the market value of Class A Ordinary Shares held by non-affiliates is less than $250 million or (ii) our annual revenue was less than $100 million during the most recently completed fiscal year and the market value of Class A Ordinary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the information otherwise required by this Item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Chief Financial Officer, as appropriate, to allow timely decisions regarding required disclosure. As of September 30, 2025, our Chief Executive Officer and Chief Financial Officer carried out an evaluation with the participation of management of the effectiveness of our disclosure controls and procedures, as defined in Rules 13a-15(e) and 15d-15(e) under the Exchange Act. Based upon that evaluation, our Chief Executive Officer and Chief Financial Officer concluded that our disclosure controls and procedures were effective at a reasonable assurance level as of September 30, 2025.</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quarter ended September 30, 2025, that has materially affected, or is reasonably likely to materially affect, our internal control over financial reporting.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Below we are providing, in supplemental form, updates to our risk factors from those previously disclosed in Part I, Item 1A of our 2024 Annual Report. Our risk factors disclosed in Part I, Item 1A of our 2024 Annual Report provide additional discussion regarding these supplemental risks and we encourage you to read and carefully consider all of the risk factors disclosed in Part I, Item 1A of our 2024 Annual Report, together with the below, for a more complete understanding of the risks and uncertainties material to our business.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EMA, the European Commission and other applicable U.S. and foreign government agencies and regulatory authorities caused by funding shortages, furloughs or other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ability of the FDA, EMA, the European Commission or any other applicable foreign regulatory authority to review and approve new products can be affected by a variety of factors, including government budget and funding levels, ability to hire and retain key personnel, ability to accept the payment of user fees, statutory, regulatory, and policy changes, and other events that may otherwise affect the FDA, EMA, the European Commission, or any other applicable foreign regulatory authority’s ability to perform routine functions. Average review times at the authorities have fluctuated in recent years as a result and could be delayed. In addition, government funding of the SEC and other government authorities on which our operations may rely, including those that fund research and development activities is subject to the political process, which is inherently fluid and unpredictable.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or comparable foreign regulatory authorities may also slow the time necessary for new drugs to be reviewed and/or approved by necessary government authorities, which would adversely affect our business. For example, over the last several years, including during the ongoing government shutdown that began on October 1, 2025 and the government shutdown that lasted for 35 days beginning on December 22, 2018, the U.S. government has shut down several times and certain regulatory agencies, such as the FDA, have had to furlough critical FDA employees and stop critical activities. If, as a result of a prolonged government shutdown or otherwise, the FDA or other regulatory authorities are unable to timely conduct their regular inspections, reviews, or other regulatory activities, it could significantly impact the ability of the FDA to timely review and process our regulatory submissions, which could have a material adverse effect on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United States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of the United States pose a national security risk and should be subject to additional tariffs.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manufacturers and suppliers, including drug substances and drug products for tibulizumab, torudokimab, and crebankitug, are located outside of the United States, and our principal suppliers of critical raw materials are located in Italy, the Netherlands, and the United Kingdom. We also rely on specialized laboratory equipment, supplies, materials, and precursor compounds, all or part of which we believe may be ultimately sourced from multiple countries outside the United States, to advance our research and development efforts.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we are party to a cell line license agreement (the “Cell Line License Agreement”) with WuXi Biologics, a manufacturer located in China, and its affiliates (“WuXi Biologics”), which provides us with a non-exclusive, worldwide, sublicensable license to certain of WuXi Biologics’ know-how, cell line and biological materials to manufacture, have manufactured, use, sell and import certain products produced through the use of the cell line licensed by WuXi Biologics under the Cell Line License Agreement. If we have product manufactured at WuXi Biologics in the future, we may face additional manufacturing and supply-chain risks due to the regulatory and political structure of the PRC, or as a result of the international relationship with the PRC, including but not limited to sanctions, tariffs and other restrictions that have been or may be imposed.</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As we advance toward commercialization in the future, tariffs and trade restrictions could hinder our ability to establish cost-effective production capabilities, negatively impacting our growth prospects. In addition, in the event Most-Favored-Nation pricing for pharmaceutical products is implemented and applicable to any of our product candidates that may receive regulatory approval, our revenue opportunities may be adversely affected.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our 2024 Annual Report, as supplemented by the risk factors described in this Quarterly Report.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clinical trials may not be conducted as planned or completed on schedule, if at all, and a failure of one or more clinical trials can occur at any stage. The outcome of preclinical studies and early-stage clinical trials may not be predictive of the success of later clinical trials, and the outcome of preclinical studies and early-stage clinical trials for a product candidate for a particular indication may not be predictive of the success of preclinical studies and early-stage clinical trials for the same product candidate for a different indication. Unexpectedly favorable results for the standard of care in any Phase 2 or Phase 3 trial could lead to unfavorable comparisons to the ZB Assets. Historically, placebo response rates in dermatologic conditions such as HS have been high, and may complicate the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interpretation of clinical results. Moreover, preclinical and clinical data are often susceptible to varying interpretations and analyses, and many companies that have believed their product candidates performed satisfactorily in preclinical studies and clinical trials have nonetheless failed to obtain investor support for continued development and financing or regulatory authority marketing approval of their product candidates.</w:t>
      </w:r>
    </w:p>
    <w:p>
      <w:pPr>
        <w:spacing w:after="0" w:line="18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cannot guarantee that any clinical trials will be initiated or conducted as planned or completed on schedule, if at all. We also cannot be sure that submission of an IND or similar application will result in the FDA, EMA, or other regulatory authority,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timely or sufficient preclinical, toxicology or other in vivo or in vitro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institutional review board (“IRB”) approval at each clinical trial site, including delays relating to translation of materials for foreign clinical sites; failure to requalify drug substance or drug product for use in clinical trials; failure to demonstrate comparability of drug substance or drug product for regulatory authorization; delays in manufacturing, testing, releasing, validating or importing/exporting sufficient stable quantities of the ZB Assets for use in clinical trials, or the inability to do any of the foregoing; failure by our CROs, other third parties or us to adhere to clinical trial protocols; failure to perform in accordance with the FDA’s or any other regulatory authority’s GCPs or applicable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 processes to larger-scale facilities operated by a contract manufacturing organization (“CMO”) and delays or failure by our CMOs or us to make any necessary changes to such manufacturing process; delays or failure in completing technology transfer for the ZB Assets; delays or failure in obtaining or releasing drug substance or drug product from licensors or third parties; licensors or third parties being unwilling or unable to perform quality control testing of drug substance or drug product; licensors or third parties being unwilling or unable to provide a right of reference to preclinical, manufacturing or clinical data for the ZB Assets; and licensors or third parties being unwilling or unable to satisfy their contractual obligations to us.</w:t>
      </w:r>
    </w:p>
    <w:p>
      <w:pPr>
        <w:spacing w:after="0" w:line="2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EMA, or other regulatory authorities resulting in the imposition of a clinical hold, unforeseen safety issues or adverse side effects, failure to demonstrate a benefit from the ZB Assets, changes in governmental regulations or administrative actions or lack of adequate funding to continue the clinical trial. If we are required to conduct additional clinical trials or other testing of the ZB Assets beyond those that we currently contemplate, if we are unable to successfully complete clinical trials of the ZB Assets, if the results of these trials are not positive or are only moderately positive or if there are safety concerns, our business and results of operations may be adversely affected and we may incur significant additional costs.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licensing or commercializing products before or more successfully than we do.</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pharmaceutical companies that develop and/or market products for the indications we are pursuing are likely to represent substantial competition. These include companies actively developing and/or marketing IL-7R inhibitors (such as Q32 Bio Inc. and OSE Immunotherapeutics SA), TSLPR inhibitors (such as Upstream Bio, Inc.), IL-33 inhibitors (such as Regeneron Pharmaceuticals, Inc. / Sanofi and AstraZeneca plc), ST2 inhibitors (such as Roche Holding AG / Genentech, Inc.), IL-17A inhibitors (such as MoonLake Immunotherapeutics, UCB SA, and Novartis AG), and BAFF inhibitors (such as GSK plc and Novartis AG). The above mechanisms may be of potential therapeutic use in one or more of the indications we plan to pursue in the Phase 2 program. If the ZB Assets do not offer sustainable advantages over competing products, we may otherwise not be able to successfully compete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against current and future competitors. Conversely, mixed or negative results from competitors developing comparable mechanisms of action may adversely affect the outlook for our product candidates.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may or may obtain patent protection or other intellectual property rights that limit our ability to develop or commercialize the ZB Assets. Our competitors may also develop drugs that are more effective, more convenient, more widely used or less costly or have a better safety profile than the ZB Assets and these competitors may also be more successful than us in manufacturing and marketing their products.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market for existing cost-effective and reimbursable treatments for T-cell and B-cell mediated diseases, autoimmune diseases, and inflammatory diseases. The ZB Assets, if approved, may compete with these existing drug and other therapies but may not be competitive with them in price. We expect that if the ZB Assets are approved, they will be priced at a significant premium over biosimilar and generic, including branded generic, products. As a result, obtaining market acceptance of, and gaining significant share of the market for the ZB Assets will pose challenges.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and regulatory reform discourse and potential or enacted measures may have a material adverse impact on our business and results of operations and legislative or political discussions surrounding the desire for and implementation of pricing reforms may adversely impact our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healthcare systems that could prevent or delay marketing approval of product candidates, restrict or regulate post-approval activities, and affect our ability to profitably sell any product candidates for which we obtain marketing approval.</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In both the United States and certain foreign jurisdictions, there have been a number of legislative and regulatory changes that could impact our ability to sell our products profitably. In particular, in 2010, the Patient Protection and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9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There has been heightened governmental scrutiny recently over the manner in which drug manufacturers set prices for their marketed products, which have resulted in several U.S. presidential executive orders, Congressional inquiries, proposed and enacted federal and state legislation, and other regulatory actions designed to, among other things, bring more transparency to product pricing, review the relationship between pricing and manufacturer patient programs, reform government program reimbursement methodologies for drug products, and otherwise reduce drug prices. For example, the Inflation Reduction Act of 2022 (“IRA”), among other things, (1) extends enhanced subsidies for individuals purchasing health insurance coverage through plan year 2025 in the Patient Protection and ACA marketplaces, (2) eliminates the “donut hole” under the Medicare Part D program beginning in 2025 by significantly lowering the beneficiary maximum out-of-pocket cost and through a newly established manufacturer discount program, (3) directs HHS to negotiate the price of certain single-source drugs covered under Medicare that have been on the market for at least 7 years and (4) imposes rebates under Medicare Part B and Medicare Part D to penalize price increases that outpace inflation.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access and marketing cost disclosure and transparency measures, and, in some cases, designed to encourage importation from other countries and bulk purchasing.</w:t>
      </w:r>
    </w:p>
    <w:p>
      <w:pPr>
        <w:spacing w:after="0" w:line="162"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cannot predict what healthcare reform initiatives may be adopted in the future. The current Trump administration is pursuing policies to reduce regulations and expenditures across government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These actions for example include (1) directives to reduce agency workforce and cut programs; (2) rescinding a Biden administration executive order tasking the Center for Medicare and Medicaid Innovation to consider new payment and healthcare models to limit drug spending; (3) eliminating the Biden administration’s executive order that directed HHS to establish an AI task force and develop a strategic plan; (4) directing HHS and other agencies to lower prescription drug costs through a variety of initiatives, including by improving upon the Medicare Drug Price Negotiation Program and establishing Most-Favored-Nation pricing for pharmaceutical products; (5) imposing tariffs of imported pharmaceutical products; and (6) and directing certain federal agencies to enforce existing law regarding hospital and plan price transparency and by standardizing prices across hospitals and health plans and (7) as part of the Make America Healthy Again (“MAHA”) Commission’s recent Strategy Report,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among others, impact the drug approval process and modify the Medicare Drug Price Negotiation Program, expand the orphan drug exclusion in the IRA, and reduce Medicaid enrollment and funding. We expect that these and other healthcare reform measures that may be adopted may result in more rigorous coverage criteria and in additional downward pressure on the price that we receive for any approved product. Reform measures that result in decreased physician reimbursement may adversely affect our business.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Since its enactment, there have been numerous judicial, administrative, executive, and legislative challenges to certain aspects of the ACA. It is unclear how other healthcare reform measures of the current U.S. federal government administration or future administrations or other efforts, if any, to amend or challenge the ACA, will impact our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have been judicial and Congressional challenges and amendments to certain aspects of the ACA. For example, on August 16, 2022, the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by creating a new manufacturer discount program. It is possible that the ACA will be subject to judicial or Congressional challenges in the future. It is unclear how such challenges and healthcare reform measures of the current U.S. federal government administration will impact the ACA.</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For example, on July 4, 2025, the annual reconciliation bill,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at the end of 2025, which, among other provisions in the law, are anticipated to reduce the number of Americans with health insurance. Other changes include aggregate reductions to Medicare payments to providers of 2% per fiscal year pursuant to the Budget Control Act of 2011, which began in 2013 and, due to subsequent legislative amendments to the statute, including the Infrastructure Investment and Jobs Act, will remain in effect until 2032 unless additional Congressional action is taken. Additionally, on March 11, 2021, the American Rescue Plan Act of 2021 was signed into law, which eliminates the statutory Medicaid drug rebate cap, previously set at 100% of a drug’s average manufacturer price, for single source and innovator multiple source drugs, effective January 1, 2024.</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related to privacy, data protection, information security and consumer protection across different markets where we conduct our business. Our actual or perceived failure to comply with such obligations could harm our business.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laws and regulations related to, among other things, privacy, data protection, information security and consumer protection across different markets where we conduct our business. Such laws and regulations are constantly evolving and changing and are likely to remain uncertain for the foreseeable future. Our actual or perceived failure to comply with such obligations could have an adverse effect on our business, operating results and financial operations. Complying with these numerous, complex, and often changing regulations is expensive and difficult, and failure to comply with any privacy laws or data security laws or any security incident or breach involving the potential or actual misappropriation, loss or other unauthorized processing, use or disclosure of sensitive or confidential patient, consumer or other personal information, whether by us, one of our collaborators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relief.</w:t>
      </w:r>
    </w:p>
    <w:p>
      <w:pPr>
        <w:spacing w:after="0" w:line="194"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European data collection is also governed by restrictive regulations governing the use, processing and cross-border transfer of personal information. The collection, use, storage, disclosure, transfer, or other processing of personal data regarding individuals in Europe, including personal health data, is subject to the E.U. General Data Protection Regulation (“GDPR”) and similar requirements in the United Kingdom (“UK GDPR”) (hereinafter the GDPR and UK GDPR are collectively referred to as “GDPR”), which impose strict requirements for processing the personal data of individuals within the EEA, such as Norway, Iceland, Liechtenstein and the United Kingdom. The GDPR is directly applicable in each E.U. member state and is extended to the EEA, while the UK GDPR applies to the United Kingdom of Great Britain and Northern Ireland.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implements more stringent operational requirements than its predecessor legislation.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For example, the GDPR applies extraterritorially, requires us to make more detailed disclosures to data subjects, requires disclosure of the legal basis on which we can process personal data, makes it harder for us to obtain valid consent for collecting and processing personal data (including data from clinical trials), requires the appointment of data protection officers, such as when sensitive personal data, such as health data, is processed on a large scale, provides more robust rights for data subjects, including far reaching information rights and the right to erasure, introduces mandatory data breach notification through the E.U., imposes additional obligations on us when contracting with service providers and requires us to adopt appropriate privacy governance, including policies, procedures, training, and audits. The GDPR provides that E.U. member states and EEA countries may establish their own laws and regulations that go beyond the GDPR in certain areas, such as regarding the mandatory appointment of data protection officers or further limiting the processing of personal data, including genetic, biometric, or health data, which could limit our ability to use and share personal data or could cause our costs to increase. Among other requirements, the GDPR regulates transfers of personal data subject to the GDPR to third countries that have not been found to provide adequate protection to such personal data, including the United States.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In the ordinary course of business, we transfer personal data from Europe and other jurisdictions to the United States or other countries. Europe and other jurisdictions have enacted laws requiring data to be localized or limiting the transfer of personal data to other countries.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assure you that our third-party service providers with access to our or our customers’, suppliers’, trial patients’ and employees’ personally identifiable and other sensitive or confidential information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the third parties with whom we work (including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the third-parties with whom we work, such as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traditional computer “hackers,” threat actors, “hacktivists,” organized criminal threat actors, sophisticated nation states, and nation-state supported actors), which may compromise our system infrastructure or lead to the loss, destruction, alteration or dissemination of, or damage to, our data and cause program delays that could negatively impact our ability to meet our desired clinical development timelines.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Such cyber-attacks may include, but are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attacks, credential harvesting, ransomware attacks, supply-chain attacks, software bugs, server malfunctions, software or hardware failures, loss of data or other information technology assets, adware, attacks enhanced or facilitated by AI, and other similar threats.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third parties to operate critical business systems to process sensitive information in a variety of contexts.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the ZB Assets could be delayed. For example, we have been the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target of unsuccessful phishing attempts in the past, and expect such attempts will continue in the future. A security incident or other interruption could disrupt our ability (and that of third parties with whom we work) to provide our services.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reputation, financial condition and results of operations could be adversely affected by our ongoing internal review of certain agreements and other matters.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previously disclosed, the audit committee of our board of directors formed an audit subcommittee to review our agreements and relationships with BAFFX17 and Stone Peach, among other matters. The audit subcommittee has engaged independent legal counsel to review the matters described therein. While such review is pending, we have not made the payments requested by BAFFX17 or Stone Peach or effected Stone Peach’s exercise of its Put Right and Put Option described in Note 5 to our unaudited condensed consolidated financial statements located in “Part I - Financial Information, Item 1. Financial Statements” in this Quarterly Report. The review, the outcome of the review and other events arising in connection with these matters may materially adversely impact our business, reputation, financial condition and results of operations. The review is still pending, and at this time, the Company cannot estimate the outcome or timing for completion of the review, and can therefore give no assurances regarding the ultimate outcome or impact on us. See “Part II - Item 5,” of our Quarterly Report on Form 10-Q for the quarter ended June 30, 2025 for further information regarding the audit subcommittee review.</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anticipate hiring additional key personnel. If we are not successful in attracting and retaining qualified personnel, including consultants, we may not be able to successfully implement our business strategy.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qualified managerial, scientific and medical personnel. We are dependent on our managerial, scientific and medical personnel, including our Chief Executive Officer, Chief Operating Officer, Chief Medical Officer, Chief Financial Officer and Chief Technology Officer. In July 2025, we transitioned to our current Chief Financial Officer, Eric Hyllengren, from our former Chief Financial Officer, Verender Badial. In addition, in October 2025, Robert Lisicki, our Chief Executive Officer and a member of our board of directors informed us that he is taking a medical leave of absence, effective October 10, 2025. Accordingly, effective October 10, 2025, our board of directors appointed Kim Davis, Chief Operating Officer, Chief Legal Officer and Corporate Secretary, to serve as interim Chief Executive Officer, in addition to her current duties. Changes in management could be disruptive to our business.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do not succeed in attracting and retaining qualified personnel,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 We have relied upon and plan to continue to rely upon third parties, including consultants, to act in management roles for the Company. While we have agreements with such third parties, we do not have the same ability to influence their time commitment to the Company as we would if they were employees. Furthermore, we are dependent on our ability to attract, hire, relocate and retain qualified managerial, scientific and medical personnel from various jurisdictions. Therefore, immigration requirements may have a significant influence on our human resources planning. Immigration applications can take several months or more to be finalized. If we are unable to complete the requisite visa</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applications, either as a result of changing requirements or otherwise, our ability to successfully implement our business strategy could suffer, which could have a material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we issued 1,682,000 and 1,206,952 Class A Ordinary Shares in connection with the exercise of 2023 Pre-Funded Warrants and 2024 Pre-Funded Warrants, respectively. The exercise prices for such pre-funded warrants were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(as defined in Rule 16a-1(f) under the Exchange Act) adopted or terminated any “Rule 10b5-1 trading arrangement” or “non-Rule 10b5-1 trading arrangement,” as those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94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940" w:type="dxa"/>
            <w:vAlign w:val="bottom"/>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4"/>
                <w:szCs w:val="14"/>
                <w:color w:val="auto"/>
              </w:rPr>
            </w:pPr>
          </w:p>
        </w:tc>
        <w:tc>
          <w:tcPr>
            <w:tcW w:w="8940" w:type="dxa"/>
            <w:vAlign w:val="bottom"/>
            <w:tcBorders>
              <w:top w:val="single" w:sz="8" w:color="auto"/>
            </w:tcBorders>
            <w:gridSpan w:val="21"/>
          </w:tcPr>
          <w:p>
            <w:pPr>
              <w:spacing w:after="0" w:line="169"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Third Amendment dated as of January 13, 2023 to the Business Combination Agreement by and among JATT Acquisition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Corp., JATT Merger Sub, JATT Merger Sub 2, Zura Holdings, Ltd. and Zura Bio Limited (incorporated by reference to</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Exhibit 2.1 of JATT’s Current Report on Form 8-K (File No. 001-40598), filed with the SEC on January 19, 2023).</w:t>
              </w:r>
            </w:hyperlink>
          </w:p>
        </w:tc>
        <w:tc>
          <w:tcPr>
            <w:tcW w:w="280" w:type="dxa"/>
            <w:vAlign w:val="bottom"/>
            <w:tcBorders>
              <w:top w:val="single" w:sz="8" w:color="0000EE"/>
            </w:tcBorders>
          </w:tcPr>
          <w:p>
            <w:pPr>
              <w:spacing w:after="0"/>
              <w:rPr>
                <w:sz w:val="17"/>
                <w:szCs w:val="17"/>
                <w:color w:val="auto"/>
              </w:rPr>
            </w:pPr>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7"/>
                <w:szCs w:val="17"/>
                <w:color w:val="auto"/>
              </w:rPr>
            </w:pPr>
          </w:p>
        </w:tc>
        <w:tc>
          <w:tcPr>
            <w:tcW w:w="8940" w:type="dxa"/>
            <w:vAlign w:val="bottom"/>
            <w:gridSpan w:val="2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Second Amended and Restated Memorandum of Association of Zura Bio Limited (incorporated by reference to Exhibit 3.1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to the Current Report on Form 8-K, filed with the SEC on March 24, 2023).</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8940" w:type="dxa"/>
            <w:vAlign w:val="bottom"/>
            <w:gridSpan w:val="21"/>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Specimen Warrant Certificate of Zura (incorporated by reference to Exhibit 4.6 of JATT’s Form S-4 (File No. 333-267005)</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filed with the SEC on August 19, 2022).</w:t>
              </w:r>
            </w:hyperlink>
          </w:p>
        </w:tc>
        <w:tc>
          <w:tcPr>
            <w:tcW w:w="5940" w:type="dxa"/>
            <w:vAlign w:val="bottom"/>
            <w:tcBorders>
              <w:top w:val="single" w:sz="8" w:color="0000EE"/>
            </w:tcBorders>
            <w:gridSpan w:val="14"/>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8940" w:type="dxa"/>
            <w:vAlign w:val="bottom"/>
            <w:gridSpan w:val="21"/>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Pre-Funded Warrant to Purchase Ordinary Shares (incorporated herein by reference to Exhibit 4.1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Company’s Current Report on Form 8-K, filed with the SEC on May 3, 2023).</w:t>
              </w:r>
            </w:hyperlink>
          </w:p>
        </w:tc>
        <w:tc>
          <w:tcPr>
            <w:tcW w:w="2460" w:type="dxa"/>
            <w:vAlign w:val="bottom"/>
            <w:tcBorders>
              <w:top w:val="single" w:sz="8" w:color="0000EE"/>
            </w:tcBorders>
            <w:gridSpan w:val="2"/>
          </w:tcPr>
          <w:p>
            <w:pPr>
              <w:spacing w:after="0"/>
              <w:rPr>
                <w:sz w:val="17"/>
                <w:szCs w:val="17"/>
                <w:color w:val="auto"/>
              </w:rPr>
            </w:pPr>
          </w:p>
        </w:tc>
        <w:tc>
          <w:tcPr>
            <w:tcW w:w="8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8940" w:type="dxa"/>
            <w:vAlign w:val="bottom"/>
            <w:gridSpan w:val="21"/>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Form of Pre-Funded Warrant to purchase Ordinary Shares (incorporated by reference to Exhibit 4.1 to the Current Report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on Form 8-K filed with the SEC on April 23, 2024).</w:t>
              </w:r>
            </w:hyperlink>
          </w:p>
        </w:tc>
        <w:tc>
          <w:tcPr>
            <w:tcW w:w="4980" w:type="dxa"/>
            <w:vAlign w:val="bottom"/>
            <w:tcBorders>
              <w:top w:val="single" w:sz="8" w:color="0000EE"/>
            </w:tcBorders>
            <w:gridSpan w:val="10"/>
          </w:tcPr>
          <w:p>
            <w:pPr>
              <w:spacing w:after="0"/>
              <w:rPr>
                <w:sz w:val="17"/>
                <w:szCs w:val="17"/>
                <w:color w:val="auto"/>
              </w:rPr>
            </w:pPr>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8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Warrant to purchase Ordinary Shares (incorporated by reference to Exhibit 4.1 to the Current Report on Form 8 - 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filed with the SEC on August 21, 2024).</w:t>
              </w:r>
            </w:hyperlink>
          </w:p>
        </w:tc>
        <w:tc>
          <w:tcPr>
            <w:tcW w:w="60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7"/>
                <w:szCs w:val="17"/>
                <w:color w:val="auto"/>
              </w:rPr>
            </w:pPr>
          </w:p>
        </w:tc>
        <w:tc>
          <w:tcPr>
            <w:tcW w:w="8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Form of Warrant to purchase Ordinary Shares (incorporated by reference to Exhibit 4.1 to the Current Report on Form 8 - 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filed with the SEC on April 17, 2025).</w:t>
              </w:r>
            </w:hyperlink>
          </w:p>
        </w:tc>
        <w:tc>
          <w:tcPr>
            <w:tcW w:w="61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3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Non-Employee Director Compensation Policy.</w:t>
            </w:r>
          </w:p>
        </w:tc>
        <w:tc>
          <w:tcPr>
            <w:tcW w:w="5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86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Zura Bio Limited Executive Severance Benefit Plan (incorporated by reference to Exhibit 10.1 to the Current Report on</w:t>
              </w:r>
            </w:hyperlink>
          </w:p>
        </w:tc>
        <w:tc>
          <w:tcPr>
            <w:tcW w:w="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Form 8-K filed with the SEC on September 30, 2025).</w:t>
              </w:r>
            </w:hyperlink>
          </w:p>
        </w:tc>
        <w:tc>
          <w:tcPr>
            <w:tcW w:w="50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89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of 1934, as Adopted Pursuant to Section 302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2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89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Sarbanes-Oxley Act of 2002.</w:t>
            </w:r>
          </w:p>
        </w:tc>
        <w:tc>
          <w:tcPr>
            <w:tcW w:w="3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89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68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89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0" w:type="dxa"/>
            <w:vAlign w:val="bottom"/>
          </w:tcPr>
          <w:p>
            <w:pPr>
              <w:spacing w:after="0"/>
              <w:rPr>
                <w:sz w:val="1"/>
                <w:szCs w:val="1"/>
                <w:color w:val="auto"/>
              </w:rPr>
            </w:pPr>
          </w:p>
        </w:tc>
      </w:tr>
      <w:tr>
        <w:trPr>
          <w:trHeight w:val="218"/>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20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86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960" w:right="120" w:hanging="952"/>
        <w:spacing w:after="0" w:line="260"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1568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1" w:lineRule="exact"/>
        <w:rPr>
          <w:sz w:val="20"/>
          <w:szCs w:val="20"/>
          <w:color w:val="auto"/>
        </w:rPr>
      </w:pPr>
    </w:p>
    <w:p>
      <w:pPr>
        <w:ind w:right="4760" w:firstLine="8"/>
        <w:spacing w:after="0" w:line="261" w:lineRule="auto"/>
        <w:tabs>
          <w:tab w:leader="none" w:pos="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648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ZURA BIO LIMITED</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20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Hyllengren</w:t>
            </w:r>
          </w:p>
        </w:tc>
      </w:tr>
      <w:tr>
        <w:trPr>
          <w:trHeight w:val="191"/>
        </w:trPr>
        <w:tc>
          <w:tcPr>
            <w:tcW w:w="3420" w:type="dxa"/>
            <w:vAlign w:val="bottom"/>
          </w:tcPr>
          <w:p>
            <w:pPr>
              <w:spacing w:after="0"/>
              <w:rPr>
                <w:sz w:val="16"/>
                <w:szCs w:val="16"/>
                <w:color w:val="auto"/>
              </w:rPr>
            </w:pPr>
          </w:p>
        </w:tc>
        <w:tc>
          <w:tcPr>
            <w:tcW w:w="6480" w:type="dxa"/>
            <w:vAlign w:val="bottom"/>
            <w:gridSpan w:val="2"/>
          </w:tcPr>
          <w:p>
            <w:pPr>
              <w:ind w:left="1540"/>
              <w:spacing w:after="0" w:line="191" w:lineRule="exact"/>
              <w:rPr>
                <w:sz w:val="20"/>
                <w:szCs w:val="20"/>
                <w:color w:val="auto"/>
              </w:rPr>
            </w:pPr>
            <w:r>
              <w:rPr>
                <w:rFonts w:ascii="Times New Roman" w:cs="Times New Roman" w:eastAsia="Times New Roman" w:hAnsi="Times New Roman"/>
                <w:sz w:val="18"/>
                <w:szCs w:val="18"/>
                <w:color w:val="auto"/>
              </w:rPr>
              <w:t>Name:Eric Hyllengren</w:t>
            </w:r>
          </w:p>
        </w:tc>
      </w:tr>
      <w:tr>
        <w:trPr>
          <w:trHeight w:val="216"/>
        </w:trPr>
        <w:tc>
          <w:tcPr>
            <w:tcW w:w="3420" w:type="dxa"/>
            <w:vAlign w:val="bottom"/>
          </w:tcPr>
          <w:p>
            <w:pPr>
              <w:spacing w:after="0"/>
              <w:rPr>
                <w:sz w:val="18"/>
                <w:szCs w:val="18"/>
                <w:color w:val="auto"/>
              </w:rPr>
            </w:pPr>
          </w:p>
        </w:tc>
        <w:tc>
          <w:tcPr>
            <w:tcW w:w="20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3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w:t>
      </w:r>
      <w:r>
        <w:rPr>
          <w:rFonts w:ascii="Times New Roman" w:cs="Times New Roman" w:eastAsia="Times New Roman" w:hAnsi="Times New Roman"/>
          <w:sz w:val="12"/>
          <w:szCs w:val="12"/>
          <w:b w:val="1"/>
          <w:bCs w:val="1"/>
          <w:color w:val="auto"/>
        </w:rPr>
        <w:t>ura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io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eptember</w:t>
      </w:r>
      <w:r>
        <w:rPr>
          <w:rFonts w:ascii="Times New Roman" w:cs="Times New Roman" w:eastAsia="Times New Roman" w:hAnsi="Times New Roman"/>
          <w:sz w:val="18"/>
          <w:szCs w:val="18"/>
          <w:b w:val="1"/>
          <w:bCs w:val="1"/>
          <w:color w:val="auto"/>
        </w:rPr>
        <w:t xml:space="preserve"> 24, 2025</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Zura Bio Limited,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who is not also serving as an employee of or consultant to the Company or any of its subsidiaries (each such member, an “</w:t>
      </w:r>
      <w:r>
        <w:rPr>
          <w:rFonts w:ascii="Times New Roman" w:cs="Times New Roman" w:eastAsia="Times New Roman" w:hAnsi="Times New Roman"/>
          <w:sz w:val="18"/>
          <w:szCs w:val="18"/>
          <w:b w:val="1"/>
          <w:bCs w:val="1"/>
          <w:i w:val="1"/>
          <w:iCs w:val="1"/>
          <w:color w:val="auto"/>
        </w:rPr>
        <w:t>Eligible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will receive the compensation described in this Non-Employee Director Compensation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for his or 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service upon and following April 1,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This Policy will be effective as of the Effective Date and may be amended at any time in the sole discretion of the Board or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Cash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Commencing on the Effective Date, each Eligible Director will receive the cash compensation set forth below for service on the Board. Cash compensation amounts will be paid in equal quarterly installments, payable in arrears on the last day of each fiscal quarter in which the service occurred. If an Eligible Director joins the Board or a committee of the Board other than effective as of the first day of a fiscal quarter, each annual retainer set forth below will be pro-rated based on days served in the applicable fiscal quarter, with the pro-rated amount paid for the first fiscal quarter in which the Eligible Director provides service and regular full quarterly payments thereafter. All annual cash fees are vested upon payment.</w:t>
      </w:r>
    </w:p>
    <w:p>
      <w:pPr>
        <w:spacing w:after="0" w:line="187"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Board Service Retainer</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Directors: US$40,000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Chair of the Board (in addition to Eligible Director Annual Board Service Retainer): US$25,000</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Chair Service Retainer</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US$16,000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Committee: US$12,000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Corporate Governance Committee: US$10,000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R&amp;D Committee: US$10,000</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Member Compensation (not applicable to Committee Chairs)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US$8,000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US$6,000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US$6,000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R&amp;D Committee: US$6,000</w:t>
      </w:r>
    </w:p>
    <w:p>
      <w:pPr>
        <w:spacing w:after="0" w:line="203"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awards will be granted under the Company’s 2023 Equity Incentive Plan, as may be amended from time to time, or any successor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All equity awards granted pursuant to this Policy will be Nonqualified Stock Options (as defined in the Plan) to purchase Class A ordinary shares of the Company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Nonqualified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will have an exercise price per share equal to 100% of the Fair Market Value (as defined in the Plan) of the underlying Class A Ordinary Shares on the date of grant and a term of ten years from the date of grant (subject to earlier termination in connection with a termination of service as provided in the Plan).</w:t>
      </w:r>
    </w:p>
    <w:p>
      <w:pPr>
        <w:spacing w:after="0" w:line="172"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Equity Grants.</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94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Initial Grant. </w:t>
      </w:r>
      <w:r>
        <w:rPr>
          <w:rFonts w:ascii="Times New Roman" w:cs="Times New Roman" w:eastAsia="Times New Roman" w:hAnsi="Times New Roman"/>
          <w:sz w:val="18"/>
          <w:szCs w:val="18"/>
          <w:color w:val="auto"/>
        </w:rPr>
        <w:t>Subject to approval of the Board or Compensation Committee, each person who,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is elected or appointed for the first time to be an Eligible Director will, upon the date of his or her initial election or appointment to be an Eligible Director (or, if such date is not a market trading day, the first market trading day thereafter), be granted a stock option to purchase the lesser of (i) 51,000 Class A Ordinary Shares and (ii) the maximum number of Class A Ordinary Shares that would result in the option having an Option Value of not more than $200,000 (the “</w:t>
      </w:r>
      <w:r>
        <w:rPr>
          <w:rFonts w:ascii="Times New Roman" w:cs="Times New Roman" w:eastAsia="Times New Roman" w:hAnsi="Times New Roman"/>
          <w:sz w:val="18"/>
          <w:szCs w:val="18"/>
          <w:b w:val="1"/>
          <w:bCs w:val="1"/>
          <w:i w:val="1"/>
          <w:iCs w:val="1"/>
          <w:color w:val="auto"/>
        </w:rPr>
        <w:t>Initial Option Grant</w:t>
      </w:r>
      <w:r>
        <w:rPr>
          <w:rFonts w:ascii="Times New Roman" w:cs="Times New Roman" w:eastAsia="Times New Roman" w:hAnsi="Times New Roman"/>
          <w:sz w:val="18"/>
          <w:szCs w:val="18"/>
          <w:color w:val="auto"/>
        </w:rPr>
        <w:t xml:space="preserve">”). Each Initial Option Grant will vest in a series of 12 successive substantially equal monthly installments over the one-year period measured from the date of grant;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remaining unvested portion of the Initial Option Grant will vest as of the day immediately preceding the next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94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Grant. </w:t>
      </w:r>
      <w:r>
        <w:rPr>
          <w:rFonts w:ascii="Times New Roman" w:cs="Times New Roman" w:eastAsia="Times New Roman" w:hAnsi="Times New Roman"/>
          <w:sz w:val="18"/>
          <w:szCs w:val="18"/>
          <w:color w:val="auto"/>
        </w:rPr>
        <w:t>Without any further action of the Board or Compensation Committee, at the close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of each annual general meeting of shareholders of the Company (an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following the Effective Date, each person who is then an Eligible Director will automatically be granted a stock option to purchase the lesser of (i) 51,000 Class A Ordinary Shares and (ii) the maximum number of Class A Ordinary Shares that would result in the option having an Option Value of not more than $200,000 (the “</w:t>
      </w:r>
      <w:r>
        <w:rPr>
          <w:rFonts w:ascii="Times New Roman" w:cs="Times New Roman" w:eastAsia="Times New Roman" w:hAnsi="Times New Roman"/>
          <w:sz w:val="18"/>
          <w:szCs w:val="18"/>
          <w:b w:val="1"/>
          <w:bCs w:val="1"/>
          <w:i w:val="1"/>
          <w:iCs w:val="1"/>
          <w:color w:val="auto"/>
        </w:rPr>
        <w:t>Annual Option Grant</w:t>
      </w:r>
      <w:r>
        <w:rPr>
          <w:rFonts w:ascii="Times New Roman" w:cs="Times New Roman" w:eastAsia="Times New Roman" w:hAnsi="Times New Roman"/>
          <w:sz w:val="18"/>
          <w:szCs w:val="18"/>
          <w:color w:val="auto"/>
        </w:rPr>
        <w:t xml:space="preserve">”). Each Annual Option Grant will vest in a series of 12 successive substantially equal monthly installments over the one-year period measured from the date of grant;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remaining unvested portion of the Annual Option Grant will vest as of the day immediately preceding the next Annual Meeting. Each Annual Option Grant will be prorated for each Eligible Director who was first elected or appointed to the Board less than one year prior to the applicable Annual Meeting, as follows: the number of shares underlying each Annual Option Grant shall be multiplied by a fraction, the numerator of which is the number of days between commencement of service as an Eligible Director and the date of such Annual Meeting, and the denominator of which is 365.</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share amounts shall be automatically adjusted in the event of any share split, reverse share split, share dividend, recapitalization, combination of shares, reclassification of shares, spin-off or other similar change in capitalization or event effecting our Class A Ordinary Shares, or any distribution to holders of our Class A Ordinary Shares other than an ordinary cash dividend.</w:t>
      </w:r>
    </w:p>
    <w:p>
      <w:pPr>
        <w:spacing w:after="0" w:line="172" w:lineRule="exact"/>
        <w:rPr>
          <w:sz w:val="20"/>
          <w:szCs w:val="20"/>
          <w:color w:val="auto"/>
        </w:rPr>
      </w:pPr>
    </w:p>
    <w:p>
      <w:pPr>
        <w:jc w:val="both"/>
        <w:ind w:firstLine="656"/>
        <w:spacing w:after="0" w:line="268" w:lineRule="auto"/>
        <w:tabs>
          <w:tab w:leader="none" w:pos="129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Option Value.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Option Value</w:t>
      </w:r>
      <w:r>
        <w:rPr>
          <w:rFonts w:ascii="Times New Roman" w:cs="Times New Roman" w:eastAsia="Times New Roman" w:hAnsi="Times New Roman"/>
          <w:sz w:val="18"/>
          <w:szCs w:val="18"/>
          <w:color w:val="auto"/>
        </w:rPr>
        <w:t>” of a stock option to be granted under this Policy will be determined using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the Company uses to calculate the grant date fair value of stock options in its financial statements and shall be calculated on the date of grant.</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29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Change in Control. </w:t>
      </w:r>
      <w:r>
        <w:rPr>
          <w:rFonts w:ascii="Times New Roman" w:cs="Times New Roman" w:eastAsia="Times New Roman" w:hAnsi="Times New Roman"/>
          <w:sz w:val="18"/>
          <w:szCs w:val="18"/>
          <w:color w:val="auto"/>
        </w:rPr>
        <w:t>All vesting is subject to the Eligible Director not having experienced a “</w:t>
      </w:r>
      <w:r>
        <w:rPr>
          <w:rFonts w:ascii="Times New Roman" w:cs="Times New Roman" w:eastAsia="Times New Roman" w:hAnsi="Times New Roman"/>
          <w:sz w:val="18"/>
          <w:szCs w:val="18"/>
          <w:b w:val="1"/>
          <w:bCs w:val="1"/>
          <w:i w:val="1"/>
          <w:iCs w:val="1"/>
          <w:color w:val="auto"/>
        </w:rPr>
        <w:t>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Employment</w:t>
      </w:r>
      <w:r>
        <w:rPr>
          <w:rFonts w:ascii="Times New Roman" w:cs="Times New Roman" w:eastAsia="Times New Roman" w:hAnsi="Times New Roman"/>
          <w:sz w:val="18"/>
          <w:szCs w:val="18"/>
          <w:color w:val="auto"/>
        </w:rPr>
        <w:t>” (as defined in the Plan) on each applicable vesting date. Notwithstanding the foregoing vesting schedules, for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Eligible Director who has not experienced a Termination of Employment as of immediately prior to the closing of a “</w:t>
      </w:r>
      <w:r>
        <w:rPr>
          <w:rFonts w:ascii="Times New Roman" w:cs="Times New Roman" w:eastAsia="Times New Roman" w:hAnsi="Times New Roman"/>
          <w:sz w:val="18"/>
          <w:szCs w:val="18"/>
          <w:b w:val="1"/>
          <w:bCs w:val="1"/>
          <w:i w:val="1"/>
          <w:iCs w:val="1"/>
          <w:color w:val="auto"/>
        </w:rPr>
        <w:t>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53" w:name="page54"/>
    <w:bookmarkEnd w:id="5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Control</w:t>
      </w:r>
      <w:r>
        <w:rPr>
          <w:rFonts w:ascii="Times New Roman" w:cs="Times New Roman" w:eastAsia="Times New Roman" w:hAnsi="Times New Roman"/>
          <w:sz w:val="18"/>
          <w:szCs w:val="18"/>
          <w:color w:val="auto"/>
        </w:rPr>
        <w:t>” (as defined in the Plan), the shares subject to his or her then-outstanding equity awards that were granted pursuant to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Policy or otherwise will become fully vested immediately prior to the closing of such Change in Control.</w:t>
      </w:r>
    </w:p>
    <w:p>
      <w:pPr>
        <w:spacing w:after="0" w:line="155" w:lineRule="exact"/>
        <w:rPr>
          <w:sz w:val="20"/>
          <w:szCs w:val="20"/>
          <w:color w:val="auto"/>
        </w:rPr>
      </w:pPr>
    </w:p>
    <w:p>
      <w:pPr>
        <w:ind w:firstLine="656"/>
        <w:spacing w:after="0" w:line="286" w:lineRule="auto"/>
        <w:tabs>
          <w:tab w:leader="none" w:pos="1296"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Remaining Terms. </w:t>
      </w:r>
      <w:r>
        <w:rPr>
          <w:rFonts w:ascii="Times New Roman" w:cs="Times New Roman" w:eastAsia="Times New Roman" w:hAnsi="Times New Roman"/>
          <w:sz w:val="18"/>
          <w:szCs w:val="18"/>
          <w:color w:val="auto"/>
        </w:rPr>
        <w:t>The remaining terms and conditions of each award, including transferability, will be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award agreements under the Plan in the forms adopted from time to time by the Board or the Compensation Committee.</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reimburse an Eligible Director for ordinary, necessary and reasonable out-of-pocket travel expenses to cover in-person attendance at and participation in Board and committee meetings;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Eligible Director timely submit to the Company appropriate documentation substantiating such expenses in accordance with the Company’s travel and expense policy, as in effect from time to time.</w:t>
      </w:r>
    </w:p>
    <w:p>
      <w:pPr>
        <w:spacing w:after="0" w:line="176"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Non-Employee Director Compensation Limit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aggregate value of all compensation granted or paid, as applicable, to any individual for service as a non-employee director shall in no event exceed the limits set forth in Section 5(f) of the Plan.</w:t>
      </w:r>
    </w:p>
    <w:p>
      <w:pPr>
        <w:spacing w:after="0" w:line="158"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Ability to Decline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Eligible Director who elects not to accept compensation pursuant to this Policy or who is not permitted to accept compensation in an individual capacity per other contractual arrangements may decline all or any portion of his or her compensation by giving notice to the Company prior to the date cash may be paid or equity awards are to be granted, as the case may be.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 Davis, certify that:</w:t>
      </w:r>
    </w:p>
    <w:p>
      <w:pPr>
        <w:spacing w:after="0" w:line="22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Zura Bio Limited;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sz w:val="20"/>
          <w:szCs w:val="20"/>
          <w:color w:val="auto"/>
        </w:rPr>
      </w:pPr>
    </w:p>
    <w:p>
      <w:pPr>
        <w:ind w:left="1300" w:hanging="630"/>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12598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Kim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Kim Davis</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Interim Chief Executive Officer, Chief Operating Officer, Chief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Legal Officer and Corporate Secretary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Hyllengren, certify that:</w:t>
      </w:r>
    </w:p>
    <w:p>
      <w:pPr>
        <w:spacing w:after="0" w:line="22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Zura Bio Limited;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sz w:val="20"/>
          <w:szCs w:val="20"/>
          <w:color w:val="auto"/>
        </w:rPr>
      </w:pPr>
    </w:p>
    <w:p>
      <w:pPr>
        <w:ind w:left="1300" w:hanging="630"/>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12598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Eric Hyllengren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Eric Hyllengren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Zura Bio Limited (the “Company”) on Form 10-Q for the quarterly period ended September 30, 2025, as filed with the Securities and Exchange Commission (the “Report”), I, Kim Davis, Interim Chief Executive Officer of the Company, certify, pursuant to 18 U.S.C. §1350, as adopted pursuant to §906 of the Sarbanes-Oxley Act of 2002, that, to the best of my knowledge:</w:t>
      </w:r>
    </w:p>
    <w:p>
      <w:pPr>
        <w:spacing w:after="0" w:line="180"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Dated:November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12598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Kim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Kim Davis</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Interim Chief Executive Officer, Chief Operating Officer, Chief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Legal Officer and Corporate Secretary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Zura Bio Limited (the “Company”) on Form 10-Q for the quarterly period ended September 30, 2025, as filed with the Securities and Exchange Commission (the “Report”), I, Eric Hyllengren, Chief Financial Officer of the Company, certify, pursuant to 18 U.S.C. §1350, as adopted pursuant to §906 of the Sarbanes-Oxley Act of 2002, that, to the best of my knowledge:</w:t>
      </w:r>
    </w:p>
    <w:p>
      <w:pPr>
        <w:spacing w:after="0" w:line="180"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12598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Eric Hyllengren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Eric Hyllengren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2"/>
    </w:lvl>
  </w:abstractNum>
  <w:abstractNum w:abstractNumId="8">
    <w:nsid w:val="3A95F874"/>
    <w:multiLevelType w:val="hybridMultilevel"/>
    <w:lvl w:ilvl="0">
      <w:lvlJc w:val="left"/>
      <w:lvlText w:val="%1."/>
      <w:numFmt w:val="decimal"/>
      <w:start w:val="3"/>
    </w:lvl>
  </w:abstractNum>
  <w:abstractNum w:abstractNumId="9">
    <w:nsid w:val="8138641"/>
    <w:multiLevelType w:val="hybridMultilevel"/>
    <w:lvl w:ilvl="0">
      <w:lvlJc w:val="left"/>
      <w:lvlText w:val="%1."/>
      <w:numFmt w:val="decimal"/>
      <w:start w:val="4"/>
    </w:lvl>
  </w:abstractNum>
  <w:abstractNum w:abstractNumId="10">
    <w:nsid w:val="1E7FF521"/>
    <w:multiLevelType w:val="hybridMultilevel"/>
    <w:lvl w:ilvl="0">
      <w:lvlJc w:val="left"/>
      <w:lvlText w:val="%1."/>
      <w:numFmt w:val="decimal"/>
      <w:start w:val="5"/>
    </w:lvl>
  </w:abstractNum>
  <w:abstractNum w:abstractNumId="11">
    <w:nsid w:val="7C3DBD3D"/>
    <w:multiLevelType w:val="hybridMultilevel"/>
    <w:lvl w:ilvl="0">
      <w:lvlJc w:val="left"/>
      <w:lvlText w:val="(%1)"/>
      <w:numFmt w:val="lowerLetter"/>
      <w:start w:val="35"/>
    </w:lvl>
  </w:abstractNum>
  <w:abstractNum w:abstractNumId="12">
    <w:nsid w:val="737B8DDC"/>
    <w:multiLevelType w:val="hybridMultilevel"/>
    <w:lvl w:ilvl="0">
      <w:lvlJc w:val="left"/>
      <w:lvlText w:val="(%1)"/>
      <w:numFmt w:val="lowerLetter"/>
      <w:start w:val="5"/>
    </w:lvl>
  </w:abstractNum>
  <w:abstractNum w:abstractNumId="13">
    <w:nsid w:val="6CEAF087"/>
    <w:multiLevelType w:val="hybridMultilevel"/>
    <w:lvl w:ilvl="0">
      <w:lvlJc w:val="left"/>
      <w:lvlText w:val="%1."/>
      <w:numFmt w:val="decimal"/>
      <w:start w:val="6"/>
    </w:lvl>
  </w:abstractNum>
  <w:abstractNum w:abstractNumId="14">
    <w:nsid w:val="22221A70"/>
    <w:multiLevelType w:val="hybridMultilevel"/>
    <w:lvl w:ilvl="0">
      <w:lvlJc w:val="left"/>
      <w:lvlText w:val="%1."/>
      <w:numFmt w:val="decimal"/>
      <w:start w:val="7"/>
    </w:lvl>
  </w:abstractNum>
  <w:abstractNum w:abstractNumId="15">
    <w:nsid w:val="4516DDE9"/>
    <w:multiLevelType w:val="hybridMultilevel"/>
    <w:lvl w:ilvl="0">
      <w:lvlJc w:val="left"/>
      <w:lvlText w:val="%1."/>
      <w:numFmt w:val="decimal"/>
      <w:start w:val="8"/>
    </w:lvl>
  </w:abstractNum>
  <w:abstractNum w:abstractNumId="16">
    <w:nsid w:val="3006C83E"/>
    <w:multiLevelType w:val="hybridMultilevel"/>
    <w:lvl w:ilvl="0">
      <w:lvlJc w:val="left"/>
      <w:lvlText w:val="%1."/>
      <w:numFmt w:val="decimal"/>
      <w:start w:val="9"/>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upperLetter"/>
      <w:start w:val="35"/>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04"/>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upperLetter"/>
      <w:start w:val="1"/>
    </w:lvl>
  </w:abstractNum>
  <w:abstractNum w:abstractNumId="36">
    <w:nsid w:val="1D4ED43B"/>
    <w:multiLevelType w:val="hybridMultilevel"/>
    <w:lvl w:ilvl="0">
      <w:lvlJc w:val="left"/>
      <w:lvlText w:val="%1."/>
      <w:numFmt w:val="decimal"/>
      <w:start w:val="1"/>
    </w:lvl>
    <w:lvl w:ilvl="1">
      <w:lvlJc w:val="left"/>
      <w:lvlText w:val="%2."/>
      <w:numFmt w:val="lowerLetter"/>
      <w:start w:val="1"/>
    </w:lvl>
  </w:abstractNum>
  <w:abstractNum w:abstractNumId="37">
    <w:nsid w:val="725A06FB"/>
    <w:multiLevelType w:val="hybridMultilevel"/>
    <w:lvl w:ilvl="0">
      <w:lvlJc w:val="left"/>
      <w:lvlText w:val="%1."/>
      <w:numFmt w:val="upperLetter"/>
      <w:start w:val="2"/>
    </w:lvl>
  </w:abstractNum>
  <w:abstractNum w:abstractNumId="38">
    <w:nsid w:val="2CD89A32"/>
    <w:multiLevelType w:val="hybridMultilevel"/>
    <w:lvl w:ilvl="0">
      <w:lvlJc w:val="left"/>
      <w:lvlText w:val="(%1)"/>
      <w:numFmt w:val="lowerLetter"/>
      <w:start w:val="1"/>
    </w:lvl>
    <w:lvl w:ilvl="1">
      <w:lvlJc w:val="left"/>
      <w:lvlText w:val="(%2)"/>
      <w:numFmt w:val="lowerRoman"/>
      <w:start w:val="1"/>
    </w:lvl>
  </w:abstractNum>
  <w:abstractNum w:abstractNumId="39">
    <w:nsid w:val="57E4CCAF"/>
    <w:multiLevelType w:val="hybridMultilevel"/>
    <w:lvl w:ilvl="0">
      <w:lvlJc w:val="left"/>
      <w:lvlText w:val="(%1)"/>
      <w:numFmt w:val="lowerLetter"/>
      <w:start w:val="2"/>
    </w:lvl>
  </w:abstractNum>
  <w:abstractNum w:abstractNumId="40">
    <w:nsid w:val="7A6D8D3C"/>
    <w:multiLevelType w:val="hybridMultilevel"/>
    <w:lvl w:ilvl="0">
      <w:lvlJc w:val="left"/>
      <w:lvlText w:val="%1"/>
      <w:numFmt w:val="upperLetter"/>
      <w:start w:val="1"/>
    </w:lvl>
    <w:lvl w:ilvl="1">
      <w:lvlJc w:val="left"/>
      <w:lvlText w:val="(%2)"/>
      <w:numFmt w:val="lowerLetter"/>
      <w:start w:val="4"/>
    </w:lvl>
  </w:abstractNum>
  <w:abstractNum w:abstractNumId="41">
    <w:nsid w:val="4B588F54"/>
    <w:multiLevelType w:val="hybridMultilevel"/>
    <w:lvl w:ilvl="0">
      <w:lvlJc w:val="left"/>
      <w:lvlText w:val="%1."/>
      <w:numFmt w:val="upperLetter"/>
      <w:start w:val="3"/>
    </w:lvl>
    <w:lvl w:ilvl="1">
      <w:lvlJc w:val="left"/>
      <w:lvlText w:val="%2"/>
      <w:numFmt w:val="lowerLetter"/>
      <w:start w:val="1"/>
    </w:lvl>
  </w:abstractNum>
  <w:abstractNum w:abstractNumId="42">
    <w:nsid w:val="542289EC"/>
    <w:multiLevelType w:val="hybridMultilevel"/>
    <w:lvl w:ilvl="0">
      <w:lvlJc w:val="left"/>
      <w:lvlText w:val="%1."/>
      <w:numFmt w:val="upperLetter"/>
      <w:start w:val="4"/>
    </w:lvl>
  </w:abstractNum>
  <w:abstractNum w:abstractNumId="43">
    <w:nsid w:val="6DE91B18"/>
    <w:multiLevelType w:val="hybridMultilevel"/>
    <w:lvl w:ilvl="0">
      <w:lvlJc w:val="left"/>
      <w:lvlText w:val="%1."/>
      <w:numFmt w:val="upperLetter"/>
      <w:start w:val="5"/>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lowerLetter"/>
      <w:start w:val="2"/>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lowerLetter"/>
      <w:start w:val="2"/>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66" Type="http://schemas.openxmlformats.org/officeDocument/2006/relationships/hyperlink" Target="https://www.sec.gov/Archives/edgar/data/1855644/000110465923005068/tm233516d1_ex2-1.htm" TargetMode="External"/><Relationship Id="rId67" Type="http://schemas.openxmlformats.org/officeDocument/2006/relationships/hyperlink" Target="https://www.sec.gov/Archives/edgar/data/1855644/000110465923036697/tm2310353d1_ex3-1.htm" TargetMode="External"/><Relationship Id="rId68" Type="http://schemas.openxmlformats.org/officeDocument/2006/relationships/hyperlink" Target="https://www.sec.gov/Archives/edgar/data/1855644/000110465922093035/jatt-20220630xex4d6.htm" TargetMode="External"/><Relationship Id="rId69" Type="http://schemas.openxmlformats.org/officeDocument/2006/relationships/hyperlink" Target="https://www.sec.gov/Archives/edgar/data/1855644/000110465923055196/tm2314291d1_ex4-1.htm" TargetMode="External"/><Relationship Id="rId70" Type="http://schemas.openxmlformats.org/officeDocument/2006/relationships/hyperlink" Target="https://www.sec.gov/Archives/edgar/data/1855644/000110465924050169/tm2412407d1_ex4-1.htm" TargetMode="External"/><Relationship Id="rId71" Type="http://schemas.openxmlformats.org/officeDocument/2006/relationships/hyperlink" Target="https://www.sec.gov/Archives/edgar/data/1855644/000110465924091602/tm2422174d1_ex4-1.htm" TargetMode="External"/><Relationship Id="rId72" Type="http://schemas.openxmlformats.org/officeDocument/2006/relationships/hyperlink" Target="https://www.sec.gov/Archives/edgar/data/1855644/000110465925036057/tm2512482d1_ex4-1.htm" TargetMode="External"/><Relationship Id="rId73" Type="http://schemas.openxmlformats.org/officeDocument/2006/relationships/hyperlink" Target="https://www.sec.gov/Archives/edgar/data/1855644/000110465925095024/tm252748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2025-11-13T05:38:52Z</dcterms:created>
  <dcterms:modified xsi:type="dcterms:W3CDTF">2025-11-13T05:38:52Z</dcterms:modified>
</cp:coreProperties>
</file>