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628015</wp:posOffset>
            </wp:positionH>
            <wp:positionV relativeFrom="page">
              <wp:posOffset>911860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980440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60325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74930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11" w:lineRule="exact"/>
        <w:rPr>
          <w:sz w:val="24"/>
          <w:szCs w:val="24"/>
          <w:color w:val="auto"/>
        </w:rPr>
      </w:pPr>
    </w:p>
    <w:p>
      <w:pPr>
        <w:ind w:left="420" w:hanging="400"/>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0" w:lineRule="exact"/>
        <w:rPr>
          <w:sz w:val="24"/>
          <w:szCs w:val="24"/>
          <w:color w:val="auto"/>
        </w:rPr>
      </w:pPr>
    </w:p>
    <w:p>
      <w:pPr>
        <w:ind w:left="420" w:hanging="400"/>
        <w:spacing w:after="0"/>
        <w:tabs>
          <w:tab w:leader="none" w:pos="42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w:t>
      </w:r>
    </w:p>
    <w:p>
      <w:pPr>
        <w:spacing w:after="0" w:line="39" w:lineRule="exact"/>
        <w:rPr>
          <w:sz w:val="24"/>
          <w:szCs w:val="24"/>
          <w:color w:val="auto"/>
        </w:rPr>
      </w:pPr>
    </w:p>
    <w:p>
      <w:pPr>
        <w:ind w:left="420"/>
        <w:spacing w:after="0"/>
        <w:tabs>
          <w:tab w:leader="none" w:pos="3240" w:val="left"/>
        </w:tabs>
        <w:rPr>
          <w:sz w:val="20"/>
          <w:szCs w:val="20"/>
          <w:color w:val="auto"/>
        </w:rPr>
      </w:pPr>
      <w:r>
        <w:rPr>
          <w:rFonts w:ascii="Times New Roman" w:cs="Times New Roman" w:eastAsia="Times New Roman" w:hAnsi="Times New Roman"/>
          <w:sz w:val="16"/>
          <w:szCs w:val="16"/>
          <w:b w:val="1"/>
          <w:bCs w:val="1"/>
          <w:color w:val="auto"/>
        </w:rPr>
        <w:t>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001-40598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81915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ZURA BIO LIMITED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60325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62" w:lineRule="exact"/>
        <w:rPr>
          <w:sz w:val="24"/>
          <w:szCs w:val="24"/>
          <w:color w:val="auto"/>
        </w:rPr>
      </w:pPr>
    </w:p>
    <w:tbl>
      <w:tblPr>
        <w:tblLayout w:type="fixed"/>
        <w:tblInd w:w="1140" w:type="dxa"/>
        <w:tblCellMar>
          <w:top w:w="0" w:type="dxa"/>
          <w:left w:w="0" w:type="dxa"/>
          <w:bottom w:w="0" w:type="dxa"/>
          <w:right w:w="0" w:type="dxa"/>
        </w:tblCellMar>
      </w:tblPr>
      <w:tr>
        <w:trPr>
          <w:trHeight w:val="203"/>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27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98-1725736</w:t>
            </w:r>
          </w:p>
        </w:tc>
      </w:tr>
      <w:tr>
        <w:trPr>
          <w:trHeight w:val="203"/>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760" w:type="dxa"/>
            <w:vAlign w:val="bottom"/>
          </w:tcPr>
          <w:p>
            <w:pPr>
              <w:jc w:val="center"/>
              <w:ind w:left="14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6"/>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760" w:type="dxa"/>
            <w:vAlign w:val="bottom"/>
          </w:tcPr>
          <w:p>
            <w:pPr>
              <w:jc w:val="center"/>
              <w:ind w:left="14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12"/>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w w:val="99"/>
              </w:rPr>
              <w:t>1489 W. Warm Springs Rd. #110</w:t>
            </w:r>
          </w:p>
        </w:tc>
        <w:tc>
          <w:tcPr>
            <w:tcW w:w="2760" w:type="dxa"/>
            <w:vAlign w:val="bottom"/>
          </w:tcPr>
          <w:p>
            <w:pPr>
              <w:spacing w:after="0"/>
              <w:rPr>
                <w:sz w:val="18"/>
                <w:szCs w:val="18"/>
                <w:color w:val="auto"/>
              </w:rPr>
            </w:pPr>
          </w:p>
        </w:tc>
      </w:tr>
      <w:tr>
        <w:trPr>
          <w:trHeight w:val="220"/>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Henderson, NV</w:t>
            </w:r>
          </w:p>
        </w:tc>
        <w:tc>
          <w:tcPr>
            <w:tcW w:w="27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89014</w:t>
            </w:r>
          </w:p>
        </w:tc>
      </w:tr>
      <w:tr>
        <w:trPr>
          <w:trHeight w:val="212"/>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760" w:type="dxa"/>
            <w:vAlign w:val="bottom"/>
          </w:tcPr>
          <w:p>
            <w:pPr>
              <w:jc w:val="center"/>
              <w:ind w:left="141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(702) 825-9872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73025</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gridSpan w:val="2"/>
            <w:vMerge w:val="continue"/>
          </w:tcPr>
          <w:p>
            <w:pPr>
              <w:spacing w:after="0"/>
              <w:rPr>
                <w:sz w:val="15"/>
                <w:szCs w:val="15"/>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140" w:type="dxa"/>
            <w:vAlign w:val="bottom"/>
          </w:tcPr>
          <w:p>
            <w:pPr>
              <w:spacing w:after="0"/>
              <w:rPr>
                <w:sz w:val="16"/>
                <w:szCs w:val="16"/>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ZURA</w:t>
            </w:r>
          </w:p>
        </w:tc>
        <w:tc>
          <w:tcPr>
            <w:tcW w:w="160" w:type="dxa"/>
            <w:vAlign w:val="bottom"/>
          </w:tcPr>
          <w:p>
            <w:pPr>
              <w:spacing w:after="0"/>
              <w:rPr>
                <w:sz w:val="16"/>
                <w:szCs w:val="16"/>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Capital Market)</w:t>
            </w:r>
          </w:p>
        </w:tc>
        <w:tc>
          <w:tcPr>
            <w:tcW w:w="0" w:type="dxa"/>
            <w:vAlign w:val="bottom"/>
          </w:tcPr>
          <w:p>
            <w:pPr>
              <w:spacing w:after="0"/>
              <w:rPr>
                <w:sz w:val="1"/>
                <w:szCs w:val="1"/>
                <w:color w:val="auto"/>
              </w:rPr>
            </w:pPr>
          </w:p>
        </w:tc>
      </w:tr>
    </w:tbl>
    <w:p>
      <w:pPr>
        <w:spacing w:after="0" w:line="55"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40" w:val="left"/>
          <w:tab w:leader="none" w:pos="1000" w:val="left"/>
        </w:tabs>
        <w:rPr>
          <w:sz w:val="20"/>
          <w:szCs w:val="20"/>
          <w:color w:val="auto"/>
        </w:rPr>
      </w:pPr>
      <w:r>
        <w:rPr>
          <w:rFonts w:ascii="Times New Roman" w:cs="Times New Roman" w:eastAsia="Times New Roman" w:hAnsi="Times New Roman"/>
          <w:sz w:val="14"/>
          <w:szCs w:val="14"/>
          <w:color w:val="auto"/>
        </w:rPr>
        <w:t>days.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85"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0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46"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ind w:right="2280"/>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November 4, 2024, the registrant had 65,293,530 Class A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75565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118745</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3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360" w:type="dxa"/>
            <w:vAlign w:val="bottom"/>
            <w:gridSpan w:val="4"/>
            <w:vMerge w:val="restart"/>
          </w:tcPr>
          <w:p>
            <w:pPr>
              <w:spacing w:after="0"/>
              <w:rPr>
                <w:sz w:val="15"/>
                <w:szCs w:val="15"/>
                <w:color w:val="auto"/>
              </w:rPr>
            </w:pPr>
          </w:p>
        </w:tc>
        <w:tc>
          <w:tcPr>
            <w:tcW w:w="8320" w:type="dxa"/>
            <w:vAlign w:val="bottom"/>
            <w:gridSpan w:val="18"/>
            <w:vMerge w:val="continue"/>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600" w:type="dxa"/>
            <w:vAlign w:val="bottom"/>
            <w:gridSpan w:val="2"/>
            <w:vMerge w:val="continue"/>
          </w:tcPr>
          <w:p>
            <w:pPr>
              <w:spacing w:after="0"/>
              <w:rPr>
                <w:sz w:val="18"/>
                <w:szCs w:val="18"/>
                <w:color w:val="auto"/>
              </w:rPr>
            </w:pPr>
          </w:p>
        </w:tc>
        <w:tc>
          <w:tcPr>
            <w:tcW w:w="360" w:type="dxa"/>
            <w:vAlign w:val="bottom"/>
            <w:gridSpan w:val="4"/>
            <w:vMerge w:val="continue"/>
          </w:tcPr>
          <w:p>
            <w:pPr>
              <w:spacing w:after="0"/>
              <w:rPr>
                <w:sz w:val="18"/>
                <w:szCs w:val="18"/>
                <w:color w:val="auto"/>
              </w:rPr>
            </w:pPr>
          </w:p>
        </w:tc>
        <w:tc>
          <w:tcPr>
            <w:tcW w:w="41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4180" w:type="dxa"/>
            <w:vAlign w:val="bottom"/>
            <w:gridSpan w:val="5"/>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4660" w:type="dxa"/>
            <w:vAlign w:val="bottom"/>
            <w:gridSpan w:val="7"/>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Redeemable Noncontrolling Interest, Convertible Preferred</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and Shareholders’ Equity (Deficit)</w:t>
            </w:r>
          </w:p>
        </w:tc>
        <w:tc>
          <w:tcPr>
            <w:tcW w:w="4960" w:type="dxa"/>
            <w:vAlign w:val="bottom"/>
            <w:tcBorders>
              <w:top w:val="single" w:sz="8" w:color="0000EE"/>
            </w:tcBorders>
            <w:gridSpan w:val="7"/>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2.</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3.</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980" w:type="dxa"/>
            <w:vAlign w:val="bottom"/>
            <w:tcBorders>
              <w:left w:val="single" w:sz="8" w:color="0000EE"/>
            </w:tcBorders>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439"/>
        </w:trPr>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300" w:type="dxa"/>
            <w:vAlign w:val="bottom"/>
            <w:gridSpan w:val="3"/>
          </w:tcPr>
          <w:p>
            <w:pPr>
              <w:spacing w:after="0"/>
              <w:rPr>
                <w:sz w:val="24"/>
                <w:szCs w:val="24"/>
                <w:color w:val="auto"/>
              </w:rPr>
            </w:pPr>
          </w:p>
        </w:tc>
        <w:tc>
          <w:tcPr>
            <w:tcW w:w="18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44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80" w:type="dxa"/>
            <w:vAlign w:val="bottom"/>
            <w:gridSpan w:val="2"/>
          </w:tcPr>
          <w:p>
            <w:pPr>
              <w:spacing w:after="0"/>
              <w:rPr>
                <w:sz w:val="18"/>
                <w:szCs w:val="18"/>
                <w:color w:val="auto"/>
              </w:rPr>
            </w:pPr>
          </w:p>
        </w:tc>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7420" w:type="dxa"/>
            <w:vAlign w:val="bottom"/>
            <w:gridSpan w:val="16"/>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2.</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3.</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560" w:type="dxa"/>
            <w:vAlign w:val="bottom"/>
            <w:gridSpan w:val="1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5.</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2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6.</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the safe harbor provisions of the Private Securities Litigation Reform Act of 1995.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 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the current expectations of Zura Bio Limited (the “Company” or “Zura”) and its management thereof and are inherently subject to uncertainties and changes in circumstances and their potential effects and speak only as of the date of such statement. Forward-looking statements are not guarantees of performance. You should not put undue reliance on our forward-looking statements.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w:t>
      </w:r>
    </w:p>
    <w:p>
      <w:pPr>
        <w:spacing w:after="0" w:line="187" w:lineRule="exact"/>
        <w:rPr>
          <w:sz w:val="20"/>
          <w:szCs w:val="20"/>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 candidates and their related benefits, and our beliefs regarding competing product candidates and products both in development and approved, may not be achieved;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vision and strategy may not be successful;</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key events and initiation of our studies and release of clinical data may take longer than anticipated or may not be achieved at all;</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potential general acceptability and maintenance of our product candidates by regulatory authorities, payors, physicians, and patients may not be achieved;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and retain key personnel;</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our future operating expenses, capital requirements and needs for additional financing may not be achieved;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completed any clinical trials, and have no products approved for commercial sale;</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incur significant losses for the foreseeable future and may not be able to achieve or sustain profitability in the future;</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substantial additional capital to finance our operations, and if we are unable to raise such capital when needed or on acceptable terms, we may be forced to delay, reduce, and/or eliminate one or more of its development programs or future commercialization efforts;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renew existing contracts or enter into new contracts;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development manufacturing organizations for the manufacture of clinical materials;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 research organizations, clinical trial sites, and other third parties to conduct our preclinical studies and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for our product candidates, and there may be related restrictions or limitations of any approved products;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respond to general economic and geopolitical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effectively manage growth;</w:t>
      </w:r>
    </w:p>
    <w:p>
      <w:pPr>
        <w:sectPr>
          <w:pgSz w:w="11900" w:h="16838" w:orient="portrait"/>
          <w:cols w:equalWidth="0" w:num="1">
            <w:col w:w="9920"/>
          </w:cols>
          <w:pgMar w:left="980" w:top="12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type w:val="continuous"/>
        </w:sectPr>
      </w:pPr>
    </w:p>
    <w:bookmarkStart w:id="3" w:name="page4"/>
    <w:bookmarkEnd w:id="3"/>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competitive pressures from other companies worldwide;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protect our intellectual property rights;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set forth in documents filed, or to be filed, with the Securities and Exchange Commission (the “SEC”).</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 discussion of the risks, uncertainties and other factors described above, as well as other risks material to the Company’s business, can be found under “Risk Factors” in Part I, Item 1A of the Annual Report on Form 10-K for the year ended December 31, 2023. The Company may not actually achieve the plans, intentions or expectations disclosed in our forward-looking statements. New risk factors emerge from time to time and it is not possible to predict all such risk factors, nor can the Company assess the impact of all such risk factors on the business of the Company or the extent to which any factor or combination of factors may cause actual results to differ materially from those contained in any forward-looking statements. Our forward-looking statements do not reflect the potential impact of any future acquisitions, mergers, dispositions, joint ventures, investments or other transactions we may execute.</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the reasons described above, the Company cautions you against relying on any forward-looking statements, which should also be read in conjunction with this Quarterly Report and the documents referenced within this Quarterly Report and the other cautionary statements that are included elsewhere in this Quarterly Report and in our public filings, including under “Management’s Discussion and Analysis of Financial Condition and Results of Operations”. Forward-looking statements, reflect the Company’s beliefs and opinions on the relevant subject. These statements are based upon information available to the Company as of the date of this Quarterly Report, and while the Company believes such information forms a reasonable basis for such statements, such information may be limited or incomplete, and statements should not be read to indicate that the Company has conducted an exhaustive inquiry into, or review of, all potentially available relevant information.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9"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189,071</w:t>
            </w:r>
          </w:p>
        </w:tc>
        <w:tc>
          <w:tcPr>
            <w:tcW w:w="2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100,843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shares, $0.0001 par value, 1,000,000 authorized as of September 30, 2024, and December</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 2023; -0- issued and outstanding as of September 30, 2024, and December 31, 2023</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300,000,000 shares authorized as of September 30,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 and December 31, 2023; 65,293,530 and 43,593,678 shares issued and outstanding as of</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(142,272)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Zura Bio Limited shareholders’ equity</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153,046</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154,587</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189,071</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sectPr>
      </w:pPr>
    </w:p>
    <w:bookmarkStart w:id="5" w:name="page6"/>
    <w:bookmarkEnd w:id="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5"/>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5"/>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51,811</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(income)/expense, net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(2,461)</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income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note payable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(income)/expense, net</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redeemable noncontrolling interest</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(51,887)</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 to redemption value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 to redeemable noncontrolling interest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0" w:type="dxa"/>
            <w:vAlign w:val="bottom"/>
          </w:tcPr>
          <w:p>
            <w:pPr>
              <w:spacing w:after="0"/>
              <w:rPr>
                <w:sz w:val="1"/>
                <w:szCs w:val="1"/>
                <w:color w:val="auto"/>
              </w:rPr>
            </w:pPr>
          </w:p>
        </w:tc>
      </w:tr>
      <w:tr>
        <w:trPr>
          <w:trHeight w:val="198"/>
        </w:trPr>
        <w:tc>
          <w:tcPr>
            <w:tcW w:w="5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 of redeemable noncontrolling interest from redemption</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value to carrying value</w:t>
            </w: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Class A Ordinary Shareholders of Zura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(62,965)</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Class A Ordinary Shareholders of</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320" w:type="dxa"/>
            <w:vAlign w:val="bottom"/>
            <w:vMerge w:val="continue"/>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(0.52)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61"/>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Zura, basic and diluted</w:t>
            </w:r>
          </w:p>
        </w:tc>
        <w:tc>
          <w:tcPr>
            <w:tcW w:w="12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532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Weighted-average Class A Ordinary Shares used in computing net loss</w:t>
            </w: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 share attributable to Class A Ordinary Shareholders of Zura,</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87,335,667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46,876,344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69,778,401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28,402,487</w:t>
            </w:r>
          </w:p>
        </w:tc>
        <w:tc>
          <w:tcPr>
            <w:tcW w:w="0" w:type="dxa"/>
            <w:vAlign w:val="bottom"/>
          </w:tcPr>
          <w:p>
            <w:pPr>
              <w:spacing w:after="0"/>
              <w:rPr>
                <w:sz w:val="1"/>
                <w:szCs w:val="1"/>
                <w:color w:val="auto"/>
              </w:rPr>
            </w:pPr>
          </w:p>
        </w:tc>
      </w:tr>
      <w:tr>
        <w:trPr>
          <w:trHeight w:val="221"/>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sectPr>
      </w:pPr>
    </w:p>
    <w:bookmarkStart w:id="6" w:name="page7"/>
    <w:bookmarkEnd w:id="6"/>
    <w:p>
      <w:pPr>
        <w:ind w:left="4420"/>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Convertible Preferred Shares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7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040" w:type="dxa"/>
            <w:vAlign w:val="bottom"/>
            <w:gridSpan w:val="5"/>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78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040" w:type="dxa"/>
            <w:vAlign w:val="bottom"/>
            <w:gridSpan w:val="5"/>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0" w:type="dxa"/>
            <w:vAlign w:val="bottom"/>
            <w:gridSpan w:val="4"/>
            <w:vMerge w:val="continue"/>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1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5"/>
                <w:szCs w:val="15"/>
                <w:color w:val="auto"/>
              </w:rPr>
            </w:pPr>
          </w:p>
        </w:tc>
        <w:tc>
          <w:tcPr>
            <w:tcW w:w="126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6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4"/>
            <w:vMerge w:val="continue"/>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600" w:type="dxa"/>
            <w:vAlign w:val="bottom"/>
            <w:tcBorders>
              <w:top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lef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63,683,806</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$ 278,086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(121,570)</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158,063</w:t>
            </w: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Pre-Funded Warrants in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exchange for Class A Ordinary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right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7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(4,000,000)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in</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exchange for Private Placement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tcBorders>
              <w:right w:val="single" w:sz="8" w:color="auto"/>
            </w:tcBorders>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1,718,108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6,230</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tcBorders>
              <w:right w:val="single" w:sz="8" w:color="auto"/>
            </w:tcBorders>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lef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in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right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2,064,082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exchange for Public Warrants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in</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connection with a sale under the</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ATM, net of $0.2 million of</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tcBorders>
              <w:right w:val="single" w:sz="8" w:color="auto"/>
            </w:tcBorders>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tcBorders>
              <w:right w:val="single" w:sz="8" w:color="auto"/>
            </w:tcBorders>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lef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ATM transaction costs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right w:val="single" w:sz="8" w:color="auto"/>
            </w:tcBorders>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0" w:type="dxa"/>
            <w:vAlign w:val="bottom"/>
          </w:tcPr>
          <w:p>
            <w:pPr>
              <w:spacing w:after="0"/>
              <w:rPr>
                <w:sz w:val="1"/>
                <w:szCs w:val="1"/>
                <w:color w:val="auto"/>
              </w:rPr>
            </w:pPr>
          </w:p>
        </w:tc>
      </w:tr>
      <w:tr>
        <w:trPr>
          <w:trHeight w:val="126"/>
        </w:trPr>
        <w:tc>
          <w:tcPr>
            <w:tcW w:w="2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for</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restricted stock units, net of shares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tcBorders>
              <w:right w:val="single" w:sz="8" w:color="auto"/>
            </w:tcBorders>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327,534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withheld for taxes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tcBorders>
              <w:right w:val="single" w:sz="8" w:color="auto"/>
            </w:tcBorders>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lef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right w:val="single" w:sz="8" w:color="auto"/>
            </w:tcBorders>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8,646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8,646</w:t>
            </w:r>
          </w:p>
        </w:tc>
        <w:tc>
          <w:tcPr>
            <w:tcW w:w="0" w:type="dxa"/>
            <w:vAlign w:val="bottom"/>
          </w:tcPr>
          <w:p>
            <w:pPr>
              <w:spacing w:after="0"/>
              <w:rPr>
                <w:sz w:val="1"/>
                <w:szCs w:val="1"/>
                <w:color w:val="auto"/>
              </w:rPr>
            </w:pPr>
          </w:p>
        </w:tc>
      </w:tr>
      <w:tr>
        <w:trPr>
          <w:trHeight w:val="126"/>
        </w:trPr>
        <w:tc>
          <w:tcPr>
            <w:tcW w:w="2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Accretion of redeemable noncontrolling</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tcBorders>
              <w:right w:val="single" w:sz="8" w:color="auto"/>
            </w:tcBorders>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right w:val="single" w:sz="8" w:color="CCEEFF"/>
            </w:tcBorders>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(2,240)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to redemption value</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tcBorders>
              <w:right w:val="single" w:sz="8" w:color="auto"/>
            </w:tcBorders>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0" w:type="dxa"/>
            <w:vAlign w:val="bottom"/>
            <w:tcBorders>
              <w:left w:val="single" w:sz="8" w:color="CCEEFF"/>
            </w:tcBorders>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right w:val="single" w:sz="8" w:color="auto"/>
            </w:tcBorders>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(20,702)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(20,702)</w:t>
            </w:r>
          </w:p>
        </w:tc>
        <w:tc>
          <w:tcPr>
            <w:tcW w:w="0" w:type="dxa"/>
            <w:vAlign w:val="bottom"/>
          </w:tcPr>
          <w:p>
            <w:pPr>
              <w:spacing w:after="0"/>
              <w:rPr>
                <w:sz w:val="1"/>
                <w:szCs w:val="1"/>
                <w:color w:val="auto"/>
              </w:rPr>
            </w:pPr>
          </w:p>
        </w:tc>
      </w:tr>
      <w:tr>
        <w:trPr>
          <w:trHeight w:val="142"/>
        </w:trPr>
        <w:tc>
          <w:tcPr>
            <w:tcW w:w="24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16,240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left w:val="single" w:sz="8" w:color="CCEEFF"/>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65,293,530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$ 295,311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(142,272)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154,587</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2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8"/>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40" w:type="dxa"/>
            <w:vAlign w:val="bottom"/>
          </w:tcPr>
          <w:p>
            <w:pPr>
              <w:spacing w:after="0"/>
              <w:rPr>
                <w:sz w:val="14"/>
                <w:szCs w:val="14"/>
                <w:color w:val="auto"/>
              </w:rPr>
            </w:pPr>
          </w:p>
        </w:tc>
        <w:tc>
          <w:tcPr>
            <w:tcW w:w="1040" w:type="dxa"/>
            <w:vAlign w:val="bottom"/>
            <w:gridSpan w:val="5"/>
            <w:vMerge w:val="restart"/>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4"/>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8"/>
            <w:vMerge w:val="continue"/>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1040" w:type="dxa"/>
            <w:vAlign w:val="bottom"/>
            <w:gridSpan w:val="5"/>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0" w:type="dxa"/>
            <w:vAlign w:val="bottom"/>
            <w:gridSpan w:val="4"/>
            <w:vMerge w:val="continue"/>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14"/>
          </w:tcPr>
          <w:p>
            <w:pPr>
              <w:ind w:left="160"/>
              <w:spacing w:after="0"/>
              <w:rPr>
                <w:sz w:val="20"/>
                <w:szCs w:val="20"/>
                <w:color w:val="auto"/>
              </w:rPr>
            </w:pPr>
            <w:r>
              <w:rPr>
                <w:rFonts w:ascii="Times New Roman" w:cs="Times New Roman" w:eastAsia="Times New Roman" w:hAnsi="Times New Roman"/>
                <w:sz w:val="14"/>
                <w:szCs w:val="14"/>
                <w:b w:val="1"/>
                <w:bCs w:val="1"/>
                <w:color w:val="auto"/>
              </w:rPr>
              <w:t>Noncontrolling   Preferred Shares</w:t>
            </w:r>
          </w:p>
        </w:tc>
        <w:tc>
          <w:tcPr>
            <w:tcW w:w="40" w:type="dxa"/>
            <w:vAlign w:val="bottom"/>
            <w:tcBorders>
              <w:left w:val="single" w:sz="8" w:color="auto"/>
            </w:tcBorders>
          </w:tcPr>
          <w:p>
            <w:pPr>
              <w:spacing w:after="0"/>
              <w:rPr>
                <w:sz w:val="15"/>
                <w:szCs w:val="15"/>
                <w:color w:val="auto"/>
              </w:rPr>
            </w:pPr>
          </w:p>
        </w:tc>
        <w:tc>
          <w:tcPr>
            <w:tcW w:w="142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6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4"/>
            <w:vMerge w:val="continue"/>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4"/>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left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2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20,875</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gridSpan w:val="2"/>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top w:val="single" w:sz="8" w:color="auto"/>
              <w:right w:val="single" w:sz="8" w:color="CCEEFF"/>
            </w:tcBorders>
            <w:gridSpan w:val="3"/>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left w:val="single" w:sz="8" w:color="auto"/>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43,593,678</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$ 155,654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(86,751)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70,448</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left w:val="single" w:sz="8" w:color="auto"/>
            </w:tcBorders>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CCEEFF"/>
            </w:tcBorders>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left w:val="single" w:sz="8" w:color="auto"/>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(8,270)</w:t>
            </w:r>
          </w:p>
        </w:tc>
        <w:tc>
          <w:tcPr>
            <w:tcW w:w="0" w:type="dxa"/>
            <w:vAlign w:val="bottom"/>
          </w:tcPr>
          <w:p>
            <w:pPr>
              <w:spacing w:after="0"/>
              <w:rPr>
                <w:sz w:val="1"/>
                <w:szCs w:val="1"/>
                <w:color w:val="auto"/>
              </w:rPr>
            </w:pPr>
          </w:p>
        </w:tc>
      </w:tr>
      <w:tr>
        <w:trPr>
          <w:trHeight w:val="142"/>
        </w:trPr>
        <w:tc>
          <w:tcPr>
            <w:tcW w:w="2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2023</w:t>
            </w:r>
          </w:p>
        </w:tc>
        <w:tc>
          <w:tcPr>
            <w:tcW w:w="240" w:type="dxa"/>
            <w:vAlign w:val="bottom"/>
            <w:gridSpan w:val="2"/>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20,875</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top w:val="single" w:sz="8" w:color="auto"/>
              <w:bottom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left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43,593,678</w:t>
            </w:r>
          </w:p>
        </w:tc>
        <w:tc>
          <w:tcPr>
            <w:tcW w:w="140" w:type="dxa"/>
            <w:vAlign w:val="bottom"/>
            <w:gridSpan w:val="2"/>
          </w:tcPr>
          <w:p>
            <w:pPr>
              <w:spacing w:after="0"/>
              <w:rPr>
                <w:sz w:val="12"/>
                <w:szCs w:val="12"/>
                <w:color w:val="auto"/>
              </w:rPr>
            </w:pPr>
          </w:p>
        </w:tc>
        <w:tc>
          <w:tcPr>
            <w:tcW w:w="18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$ 158,231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(95,021)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64,755</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1265" w:right="859" w:bottom="1440" w:gutter="0" w:footer="0" w:header="0"/>
        </w:sectPr>
      </w:pPr>
    </w:p>
    <w:bookmarkStart w:id="7" w:name="page8"/>
    <w:bookmarkEnd w:id="7"/>
    <w:p>
      <w:pPr>
        <w:ind w:left="4420"/>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Convertible Preferred Shares and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4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040" w:type="dxa"/>
            <w:vAlign w:val="bottom"/>
            <w:gridSpan w:val="4"/>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2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60" w:type="dxa"/>
            <w:vAlign w:val="bottom"/>
          </w:tcPr>
          <w:p>
            <w:pPr>
              <w:spacing w:after="0"/>
              <w:rPr>
                <w:sz w:val="15"/>
                <w:szCs w:val="15"/>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4"/>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7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9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18,680</w:t>
            </w: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43,593,678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$ 162,820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(103,494)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60,871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in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connection with April 2024 Private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Placement, net of $7.2 million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20,090,128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costs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Pre-Funded Warrants in</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connection with April 2024 Private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Placement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Pre-Funded Warrants in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exchange for Class A Ordinary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(4,000,000)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in</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exchange for Private Placement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1,718,108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in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2,064,082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exchange for Public Warrants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in</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connection with a sale under the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ATM, net of $0.2 million of</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ATM transaction costs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for restricted stock units, net of</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for taxes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Adjustment of redeemable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noncontrolling interest from</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(7,017)</w:t>
            </w:r>
          </w:p>
        </w:tc>
        <w:tc>
          <w:tcPr>
            <w:tcW w:w="70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 value to carrying value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Accretion of redeemable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noncontrolling interest to redemption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160" w:type="dxa"/>
            <w:vAlign w:val="bottom"/>
          </w:tcPr>
          <w:p>
            <w:pPr>
              <w:spacing w:after="0"/>
              <w:rPr>
                <w:sz w:val="12"/>
                <w:szCs w:val="12"/>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(4,577)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(4,577)</w:t>
            </w:r>
          </w:p>
        </w:tc>
        <w:tc>
          <w:tcPr>
            <w:tcW w:w="0" w:type="dxa"/>
            <w:vAlign w:val="bottom"/>
          </w:tcPr>
          <w:p>
            <w:pPr>
              <w:spacing w:after="0"/>
              <w:rPr>
                <w:sz w:val="1"/>
                <w:szCs w:val="1"/>
                <w:color w:val="auto"/>
              </w:rPr>
            </w:pPr>
          </w:p>
        </w:tc>
      </w:tr>
      <w:tr>
        <w:trPr>
          <w:trHeight w:val="171"/>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(38,778)</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16,240</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65,293,530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$ 295,311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(142,272)</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154,587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20"/>
          </w:cols>
          <w:pgMar w:left="840" w:top="1265" w:right="839" w:bottom="1440" w:gutter="0" w:footer="0" w:header="0"/>
        </w:sectPr>
      </w:pPr>
    </w:p>
    <w:bookmarkStart w:id="8" w:name="page9"/>
    <w:bookmarkEnd w:id="8"/>
    <w:p>
      <w:pPr>
        <w:ind w:left="4421"/>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117"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Convertible Preferred Shares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2023</w:t>
      </w:r>
    </w:p>
    <w:p>
      <w:pPr>
        <w:spacing w:after="0" w:line="221" w:lineRule="exact"/>
        <w:rPr>
          <w:sz w:val="20"/>
          <w:szCs w:val="20"/>
          <w:color w:val="auto"/>
        </w:rPr>
      </w:pPr>
    </w:p>
    <w:tbl>
      <w:tblPr>
        <w:tblLayout w:type="fixed"/>
        <w:tblInd w:w="1" w:type="dxa"/>
        <w:tblCellMar>
          <w:top w:w="0" w:type="dxa"/>
          <w:left w:w="0" w:type="dxa"/>
          <w:bottom w:w="0" w:type="dxa"/>
          <w:right w:w="0" w:type="dxa"/>
        </w:tblCellMar>
      </w:tblPr>
      <w:tr>
        <w:trPr>
          <w:trHeight w:val="39"/>
        </w:trPr>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58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20" w:type="dxa"/>
            <w:vAlign w:val="bottom"/>
          </w:tcPr>
          <w:p>
            <w:pPr>
              <w:spacing w:after="0"/>
              <w:rPr>
                <w:sz w:val="3"/>
                <w:szCs w:val="3"/>
                <w:color w:val="auto"/>
              </w:rPr>
            </w:pPr>
          </w:p>
        </w:tc>
        <w:tc>
          <w:tcPr>
            <w:tcW w:w="112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3"/>
                <w:szCs w:val="3"/>
                <w:color w:val="auto"/>
              </w:rPr>
            </w:pPr>
          </w:p>
        </w:tc>
        <w:tc>
          <w:tcPr>
            <w:tcW w:w="9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3"/>
                <w:szCs w:val="3"/>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1"/>
        </w:trPr>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580" w:type="dxa"/>
            <w:vAlign w:val="bottom"/>
            <w:gridSpan w:val="6"/>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11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580" w:type="dxa"/>
            <w:vAlign w:val="bottom"/>
            <w:gridSpan w:val="6"/>
          </w:tcPr>
          <w:p>
            <w:pPr>
              <w:jc w:val="center"/>
              <w:ind w:right="80"/>
              <w:spacing w:after="0" w:line="176" w:lineRule="exact"/>
              <w:rPr>
                <w:sz w:val="20"/>
                <w:szCs w:val="20"/>
                <w:color w:val="auto"/>
              </w:rPr>
            </w:pPr>
            <w:r>
              <w:rPr>
                <w:rFonts w:ascii="Times New Roman" w:cs="Times New Roman" w:eastAsia="Times New Roman" w:hAnsi="Times New Roman"/>
                <w:sz w:val="14"/>
                <w:szCs w:val="14"/>
                <w:b w:val="1"/>
                <w:bCs w:val="1"/>
                <w:color w:val="auto"/>
                <w:w w:val="96"/>
              </w:rPr>
              <w:t>Shares</w:t>
            </w:r>
            <w:r>
              <w:rPr>
                <w:rFonts w:ascii="Times New Roman" w:cs="Times New Roman" w:eastAsia="Times New Roman" w:hAnsi="Times New Roman"/>
                <w:sz w:val="20"/>
                <w:szCs w:val="20"/>
                <w:color w:val="auto"/>
                <w:w w:val="96"/>
                <w:vertAlign w:val="superscript"/>
              </w:rPr>
              <w:t>(1)</w:t>
            </w:r>
          </w:p>
        </w:tc>
        <w:tc>
          <w:tcPr>
            <w:tcW w:w="20" w:type="dxa"/>
            <w:vAlign w:val="bottom"/>
            <w:shd w:val="clear" w:color="auto" w:fill="000000"/>
          </w:tcPr>
          <w:p>
            <w:pPr>
              <w:spacing w:after="0"/>
              <w:rPr>
                <w:sz w:val="15"/>
                <w:szCs w:val="15"/>
                <w:color w:val="auto"/>
              </w:rPr>
            </w:pPr>
          </w:p>
        </w:tc>
        <w:tc>
          <w:tcPr>
            <w:tcW w:w="1440" w:type="dxa"/>
            <w:vAlign w:val="bottom"/>
            <w:gridSpan w:val="4"/>
          </w:tcPr>
          <w:p>
            <w:pPr>
              <w:jc w:val="right"/>
              <w:ind w:right="48"/>
              <w:spacing w:after="0" w:line="176" w:lineRule="exact"/>
              <w:rPr>
                <w:sz w:val="20"/>
                <w:szCs w:val="20"/>
                <w:color w:val="auto"/>
              </w:rPr>
            </w:pPr>
            <w:r>
              <w:rPr>
                <w:rFonts w:ascii="Times New Roman" w:cs="Times New Roman" w:eastAsia="Times New Roman" w:hAnsi="Times New Roman"/>
                <w:sz w:val="14"/>
                <w:szCs w:val="14"/>
                <w:b w:val="1"/>
                <w:bCs w:val="1"/>
                <w:color w:val="auto"/>
              </w:rPr>
              <w:t>Ordinary Shares</w:t>
            </w:r>
            <w:r>
              <w:rPr>
                <w:rFonts w:ascii="Times New Roman" w:cs="Times New Roman" w:eastAsia="Times New Roman" w:hAnsi="Times New Roman"/>
                <w:sz w:val="20"/>
                <w:szCs w:val="20"/>
                <w:color w:val="auto"/>
                <w:vertAlign w:val="superscript"/>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3"/>
            <w:vMerge w:val="continue"/>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4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92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74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21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10,000</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13,510,415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12,500</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780" w:type="dxa"/>
            <w:vAlign w:val="bottom"/>
            <w:tcBorders>
              <w:top w:val="single" w:sz="8" w:color="auto"/>
              <w:lef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279,720</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(32,056)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(32,056)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A-1 convertible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preferred shares as license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267,939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Series A-1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8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preferred shares to</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Class A Ordinary Shares in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connection with Business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(13,778,354)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(14,686)</w:t>
            </w:r>
          </w:p>
        </w:tc>
        <w:tc>
          <w:tcPr>
            <w:tcW w:w="20" w:type="dxa"/>
            <w:vAlign w:val="bottom"/>
            <w:shd w:val="clear" w:color="auto" w:fill="000000"/>
          </w:tcPr>
          <w:p>
            <w:pPr>
              <w:spacing w:after="0"/>
              <w:rPr>
                <w:sz w:val="12"/>
                <w:szCs w:val="12"/>
                <w:color w:val="auto"/>
              </w:rPr>
            </w:pPr>
          </w:p>
        </w:tc>
        <w:tc>
          <w:tcPr>
            <w:tcW w:w="78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13,778,354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Combination</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80" w:type="dxa"/>
            <w:vAlign w:val="bottom"/>
            <w:tcBorders>
              <w:lef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Shares in connection with</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Business Combination, including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PIPE Investment, Forward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Investment,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Backstop Shares, net of $4.0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12,444,081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48,350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48,351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million of transaction costs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8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Shares to settle research and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development license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8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consideration liability</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80" w:type="dxa"/>
            <w:vAlign w:val="bottom"/>
            <w:tcBorders>
              <w:lef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Reclassification of public warrant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liability to equity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8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Shares in connection with April</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2023 Private Placement, net of</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8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15,041,530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54,133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$9.8 million of transaction costs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80" w:type="dxa"/>
            <w:vAlign w:val="bottom"/>
            <w:tcBorders>
              <w:lef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Pre-Funded Warrants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 connection with April 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16,070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Private Placement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8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Shares to Lilly in connection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8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2023 Lilly License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80" w:type="dxa"/>
            <w:vAlign w:val="bottom"/>
            <w:tcBorders>
              <w:lef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share awards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499,993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920" w:type="dxa"/>
            <w:vAlign w:val="bottom"/>
            <w:tcBorders>
              <w:lef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(51,887)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Accretion of redeemable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8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noncontrolling interest to</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920" w:type="dxa"/>
            <w:vAlign w:val="bottom"/>
            <w:tcBorders>
              <w:lef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 value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20" w:type="dxa"/>
            <w:vAlign w:val="bottom"/>
            <w:tcBorders>
              <w:left w:val="single" w:sz="8" w:color="CCEEFF"/>
            </w:tcBorders>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Stone Peach Call Right issued to</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Deemed dividend to redeemable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10,875</w:t>
            </w: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920" w:type="dxa"/>
            <w:vAlign w:val="bottom"/>
            <w:tcBorders>
              <w:lef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(10,875)</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20" w:type="dxa"/>
            <w:vAlign w:val="bottom"/>
            <w:tcBorders>
              <w:left w:val="single" w:sz="8" w:color="CCEEFF"/>
            </w:tcBorders>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20,875</w:t>
            </w:r>
          </w:p>
        </w:tc>
        <w:tc>
          <w:tcPr>
            <w:tcW w:w="1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43,593,678</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158,231</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(95,021)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64,755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161988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19885" cy="17145"/>
                    </a:xfrm>
                    <a:prstGeom prst="rect">
                      <a:avLst/>
                    </a:prstGeom>
                    <a:noFill/>
                  </pic:spPr>
                </pic:pic>
              </a:graphicData>
            </a:graphic>
          </wp:anchor>
        </w:drawing>
      </w:r>
    </w:p>
    <w:p>
      <w:pPr>
        <w:spacing w:after="0" w:line="272" w:lineRule="exact"/>
        <w:rPr>
          <w:sz w:val="20"/>
          <w:szCs w:val="20"/>
          <w:color w:val="auto"/>
        </w:rPr>
      </w:pPr>
    </w:p>
    <w:p>
      <w:pPr>
        <w:jc w:val="both"/>
        <w:ind w:left="1" w:right="20" w:hanging="1"/>
        <w:spacing w:after="0" w:line="231" w:lineRule="auto"/>
        <w:tabs>
          <w:tab w:leader="none" w:pos="209"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Company’s convertible preferred shares and Class A Ordinary Shares prior to the closing of the Business Combination (as defined in Note 1) have been retroactively restated to reflect the exchange ratio of approximately 108.083 established in the Business Combination Agreement as described in Note 6.</w:t>
      </w:r>
    </w:p>
    <w:p>
      <w:pPr>
        <w:spacing w:after="0" w:line="198" w:lineRule="exact"/>
        <w:rPr>
          <w:sz w:val="20"/>
          <w:szCs w:val="20"/>
          <w:color w:val="auto"/>
        </w:rPr>
      </w:pPr>
    </w:p>
    <w:p>
      <w:pPr>
        <w:ind w:left="2261"/>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8081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21"/>
          </w:cols>
          <w:pgMar w:left="839" w:top="1265" w:right="839" w:bottom="1440" w:gutter="0" w:footer="0" w:header="0"/>
        </w:sectPr>
      </w:pPr>
    </w:p>
    <w:bookmarkStart w:id="9" w:name="page10"/>
    <w:bookmarkEnd w:id="9"/>
    <w:p>
      <w:pPr>
        <w:ind w:left="4460"/>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18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gridSpan w:val="3"/>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For the Nine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gridSpan w:val="3"/>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Months Ended</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Net loss before redeemable noncontrolling interest</w:t>
            </w:r>
          </w:p>
        </w:tc>
        <w:tc>
          <w:tcPr>
            <w:tcW w:w="960" w:type="dxa"/>
            <w:vAlign w:val="bottom"/>
            <w:gridSpan w:val="2"/>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(38,778)</w:t>
            </w: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loss before redeemable noncontrolling interest to net cash used in operating activities: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Research and development acquired license</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Anti-dilution share issuance compensation</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13,981</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Change in fair value of note payable</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 in fair value of research and development license consideration liability</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Change in fair value of private placement warrants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exchange transaction (gain)/loss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(31)</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2,049</w:t>
            </w:r>
          </w:p>
        </w:tc>
        <w:tc>
          <w:tcPr>
            <w:tcW w:w="2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2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(17,252)</w:t>
            </w:r>
          </w:p>
        </w:tc>
        <w:tc>
          <w:tcPr>
            <w:tcW w:w="22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(11,001)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fixed assets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(30)</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Purchase of research and development license</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(5,030)</w:t>
            </w:r>
          </w:p>
        </w:tc>
        <w:tc>
          <w:tcPr>
            <w:tcW w:w="2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Proceeds from issuance of Class A Ordinary Shares in connection with April 2024 Private Placement, net of $7.2 million of</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transaction costs</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55,223</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issuance of Pre-Funded Warrants in connection with April 2024 Private Placement</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50,030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Proceeds from issuance of Class A Ordinary Shares in connection with a sale under the ATM, net of $0.2 million of</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commissions</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5,534</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ATM transaction costs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(38)</w:t>
            </w: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Proceeds from issuance of Class A Ordinary Shares in connection with April 2023 Private Placement, net of $4.2 million of</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transaction costs</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issuance of Class A Ordinary Shares upon Closing of Business Combination</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issuance of Pre-Funded Warrants in connection with April 2023 Private Placement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Settlement of note payable</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 of deferred transaction costs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(52)</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w:t>
            </w:r>
          </w:p>
        </w:tc>
        <w:tc>
          <w:tcPr>
            <w:tcW w:w="0" w:type="dxa"/>
            <w:vAlign w:val="bottom"/>
          </w:tcPr>
          <w:p>
            <w:pPr>
              <w:spacing w:after="0"/>
              <w:rPr>
                <w:sz w:val="1"/>
                <w:szCs w:val="1"/>
                <w:color w:val="auto"/>
              </w:rPr>
            </w:pPr>
          </w:p>
        </w:tc>
      </w:tr>
      <w:tr>
        <w:trPr>
          <w:trHeight w:val="142"/>
        </w:trPr>
        <w:tc>
          <w:tcPr>
            <w:tcW w:w="70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110,697</w:t>
            </w: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121,293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increase in cash and cash equivalents</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88,415</w:t>
            </w:r>
          </w:p>
        </w:tc>
        <w:tc>
          <w:tcPr>
            <w:tcW w:w="2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102,292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2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99,806</w:t>
            </w:r>
          </w:p>
        </w:tc>
        <w:tc>
          <w:tcPr>
            <w:tcW w:w="2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Cash and cash equivalents, ending of period</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188,221</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103,859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taxes</w:t>
            </w:r>
          </w:p>
        </w:tc>
        <w:tc>
          <w:tcPr>
            <w:tcW w:w="960" w:type="dxa"/>
            <w:vAlign w:val="bottom"/>
            <w:gridSpan w:val="2"/>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interest</w:t>
            </w:r>
          </w:p>
        </w:tc>
        <w:tc>
          <w:tcPr>
            <w:tcW w:w="96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Class A Ordinary Shares in exchange for private placement warrants</w:t>
            </w:r>
          </w:p>
        </w:tc>
        <w:tc>
          <w:tcPr>
            <w:tcW w:w="960" w:type="dxa"/>
            <w:vAlign w:val="bottom"/>
            <w:gridSpan w:val="2"/>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6,230</w:t>
            </w:r>
          </w:p>
        </w:tc>
        <w:tc>
          <w:tcPr>
            <w:tcW w:w="220" w:type="dxa"/>
            <w:vAlign w:val="bottom"/>
          </w:tcPr>
          <w:p>
            <w:pPr>
              <w:spacing w:after="0"/>
              <w:rPr>
                <w:sz w:val="12"/>
                <w:szCs w:val="12"/>
                <w:color w:val="auto"/>
              </w:rPr>
            </w:pP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redeemable noncontrolling interest from redemption value to carrying value</w:t>
            </w:r>
          </w:p>
        </w:tc>
        <w:tc>
          <w:tcPr>
            <w:tcW w:w="96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7,017</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Accretion of redeemable noncontrolling interest to redemption value</w:t>
            </w:r>
          </w:p>
        </w:tc>
        <w:tc>
          <w:tcPr>
            <w:tcW w:w="960" w:type="dxa"/>
            <w:vAlign w:val="bottom"/>
            <w:gridSpan w:val="2"/>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4,577</w:t>
            </w:r>
          </w:p>
        </w:tc>
        <w:tc>
          <w:tcPr>
            <w:tcW w:w="220" w:type="dxa"/>
            <w:vAlign w:val="bottom"/>
          </w:tcPr>
          <w:p>
            <w:pPr>
              <w:spacing w:after="0"/>
              <w:rPr>
                <w:sz w:val="12"/>
                <w:szCs w:val="12"/>
                <w:color w:val="auto"/>
              </w:rPr>
            </w:pP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Unpaid ATM transaction costs included in accounts payable and accrued expenses</w:t>
            </w:r>
          </w:p>
        </w:tc>
        <w:tc>
          <w:tcPr>
            <w:tcW w:w="96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Restricted share units withheld to pay employee withholding taxes that are included in accounts payable and accrued expenses</w:t>
            </w:r>
          </w:p>
        </w:tc>
        <w:tc>
          <w:tcPr>
            <w:tcW w:w="960" w:type="dxa"/>
            <w:vAlign w:val="bottom"/>
            <w:gridSpan w:val="2"/>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220" w:type="dxa"/>
            <w:vAlign w:val="bottom"/>
          </w:tcPr>
          <w:p>
            <w:pPr>
              <w:spacing w:after="0"/>
              <w:rPr>
                <w:sz w:val="12"/>
                <w:szCs w:val="12"/>
                <w:color w:val="auto"/>
              </w:rPr>
            </w:pP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property and equipment included in accounts payable and accrued expenses</w:t>
            </w:r>
          </w:p>
        </w:tc>
        <w:tc>
          <w:tcPr>
            <w:tcW w:w="96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Accrued 2023 Lilly License consideration</w:t>
            </w:r>
          </w:p>
        </w:tc>
        <w:tc>
          <w:tcPr>
            <w:tcW w:w="960" w:type="dxa"/>
            <w:vAlign w:val="bottom"/>
            <w:gridSpan w:val="2"/>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Deemed dividend to redeemable noncontrolling interest</w:t>
            </w:r>
          </w:p>
        </w:tc>
        <w:tc>
          <w:tcPr>
            <w:tcW w:w="96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Class A Ordinary shares for 2023 Lilly License</w:t>
            </w:r>
          </w:p>
        </w:tc>
        <w:tc>
          <w:tcPr>
            <w:tcW w:w="960" w:type="dxa"/>
            <w:vAlign w:val="bottom"/>
            <w:gridSpan w:val="2"/>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of Series A-1 convertible preferred shares for Class A Ordinary Shares</w:t>
            </w:r>
          </w:p>
        </w:tc>
        <w:tc>
          <w:tcPr>
            <w:tcW w:w="96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Share-based equity issuance costs</w:t>
            </w:r>
          </w:p>
        </w:tc>
        <w:tc>
          <w:tcPr>
            <w:tcW w:w="960" w:type="dxa"/>
            <w:vAlign w:val="bottom"/>
            <w:gridSpan w:val="2"/>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Settlement of research and development license consideration liability</w:t>
            </w:r>
          </w:p>
        </w:tc>
        <w:tc>
          <w:tcPr>
            <w:tcW w:w="96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Assumption of public and private placement warrants in connection with Business Combination</w:t>
            </w:r>
          </w:p>
        </w:tc>
        <w:tc>
          <w:tcPr>
            <w:tcW w:w="960" w:type="dxa"/>
            <w:vAlign w:val="bottom"/>
            <w:gridSpan w:val="2"/>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Reclassification of deferred offering costs to additional paid-in capital</w:t>
            </w:r>
          </w:p>
        </w:tc>
        <w:tc>
          <w:tcPr>
            <w:tcW w:w="96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Reclassification of public warrant liability to equity</w:t>
            </w:r>
          </w:p>
        </w:tc>
        <w:tc>
          <w:tcPr>
            <w:tcW w:w="960" w:type="dxa"/>
            <w:vAlign w:val="bottom"/>
            <w:gridSpan w:val="2"/>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Call Right to noncontrolling interest</w:t>
            </w:r>
          </w:p>
        </w:tc>
        <w:tc>
          <w:tcPr>
            <w:tcW w:w="96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Zura Bio Limited, a Cayman Islands exempted company, formerly known as JATT Acquisition Corp (“JATT”), together with its subsidiaries (collectively, the “Company” or “Zura” or “Zura Bio”), is a clinical-stage biotechnology company advancing immunology assets into Phase 2 development programs, including crebankitug (ZB-168), a high affinity, fully human monoclonal antibody that neutralizes the anti-IL7Ra chain, which it has licensed from Pfizer, Inc. (“Pfizer”), as well as torudokimab (ZB-880), a high affinity monoclonal antibody that neutralizes IL-33, and tibulizumab (ZB-106), a tetravalent bispecific antibody relating to IL-17 and BAFF, which it has licensed from Eli Lilly and Company (“Lilly”). The Company’s accounting predecessor, Zura Bio Limited (herein referred to as “Legacy Zura”), was formed in the United Kingdom (“UK”) on January 18, 2022 (“Inception”).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20, 2023 (the “Closing Date”), the Company consummated the previously announced business combination (the “Business Combination”), pursuant to the terms of a business combination agreement (the “Business Combination Agreement”), dated as of June 16, 2022 (as amended on September 20, 2022, November 14, 2022, and January 13, 2023), by and among JATT, JATT Merger Sub, JATT Merger Sub 2, Zura Bio Holdings Ltd. (“Holdco”), and Legacy Zura. Pursuant to the Business Combination Agreement, (a) before the closing of the Business Combination, Holdco was established as a new holding company of Legacy Zura and became a party to the Business Combination Agreement; and (b) on the Closing, in sequential order: (i) Merger Sub merged with and into Holdco, with Holdco continuing as the surviving company and a wholly owned subsidiary of JATT; (ii) immediately following the Merger, Holdco merged with and into Merger Sub 2, with Merger Sub 2 continuing as the surviving company and a wholly owned subsidiary of JATT; and (iii) JATT changed its name to “Zura Bio Limited”.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Combination has been accounted for as a reverse recapitalization, with Legacy Zura being the accounting acquirer and JATT as the acquired company for accounting purposes. Accordingly, all historical financial information presented in the unaudited condensed consolidated financial statements represent the accounts of Legacy Zura. The shares and net loss per share attributable to ordinary shareholders of Legacy Zura prior to the Closing Date have been retroactively restated as shares reflecting the exchange ratio established in the Business Combination Agreement.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JATT’s public shares, public warrants, and public units were listed on the New York Stock Exchange (“NYSE”) under the symbols “JATT,” “JATT.WS,” and “JATT.U,” respectively. On March 20, 2023, the Company’s Class A ordinary shares (“Class A Ordinary Shares”) and public warrants began trading on the Nasdaq Stock Market LLC (“Nasdaq”) under the symbols “ZURA” and “ZURAW,” respectively. On August 27, 2024, the Public Warrants (as defined herein) were no longer listed on the Nasdaq in connection with the completion of the Warrant Exchange (as defined herein). See Note 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the extended transition period for complying with new or revised accounting standards, and as a result of this election, the consolidated financial statements may not be comparable to companies that comply with public company Financial Accounting Standards Board (“FASB”) standards’ effective dates. The Company may take advantage of these exemptions up until the last day of the fiscal year following the fifth anniversary of an offering or such earlier time that it is no longer an emerging growth company. The Company expects to no longer be an emerging growth company effective December 31, 2026.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sectPr>
      </w:pPr>
    </w:p>
    <w:bookmarkStart w:id="11" w:name="page12"/>
    <w:bookmarkEnd w:id="11"/>
    <w:p>
      <w:pPr>
        <w:ind w:left="660" w:hanging="328"/>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(the “condensed consolidated financial statements”) have been prepared in conformity with accounting principles generally accepted in the United States of America (“U.S. GAAP”) and include the accounts of its consolidated subsidiaries. Other shareholders’ interests in the Company’s subsidiaries, Z33 Bio, Inc. (“Z33”) and ZB17 LLC (“ZB17”), are shown in the condensed consolidated financial statements as redeemable noncontrolling interest and noncontrolling interest, respectively. All intercompany balances and transactions have been eliminated in consolidation. If necessary, reclassification of amounts previously reported have been made in the accompanying condensed consolidated financial statements in order to conform to current presentation.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U.S. GAAP applicable to interim financial statements. These condensed consolidated financial statements are presented in accordance with the rules and regulations of the U.S. Securities and Exchange Commission (“SEC”) and do not include all disclosures normally required in annual consolidated financial statements prepared in accordance with U.S. GAAP. As such, the information included herein should be read in conjunction with the Company’s consolidated financial statements and accompanying notes as of and for the year ended December 31, 2023 (the “audited consolidated financial statements”) that were included in the Company’s Form 10-K filed with the SEC on March 28, 2024. In management’s opinion, these unaudited condensed consolidated financial statements have been prepared on the same basis as the annual consolidated financial statements and reflect all adjustments, which include normal recurring adjustments, necessary for the fair statement of the Company’s financial position as of September 30, 2024 and the results of operations for the three months ended September 30, 2024 and 2023 and for the nine months ended September 30, 2024 and 2023. The results of operations for the nine months ended September 30, 2024 are not necessarily indicative of the results to be expected for the full year ending December 31, 2024 or any other future interim or annual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addition of property and equipment and the update for the Warrant Exchange, there have been no significant changes in the Company’s significant accounting policies from those that were disclosed in Note 2, Summary of Significant Accounting Policies, included in the Company’s consolidated financial statements in Form 10-K filed with the SEC on March 28,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the Company’s management to make estimates and assumptions that affect the reported amounts of assets and liabilities and disclosure of contingent assets and liabilities at the date of the condensed consolidated financial statements, as well as the reported amounts of expenses during the reporting period. Actual results could differ from those estimates. Significant estimates and assumptions reflected in the condensed consolidated financial statements relate to and include, but are not limited to, the fair value of Class A Ordinary Shares and other assumptions used to measure share-based compensation, the fair value of redeemable noncontrolling interest, and the fair value of public and private placement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early-stage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future product candidates will require approvals from the U.S. Food and Drug Administration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 adverse impact on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significant cash balances at financial institutions which throughout the year regularly exceed the federally insured limit of $250,000. Any loss incurred or a lack of access to such funds could have a significant adverse impact on the Company’s financial condition, results of operations, and cash flows.</w:t>
      </w:r>
    </w:p>
    <w:p>
      <w:pPr>
        <w:sectPr>
          <w:pgSz w:w="11900" w:h="16838" w:orient="portrait"/>
          <w:cols w:equalWidth="0" w:num="1">
            <w:col w:w="9920"/>
          </w:cols>
          <w:pgMar w:left="980" w:top="126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estimated useful life of each asset. Computer and office equipment are depreciated over three years. Expenditures for repairs and maintenance are recorded to expense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assumed JATT’s public warrant and private placement warrant liabilities. As a result of the recapitalization, the settlement provisions of the Public Warrants no longer preclude equity classification and the Public Warrants were reclassified to equity following the Business Combination. The Public Warrants and Private Placement Warrants (as defined herein) were exchanged for Class A Ordinary Shares during the three months ended September 30, 2024 (the “Warrant Exchange”). See Note 7.</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each of the April 2024 Private Placement and April 2023 Private Placement (each as defined herein), the Company issued pre-funded warrants instruments.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Classification of the Public Warrants and Pre-Funded Warrants (as defined herein) as equity instruments and the Private Placement Warrants as liability instruments is based on management’s analysis of the guidance in ASC 815. The Company measured the private placement warrant liability at fair value each reporting period and at settlement value, based on the fair value of the Class A Ordinary Shares exchanged, upon the Warrant Exchange, with the change in fair value recorded as other (expense) income in the consolidated statements of operations. Upon completion of the Warrant Exchange, the warrant liability was extinguished and the Class A Ordinary Shares were recorded at fair value in stockholders’ equity. The Company measured the Public Warrants at the fair value of the equity instruments as of the Closing Date of the Business Combination. The Company measured the Pre-Funded Warrants at the fair value of the equity instruments as of the date of the April 2023 Private Placement, the April 2024 Private Placement or the Share Exchange (as defined herein), as applicable. See Note 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Class A Ordinary Shareholders by the weighted-average number of Class A Ordinary Shares outstanding during the period. Diluted net loss per share excludes the potential impact of the Company’s convertible preferred shares and options to purchase Class A Ordinary Shares because their effect would be anti-dilutive due to the Company’s net loss for the period presented. Since the Company had a net loss in the periods presented, basic and diluted net loss per share are the same.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provides potentially dilutive securities not included in the calculation of the diluted net loss per share as of the periods presented because to do so would be anti-dilutive: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0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options to purchase Class A Ordinary Shares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9,318,906</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5,681,471</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Z33 Put Right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vesting of restricted share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1,050,720</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1,713,018</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374,995</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499,993</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warrants to purchase Class A Ordinary Shares</w:t>
            </w: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12,809,996</w:t>
            </w: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12,744,621</w:t>
            </w:r>
          </w:p>
        </w:tc>
        <w:tc>
          <w:tcPr>
            <w:tcW w:w="2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22,704,478</w:t>
            </w:r>
          </w:p>
        </w:tc>
      </w:tr>
      <w:tr>
        <w:trPr>
          <w:trHeight w:val="20"/>
        </w:trPr>
        <w:tc>
          <w:tcPr>
            <w:tcW w:w="7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position, results of operations, or cash flows upon adoption.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(“ASU 2023-07”). ASU 2023-07 requires disclosure of significant segment expenses that are regularly provided to the chief operating decision maker and included within the segment measure of profit or loss. This guidance will be applied retrospectively and is effective for annual reporting periods in fiscal years beginning after December 15, 2023, and interim reporting periods in fiscal years beginning after December 31, 2024. The Company does not expect implementation of the new guidance to have a material impact on its consolidated financial statements and disclosures.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annual disclosures of specific categories in the rate reconciliation, additional information for reconciling items that meet a quantitative threshold and a disaggregation of income taxes paid, net of refunds. ASU 2023-09 also eliminates certain existing disclosure requirements related to uncertain tax positions and unrecognized deferred tax liabilities. ASU 2023-09 is effective for the Company beginning with the 2025 Annual Report on Form 10-K. Early adoption is permitted. ASU 2023-09 should be applied prospectively. Retrospective adoption is permitted. The Company is currently assessing the impact this standard will have on the Company’s consolidated financial statements.</w:t>
      </w:r>
    </w:p>
    <w:p>
      <w:pPr>
        <w:spacing w:after="0" w:line="18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ind w:lef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identical or similar assets or liabilities in markets that are not active, or other inputs that are observable or can be corroborated by observable market data for substantially the full term of the related assets or liabilities; and</w:t>
      </w:r>
    </w:p>
    <w:p>
      <w:pPr>
        <w:spacing w:after="0" w:line="171" w:lineRule="exact"/>
        <w:rPr>
          <w:sz w:val="20"/>
          <w:szCs w:val="20"/>
          <w:color w:val="auto"/>
        </w:rPr>
      </w:pPr>
    </w:p>
    <w:p>
      <w:pPr>
        <w:jc w:val="both"/>
        <w:ind w:left="44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significant to the measurement of the fair value of the assets or liabilities that are supported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little or no market data.</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consist of cash and cash equivalents, prepaid and other current assets, accounts payable and accrued expenses, and private placement warrants. The carrying values of the Company’s cash, prepaid and other current assets, and accounts payable and accrued expenses approximate their fair value due to the short-term maturity of these instruments.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as of September 30, 2024 and December 31, 2023, and the fair value hierarchy of the valuation techniques utilized.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186,637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186,637</w:t>
            </w:r>
          </w:p>
        </w:tc>
      </w:tr>
      <w:tr>
        <w:trPr>
          <w:trHeight w:val="360"/>
        </w:trPr>
        <w:tc>
          <w:tcPr>
            <w:tcW w:w="40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97,913</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into or out of Level 1, Level 2, or Level 3 during the three and nine months ended September 30, 2024. There are no outstanding Private Placement Warrants as of September 30, 2024. See Note 8.</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9"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8, 2022, the Company received $7.6 million in net proceeds from the issuance of a promissory note (the “Note”) issued to Hydra, LLC (“Hydra”) with a face amount of $8.0 million. The Note was repaid on March 20, 2023, upon the consummation of the Business Combination. The Company elected to account for the Note at fair value. Upon the Closing Date of the Business Combination, the Note was remeasured to the settlement value and subsequently repaid for a total of $10.0 million. The Company recorded a loss on remeasurement of the Note of $2.2 million for the nine months ended September 30, 2023 within change in fair value of note payable in the condensed consolidated statement of operations. The Note was no longer outstanding as of September 30, 2024 and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license consideration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consideration for the 2022 Lilly License (see Note 5), Lilly agreed to receive either 550,000 Zura Class A Ordinary Shares upon the closing of the Business Combination (subject to certain lock-up provisions) or 4,702,867 shares of Z33 Series Seed Preferred Shares (the subsidiary redeemable preferred shares) if the Business Combination was not consummated. The arrangement was liability classified and remeasured at fair value at each reporting date (the research and development license consideration liability).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Closing Date of the Business Combination, the liability was remeasured to its settlement value and subsequently settled through the issuance of 550,000 Class A Ordinary Shares of Zura. The aggregate fair value of the Class A Ordinary Shares of Zura issued to Lilly was determined to be $4.5 million, or $8.16 per share. The Company recorded a loss on the remeasurement of the research and development license consideration liability of $1.9 million for the nine months ended September 30, 2023 within research and development in the condensed consolidated statements of operations. The research and development license consideration liability was no longer outstanding as of September 30, 2024 and December 31,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2024, pursuant to the Warrant Exchange, the Company exchanged all of the outstanding Private Placement Warrants for Class A Ordinary Shares. See Note 7. The Private Placement Warrants were measured at fair value on a recurring basis. Because the transfer of Private Placement Warrants to non-permitted transferees would result in the Private Placement Warrants having substantially the same terms as the Public Warrants, the Company determined that the fair value of each Private Placement Warrant is consistent with that of a Public Warrant. Accordingly, the Private Placement Warrants are classified as Level 2 financial instruments. Upon completion of the Warrant Exchange, the Private Placement Warrants were remeasured to settlement value which was determined based on the fair value of the Class A Ordinary Shares issued in exchange for the Private Placement Warrants. The following table provides a summary of changes in the estimated fair value of the Private Placement Warrants: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For the Nine</w:t>
            </w:r>
          </w:p>
        </w:tc>
      </w:tr>
      <w:tr>
        <w:trPr>
          <w:trHeight w:val="149"/>
        </w:trPr>
        <w:tc>
          <w:tcPr>
            <w:tcW w:w="8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73"/>
        </w:trPr>
        <w:tc>
          <w:tcPr>
            <w:tcW w:w="8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of private placement warrants for Class A Ordinary Shares</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is comprised of the following as of September 30, 2024 and December 31,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r>
              <w:rPr>
                <w:rFonts w:ascii="Times New Roman" w:cs="Times New Roman" w:eastAsia="Times New Roman" w:hAnsi="Times New Roman"/>
                <w:sz w:val="21"/>
                <w:szCs w:val="21"/>
                <w:color w:val="auto"/>
                <w:vertAlign w:val="superscript"/>
              </w:rPr>
              <w:t>1</w:t>
            </w:r>
          </w:p>
        </w:tc>
      </w:tr>
      <w:tr>
        <w:trPr>
          <w:trHeight w:val="210"/>
        </w:trPr>
        <w:tc>
          <w:tcPr>
            <w:tcW w:w="6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2023 Lilly License costs</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withholding taxes payable</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20,302</w:t>
            </w:r>
          </w:p>
        </w:tc>
      </w:tr>
      <w:tr>
        <w:trPr>
          <w:trHeight w:val="20"/>
        </w:trPr>
        <w:tc>
          <w:tcPr>
            <w:tcW w:w="24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9"/>
        </w:trPr>
        <w:tc>
          <w:tcPr>
            <w:tcW w:w="2480" w:type="dxa"/>
            <w:vAlign w:val="bottom"/>
            <w:tcBorders>
              <w:bottom w:val="single" w:sz="8" w:color="auto"/>
            </w:tcBorders>
          </w:tcPr>
          <w:p>
            <w:pPr>
              <w:spacing w:after="0"/>
              <w:rPr>
                <w:sz w:val="5"/>
                <w:szCs w:val="5"/>
                <w:color w:val="auto"/>
              </w:rPr>
            </w:pPr>
          </w:p>
        </w:tc>
        <w:tc>
          <w:tcPr>
            <w:tcW w:w="4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tcPr>
          <w:p>
            <w:pPr>
              <w:spacing w:after="0"/>
              <w:rPr>
                <w:sz w:val="5"/>
                <w:szCs w:val="5"/>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Comparative figures have been reclassified to conform with current period presentation.</w:t>
      </w:r>
    </w:p>
    <w:p>
      <w:pPr>
        <w:sectPr>
          <w:pgSz w:w="11900" w:h="16838" w:orient="portrait"/>
          <w:cols w:equalWidth="0" w:num="1">
            <w:col w:w="9920"/>
          </w:cols>
          <w:pgMar w:left="980" w:top="12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type w:val="continuous"/>
        </w:sectPr>
      </w:pPr>
    </w:p>
    <w:bookmarkStart w:id="15" w:name="page16"/>
    <w:bookmarkEnd w:id="15"/>
    <w:p>
      <w:pPr>
        <w:ind w:left="660" w:hanging="328"/>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22, 2022, the Company entered into a license agreement and a Series A-1 Subscription and Shareholder’s Agreement (collectively, the “Pfizer Agreement”) with Pfizer. The Company is obligated to make 11 future development and regulatory milestone payments aggregating up to $70.0 million and sales milestone payments up to an aggregate of $525.0 million based on respective thresholds of net sales of products (developed from the licensed compound) (the “Products”), if any. The Company will also pay an annual earned royalty at a marginal royalty rate in the mid-single digits to low double digits (less than 20%), based on thresholds of net sales of Products, if any. Royalties are payable on a country-by-country basis for a certain period of years or upon the later expiration of regulatory exclusivity of the Company’s Products in a country.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the first $1.0 million development milestone as a component of research and development in the consolidated statement of operations during the year ended December 31, 2023. This amount was fully paid to Pfizer during the nine months ended September 30, 2024. The Company does not owe any other amounts under the Pfizer Agreement as of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Lonza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2022, the Company entered into a license agreement (the “Lonza License”) with Lonza Sales AG (“Lonza”)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is free to terminate the Lonza License at any time upon 60 days’ notice, with or without cause. Lonza may terminate the Lonza License for cause upon a breach by the Company or for other commercially standard reasons.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October 2023, the Company began drug substance manufacturing with a third party. As a result of manufacturing with a third party other than Lonza, under the terms of the Lonza License the Company had a license fee of $0.4 million due in the fourth quarter of 2023 and annually thereafter. This fee was recorded in the condensed consolidated statement of operations in the fourth quarter of 2023 and was paid during the nine months ended September 30, 2024. As of September 30, 2024, there are no payments currently due under the Lonza License.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Lilly License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8, 2022, the Company’s consolidated subsidiary, Z33 Bio Inc.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finder’s fee in connection with arranging the acquisition, Z33 issued to Stone Peach Properties, LLC (“Stone Peach”) 4,900,222 shares of Z33 Series Seed Preferred Shares, which is included in the measurement of the cost of the acquired asset. Zura has the right, but not the obligation to purchase up to 50% of the Series Seed Preferred Shares issued to Stone Peach at a price per share of $2.448869 for a period of two years from the date of the agreement (the “Call Option”). Stone Peach has the right, but not the obligation to sell up to 50% of the Series Seed Preferred Shares issued to Stone Peach to Zura for a price per share of $2.040724 (the “Put Option”). Stone Peach may exercise its option at any time between the first anniversary and the second anniversary of the transaction. In April 2023, the Company agreed to, within six months of April 24, 2023, exercise its Call Option on 50% of the Z33 Series Seed Preferred Shares previously issued to Stone Peach. The Company agreed to settle its Call Option by issuing 2,000,000 Class A Ordinary Shares. In November 2023, the Company and Stone Peach amended the terms of the agreement, voiding the Company’s obligation to exercise its Call Option, and instead reverting the Company’s rights and obligations under the Call Option back to that of the original agreement. Stone Peach, in addition to the existing Put Option, was granted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under the new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sectPr>
      </w:pPr>
    </w:p>
    <w:bookmarkStart w:id="16" w:name="page17"/>
    <w:bookmarkEnd w:id="16"/>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obligated to pay $3.0 million to Lilly under the 2022 Lilly License upon the completion of a financing by the Company with gross proceeds exceeding $100 million. The Company is further obligated to make 10 commercial, development and regulatory milestone payments up to an aggregate of $155.0 million and sales milestone payments up to an aggregate of $440.0 million based on respective thresholds of net sales of products developed from the licensed compound, if any. The Company will also pay an annual earned royalty to Lilly at a marginal royalty rate between in the mid-single to low-double digits (less than 20%), with increasing rates based on net sales in the respective calendar year, based on a percentage of sales within varying thresholds for a certain period of the year, if any. The Company will account for these contingent milestone payments when they become due. As of September 30, 2024, none of the contingent milestone payments were due.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Lilly License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the Company’s newly-formed subsidiary ZB17 LLC (“ZB17”) entered into a license agreement (the “2023 Lilly License” and, together with the 2022 Lilly License, the “Lilly Licenses”) with Lilly, for an exclusive license to develop, manufacture and commercialize a certain bispecific antibody relating to IL-17 and BAFF (“ZB-106”). ZB17 made a payment of $5.0 million to Lilly during the nine months ended September 30, 2024 in connection with the receipt of certain know-how, data, information and materials that Lilly was required to provide under the license agreement.</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finder’s fee for arranging the acquisition of the 2023 Lilly License, ZB17 granted to Stone Peach the right, but not the obligation, to purchase 4.99% of the fully diluted equity of ZB17 for $1.0 million (the “Stone Peach Call Right”). The Stone Peach Call Right is not exercisable until after the last patient is dosed in any single next clinical trial with ZB-106 and expires one year from the date of first indication approval for ZB-106 by the FDA or the European Medicines Agency (“EMA”). The Stone Peach Call Right represents noncontrolling interest in the Company’s subsidiary, ZB17. As of September 30, 2024, and December 31, 2023, the noncontrolling interest balance was $1.5 million.</w:t>
      </w:r>
    </w:p>
    <w:p>
      <w:pPr>
        <w:spacing w:after="0" w:line="17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As additional consideration, Stone Peach receives annual payments first of $0.6 million, and increasing by 10% annually, so long as the Company maintains its license for ZB-106 on May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year. An annual payment of $0.7 million became due and was paid during the three months ended June 30, 2024. The Company recorded this payment within research and development expense in the condensed consolidated statement of operations.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finder’s fee for arranging the acquisition of the 2023 Lilly License, the Company agreed to make a one-time milestone payment of $5.0 million to BAFFX17, Ltd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 As the Company’s fully diluted shares outstanding exceeded 52,500,000 shares prior to December 31, 2023, the $5.0 million fee was recorded in accounts payable and accrued expenses in the condensed consolidated balance sheet as of September 30, 2024 and December 31, 2023.</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obligated to make 4 development milestone payments to Lilly up to an aggregate of $155.0 million, and sales milestone payments up to an aggregate of $440 million based on respective thresholds of net sales. The Company is also obligated to pay Lilly over a multi-year period (twelve years, or upon the later expiration of regulatory exclusivity of ZB-106 in a country) an annual earned royalty at a marginal royalty rate in the mid-single digits to low-double digits, with increasing rates depending on net sales in the respective calendar year, based on a percentage of sales within varying thresholds for a certain period of years. The Company is also obligated to pay BAFFX17 a fee equal to 3% of any milestone or royalty payments due to Lilly pursuant to the terms of either the 2022 Lilly License and the 2023 Lilly License with Lilly. Upon receiving written approval from the FDA, EMA, or similar regulatory authority of an Investigational New Drug (“IND”) and the commencement of a clinical trial in the applicable jurisdiction for ZB-106, Stone Peach will also receive a one-time payment of $4.5 million. Stone Peach will also receive a one-time milestone payment of $25 million upon either</w:t>
      </w:r>
    </w:p>
    <w:p>
      <w:pPr>
        <w:spacing w:after="0" w:line="6" w:lineRule="exact"/>
        <w:rPr>
          <w:sz w:val="20"/>
          <w:szCs w:val="20"/>
          <w:color w:val="auto"/>
        </w:rPr>
      </w:pPr>
    </w:p>
    <w:p>
      <w:pPr>
        <w:jc w:val="both"/>
        <w:ind w:firstLine="8"/>
        <w:spacing w:after="0" w:line="253" w:lineRule="auto"/>
        <w:tabs>
          <w:tab w:leader="none" w:pos="24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equity-related transactions, or (ii) the receipt of regulatory approval from the applicable regulatory authority for any new indication in the applicable jurisdiction. Furthermore, Stone Peach was granted a royalty of 2% of the aggregate net sales of any products developed from the licensed compound. The Company will account for these contingent development milestone payments when they become due. As of September 30, 2024, none of the contingent development milestone payments were due.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9"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WuXi Biologics License</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2023, the Company entered into a cell line license agreement (the “Cell Line License Agreement”) with WuXi Biologics and its Affiliates (“WuXi Biologics”) for certain of WuXi Biologics’ know – 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If the Company manufactures all of its commercial supplies of bulk drug product for WuXi Biologics Licensed Products with a manufacturer other than WuXi Biologics or its affiliates, the Company is required to make royalty payments to WuXi Biologics in an amount equal to a fraction of a single digit percentage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 The Cell Line License Agreement will continue indefinitely unless terminated (i) by the Company upon three months’ prior written notice and its payment of all undisputed amounts due to WuXi Biologics through the effective date of termination, (ii) by WuXi Biologics for a material breach by the Company that remains uncured for 30 days after written notice, or (iii) by WuXi Biologics if the Company fails to make a payment and such failure continues for 30 days after receiving notice of such failure. As of September 30, 2024, there are no payments currently due under the Cell Line License Agreement.</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Date of the Business Combination, Pfizer was issued additional Series A-1 convertible preferred shares upon the closing of the Business Combination that were immediately converted to 267,939 Class A Ordinary Shares. The shares were issued in accordance with the anti-dilution provision of the Pfizer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Closing Date and in accordance with the terms and subject to the conditions of the Business Combination, each Class A Ordinary Share of Legacy Zura, par value $0.001 per share, Series A-1 convertible preferred share, outstanding option (whether vested or unvested), and restricted share unit (whether vested or unvested) were canceled and converted into a comparable number of awards that consisted of either the rights to receive or acquire the Company’s Class A Ordinary Shares, par value $0.0001 per share, as determined by the exchange ratio pursuant to the Business Combination Agreement. The exchange ratio is approximately 108.083.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16, 2023, in connection with the closing of the Business Combination and effective upon the Closing Date, the Company authorized 300,000,000 Class A Ordinary Shares, par value of $0.0001 and 1,000,000 preferred shares, par value of $0.0001.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and ATM Program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filed a shelf registration statement on Form S-3 (the “Shelf Registration Statement”), which was declared effective on September 17, 2024. Pursuant to the Shelf Registration Statement, the Company may offer and sell ordinary shares, preference shares, debt securities, warrants and or units having an aggregate public offering price of up to $300.0 million. In connection with the filing of the Shelf Registration Statement, the Company also entered into a sales agreement (the “Sales Agreement”) with Leerink Partners LLC (“Leerink Partners”), relating to the sale of the Company’s Class A Ordinary Shares having an aggregate gross sales price of up to $125.0 million, from time to time through Leerink Partners, acting as sales agent (the “ATM”). The Company incurred $0.6 million of offering expenses in connection with establishing the ATM that reduced additional paid-in capital as of September 30,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18, 2024, the Company sold 1,500,000 Class A Ordinary Shares at a price of $3.80 per share under the ATM, for net proceeds of $5.5 million, after underwriting commissions.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Warrant Exchange, the Company issued 3,782,190 Class A Ordinary Shares. See Note 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of Class A Ordinary Shares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15, 2024, the Company entered into a share surrender and warrant agreement (the “Share Exchange Agreement”) with certain affiliated shareholders (the “Shareholders”), pursuant to which (i) the Shareholders surrendered an aggregate of 4,000,000 Class A Ordinary Shares owned by the Shareholders, for no consideration, which were immediately cancelled and retired, upon surrender; and</w:t>
      </w:r>
    </w:p>
    <w:p>
      <w:pPr>
        <w:spacing w:after="0" w:line="1" w:lineRule="exact"/>
        <w:rPr>
          <w:sz w:val="20"/>
          <w:szCs w:val="20"/>
          <w:color w:val="auto"/>
        </w:rPr>
      </w:pPr>
    </w:p>
    <w:p>
      <w:pPr>
        <w:ind w:firstLine="8"/>
        <w:spacing w:after="0" w:line="260"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pre-funded warrants to purchase an aggregate of 4,000,000 Ordinary Shares, with an exercise price of $0.001 per share (the “Share Exchange Warrants”) (the “Share Exchange”).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2024 Private Placement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18, 2024, the Company entered into subscription agreements (the “Investor Agreements”) with certain institutional and other accredited investors (the “Investors”), whereby the Company agreed to issue 18,732,301 Class A Ordinary Shares at a price of $3.108 per share and pre-funded warrants to purchase up to 16,102,348 Class A Ordinary Shares (the “2024 Pre-Funded Warrants”) at a price of $3.107 per 2024 Pre-Funded Warrant for an aggregate purchase price of $108.3 million. See Note 7 for further information about the 2024 Pre-Funded Warrants.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18, 2024, the Company also entered into subscription agreements (the “Insider Agreements” and together with the Investor Agreements, the “April 2024 Private Placement”) with certain officers, directors and affiliates of the Company (“Insiders” and together with the Investors, the “Subscribers”), whereby the Company issued 1,357,827 Class A Ordinary Shares at a price of $3.13 per share for an aggregate purchase price of $4.2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April 2024 Private Placement closed on April 22, 2024, from which the Company received total gross proceeds of approximately $112.5 million, before deducting transaction costs of $7.2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Reserved for Issuance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shares reserved for issuance as of September 30, 2024 is summarized below:</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7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warrants to purchase Class A Ordinary Shares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23,884,348</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options to purchase Class A Ordinary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11,308,838</w:t>
            </w: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available for grant under 2023 Equity Incentive Plan and 2023 Employee Share</w:t>
            </w:r>
          </w:p>
        </w:tc>
        <w:tc>
          <w:tcPr>
            <w:tcW w:w="1240" w:type="dxa"/>
            <w:vAlign w:val="bottom"/>
            <w:shd w:val="clear" w:color="auto" w:fill="CCEEFF"/>
          </w:tcPr>
          <w:p>
            <w:pPr>
              <w:spacing w:after="0"/>
              <w:rPr>
                <w:sz w:val="17"/>
                <w:szCs w:val="17"/>
                <w:color w:val="auto"/>
              </w:rPr>
            </w:pPr>
          </w:p>
        </w:tc>
      </w:tr>
      <w:tr>
        <w:trPr>
          <w:trHeight w:val="234"/>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Plan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2,711,586</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Z33 Series Seed Preferred Shares Put Right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release of restricted share units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1,056,720</w:t>
            </w:r>
          </w:p>
        </w:tc>
      </w:tr>
      <w:tr>
        <w:trPr>
          <w:trHeight w:val="210"/>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shares reserved for issuance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40,961,492</w:t>
            </w:r>
          </w:p>
        </w:tc>
      </w:tr>
      <w:tr>
        <w:trPr>
          <w:trHeight w:val="20"/>
        </w:trPr>
        <w:tc>
          <w:tcPr>
            <w:tcW w:w="6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12, 2024, the Company commenced an exchange offer (the “Exchange Offer”) and consent solicitation (the “Consent Solicitation”) relating to its outstanding warrants that it assumed in connection with the business combination, including (i) public warrants to purchase 5,910,000 Class A Ordinary Shares (the “Public Warrants”) that were held by JATT, and (ii) private placement warrants to purchase 6,899,996 Class A Ordinary Shares (the “Private Placement Warrants”) that were held by JATT shareholders (together with the Public Warrants, the “IPO warrants”). The Company offered to all holders of the IPO warrants the opportunity to receive 0.30 Class A ordinary shares in exchange for each outstanding IPO warrant tendered by the holder and exchanged pursuant to the Exchange Offer. Concurrently with the Exchange Offer, the Company also solicited consents from holders of the IPO warrants to amend that certain warrant agreement, dated as of July 16, 2021, by and between the Company and Continental Stock Transfer &amp; Trust Company (“CST”), as warrant agent (the “Warrant Agreement”) to permit the Company to require that each IPO warrant outstanding upon the closing of the Exchange Offer be exchanged for 0.27 Class A ordinary shares, which is a ratio 10% less than the exchange ratio applicable to the Exchange Offer. Pursuant to the terms of the Warrant Agreement, all except certain specified modifications or amendments required the vote or written consent of holders of at least a majority of the outstanding public warrants and a majority of the outstanding private placement warrants.</w:t>
      </w:r>
    </w:p>
    <w:p>
      <w:pPr>
        <w:sectPr>
          <w:pgSz w:w="11900" w:h="16838" w:orient="portrait"/>
          <w:cols w:equalWidth="0" w:num="1">
            <w:col w:w="9920"/>
          </w:cols>
          <w:pgMar w:left="980" w:top="12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type w:val="continuous"/>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On August 12, 2024, the Company completed the Exchange Offer and Consent Solicitation and issued 3,235,184 Class A ordinary shares in exchange for 10,784,008 IPO warrants. In connection with its completion of the Exchange Offer, the Company entered into an amendment, dated August 12, 2024 (the “Warrant Amendment”), to the Warrant Agreement to provide the Company with the right to mandatorily exchange the Company’s remaining outstanding IPO warrants for Class A ordinary shares at an exchange ratio of 0.27 Class A ordinary shares for each IPO warrant. On August 27, 2024, in accordance with the Warrant Amendment, the Company issued 547,006 Class A Ordinary Shares in exchange for the 196,568 outstanding Public Warrants and 1,829,420 outstanding Private Placement Warrants. As a result, there are no outstanding IPO warrants as of September 30, 2024. In connection with the Warrant Exchange, the Company paid out a de minimis amount of cash in lieu of fractional shares.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$1.6 million of costs directly related to the Warrant Exchange, consisting primarily of dealer manager fees and professional, legal, filing, regulatory, and other costs, which are included in general and administrative expenses for the nine months ended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Public Warrants became exercisable into Class A Ordinary Shares commencing 30 days after the Business Combination with an exercise price of $11.50 per share, subject to certain adjustments and would have expired five years from the date of the Business Combination, or earlier upon redemption or liquidation. Each warrant entitled the holder to purchase one share of the Company’s Class A Ordinary Shares at a price of $11.50 per share, subject to certain adjustments.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Public Warrants were redeemable, with 30 days written notice, for cash at a price of $0.01 per warrant if the Reference Value (as defined below) equaled or exceeded $18.00 per share, subject to certain adjustments. The warrant holders had the right to exercise their outstanding warrants prior to the scheduled redemption date at $11.50 per share, subject to certain adjustments. If the Company called the public warrants for redemption, the Company would have the option to require all holders that wished to exercise the Public Warrants to do so on a “cashless basis”, as described in the warrant agreement. For purposes of the redemption, “Reference Value” shall mean the last reported sales price of the Company’s Class A Ordinary Shares for any twenty trading days within the thirty trading-day period ending on the third trading day prior to the date on which notice of the redemption is given.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Public Warrants are no longer outstanding as of September 30, 2024. See </w:t>
      </w:r>
      <w:r>
        <w:rPr>
          <w:rFonts w:ascii="Times New Roman" w:cs="Times New Roman" w:eastAsia="Times New Roman" w:hAnsi="Times New Roman"/>
          <w:sz w:val="18"/>
          <w:szCs w:val="18"/>
          <w:i w:val="1"/>
          <w:iCs w:val="1"/>
          <w:color w:val="auto"/>
        </w:rPr>
        <w:t>“—Warrant Exchange</w:t>
      </w:r>
      <w:r>
        <w:rPr>
          <w:rFonts w:ascii="Times New Roman" w:cs="Times New Roman" w:eastAsia="Times New Roman" w:hAnsi="Times New Roman"/>
          <w:sz w:val="18"/>
          <w:szCs w:val="18"/>
          <w:color w:val="auto"/>
        </w:rPr>
        <w:t>”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Placement Warrants were identical to the Public Warrants, except that the Private Placement Warrants were not transferable, assignable or salable until 30 days after the completion of a Business Combination, subject to certain limited exceptions. Additionally, Private Placement Warrants held by the initial purchasers or their permitted transferees were exercisable on a cashless basis and are non-redeemable.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Private Placement Warrants are no longer outstanding as of September 30, 2024. See </w:t>
      </w:r>
      <w:r>
        <w:rPr>
          <w:rFonts w:ascii="Times New Roman" w:cs="Times New Roman" w:eastAsia="Times New Roman" w:hAnsi="Times New Roman"/>
          <w:sz w:val="18"/>
          <w:szCs w:val="18"/>
          <w:i w:val="1"/>
          <w:iCs w:val="1"/>
          <w:color w:val="auto"/>
        </w:rPr>
        <w:t>“—Warrant Exchange”</w:t>
      </w:r>
      <w:r>
        <w:rPr>
          <w:rFonts w:ascii="Times New Roman" w:cs="Times New Roman" w:eastAsia="Times New Roman" w:hAnsi="Times New Roman"/>
          <w:sz w:val="18"/>
          <w:szCs w:val="18"/>
          <w:color w:val="auto"/>
        </w:rPr>
        <w:t xml:space="preserve">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15, 2024, in conjunction with the Share Exchange Agreement, the Company issued the 4,000,000 Share Exchange Warrants with an exercise price of $0.001 per share and no expiration date. The Share Exchange Warrants are exercisable immediately, are exercisable until such Share Exchange Warrants are exercised in full and have substantially identical terms to the form of 2024 Pre-Funded Warrant (see below). A holder of the Share Exchange Warrants (together with its affiliates and other attribution parties) may not exercise any portion of a Share Exchange Warrant to the extent that immediately prior to or after giving effect to such exercise the holder would beneficially own more than 9.99% of the Company’s outstanding Class A Ordinary Shares immediately after exercise, which percentage may be increased or decreased to any other percentage specified not in excess of 9.99% at the holder’s election upon 61 days’ notice to the Company subject to the terms of the Share Exchange Warrants. See Note 6.</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April 2023 Private Placement, the Company sold to accredited investors pre-funded warrants to purchase up to 3,782,000 Class A Ordinary Shares at a price of $4.249 per pre-funded warrant for an aggregate purchase price of approximately $16.1 million (the “2023 Pre-Funded Warrants”). Each 2023 Pre-Funded Warrant has an exercise price of $0.001 per Class A Ordinary Share and is exercisable for one Class A Ordinary Share at any time or times on or after April 26, 2023, until exercised in full.</w:t>
      </w:r>
    </w:p>
    <w:p>
      <w:pPr>
        <w:sectPr>
          <w:pgSz w:w="11900" w:h="16838" w:orient="portrait"/>
          <w:cols w:equalWidth="0" w:num="1">
            <w:col w:w="9920"/>
          </w:cols>
          <w:pgMar w:left="980" w:top="1269"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9" w:right="999" w:bottom="1440" w:gutter="0" w:footer="0" w:header="0"/>
          <w:type w:val="continuous"/>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April 2024 Private Placement (see Note 6), the Company sold to accredited investors the 2024 Pre-Funded Warrants to purchase up to 16,102,348 Class A Ordinary Shares. Each 2024 Pre-Funded Warrant has an exercise price of $0.001 per Class A Ordinary Share and is exercisable for one Class A Ordinary Share at any time or times on or after April 22, 2024, until exercised in full.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number of 2023 Pre-Funded Warrants, 2024 Pre-Funded Warrants and Share Exchange Warrants (collectively, the “Pre-Funded Warrants”) outstanding, their exercise price, and expiration dates as of September 30,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Issued</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10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210"/>
        </w:trPr>
        <w:tc>
          <w:tcPr>
            <w:tcW w:w="4360" w:type="dxa"/>
            <w:vAlign w:val="bottom"/>
            <w:tcBorders>
              <w:top w:val="single" w:sz="8" w:color="auto"/>
            </w:tcBorders>
            <w:shd w:val="clear" w:color="auto" w:fill="CCEEFF"/>
          </w:tcPr>
          <w:p>
            <w:pPr>
              <w:jc w:val="right"/>
              <w:ind w:right="1679"/>
              <w:spacing w:after="0"/>
              <w:rPr>
                <w:sz w:val="20"/>
                <w:szCs w:val="20"/>
                <w:color w:val="auto"/>
              </w:rPr>
            </w:pPr>
            <w:r>
              <w:rPr>
                <w:rFonts w:ascii="Times New Roman" w:cs="Times New Roman" w:eastAsia="Times New Roman" w:hAnsi="Times New Roman"/>
                <w:sz w:val="18"/>
                <w:szCs w:val="18"/>
                <w:color w:val="auto"/>
              </w:rPr>
              <w:t>23,884,348</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07" w:lineRule="exact"/>
        <w:rPr>
          <w:sz w:val="20"/>
          <w:szCs w:val="20"/>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16, 2023, JATT’s board of directors approved the Zura Bio Limited 2023 Equity Incentive Plan (the “Equity Incentive Plan”) which became effective on the day immediately preceding the Closing Date of the Business Combination. The Equity Incentive Plan allows for the grant of share options, both incentive and nonqualified share options; stock appreciation rights (“SARs”), alone or in conjunction with other awards; restricted shares awards (“RSAs”) and restricted share units (“RSUs”); incentive bonuses, which may be paid in cash, shares, or a combination thereof; and other share-based awards. The Company has granted share options, RSUs and RSAs that generally vest over four years and expire after 10 years. On June 1, 2023, the Company’s board of directors approved an increase to the number of Class A Ordinary Shares that may be issued under the Equity Incentive Plan by an additional 5,564,315 Class A Ordinary Shares.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Class A Ordinary Shares issuable under the Equity Incentive Plan are subject to an annual increase on January 1st of each calendar year beginning on January 1, 2024, and ending on and including January 1, 2029, equal to the lesser of (i) 5.0% of the aggregate number of Class A Ordinary Shares outstanding on the final day of the immediately preceding calendar year, (ii) 8,059,796 Class A Ordinary Shares or (iii) such smaller number of shares as is determined by the board. As of January 1, 2024, the Company’s board of directors decided not to apply an increase to the Class A Ordinary Shares issuable under the Equity Incentive Plan for the 2024 calendar year.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16, 2023, JATT’s board of directors approved the Zura Bio Limited 2023 Employee Stock Purchase Plan (the “ESPP”) which became effective on the day immediately preceding the Closing Date of the Business Combination. The maximum number of Class A Ordinary Shares that may be issued under the ESPP is 4,029,898, plus an aggregate number of Class A Ordinary Shares that are automatically added under the Equity Incentive Plan on January 1st of each calendar year unless otherwise determined by the Company’s board of directors, beginning on January 1, 2024, and ending on and including January 1, 2029, as discussed above. The ESPP enables eligible employees of the Company and designated affiliates to purchase Class A Ordinary Shares at a discount of 15%. As of September 30, 2024, the Company has not activated its ESPP.</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a maximum of 13,624,111 Class A Ordinary Shares were authorized for issuance under either the Equity Incentive Plan and ESPP, collectively.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Equity Incentive Plan share options are estimated on the date of grant using the Black-Scholes option pricing model. The Company lacks significant company-specific historical and implied volatility information. Therefore, it estimates its expected share volatility based on the historical volatility of a publicly traded set of peer companies. Due to the lack of historical exercise history, the expected term of the Company’s share options has been determined using the “simplified” method for awards.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9" w:right="99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the Equity Incentive Plan share options issued during the nine months ended September 30, 2024 and 2023:</w:t>
      </w:r>
    </w:p>
    <w:p>
      <w:pPr>
        <w:spacing w:after="0" w:line="16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57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000" w:type="dxa"/>
        <w:tblCellMar>
          <w:top w:w="0" w:type="dxa"/>
          <w:left w:w="0" w:type="dxa"/>
          <w:bottom w:w="0" w:type="dxa"/>
          <w:right w:w="0" w:type="dxa"/>
        </w:tblCellMar>
      </w:tblPr>
      <w:tr>
        <w:trPr>
          <w:trHeight w:val="142"/>
        </w:trPr>
        <w:tc>
          <w:tcPr>
            <w:tcW w:w="5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101.2 %</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97.1 %</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6.1 years</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 years</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share option activity for the nine months ended September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31,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5,791,065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17,752</w:t>
            </w:r>
          </w:p>
        </w:tc>
        <w:tc>
          <w:tcPr>
            <w:tcW w:w="0" w:type="dxa"/>
            <w:vAlign w:val="bottom"/>
          </w:tcPr>
          <w:p>
            <w:pPr>
              <w:spacing w:after="0"/>
              <w:rPr>
                <w:sz w:val="1"/>
                <w:szCs w:val="1"/>
                <w:color w:val="auto"/>
              </w:rPr>
            </w:pPr>
          </w:p>
        </w:tc>
      </w:tr>
      <w:tr>
        <w:trPr>
          <w:trHeight w:val="216"/>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5,785,348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(267,575)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Options outstanding as of September 30, 2024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11,308,838</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17,365</w:t>
            </w:r>
          </w:p>
        </w:tc>
        <w:tc>
          <w:tcPr>
            <w:tcW w:w="0" w:type="dxa"/>
            <w:vAlign w:val="bottom"/>
          </w:tcPr>
          <w:p>
            <w:pPr>
              <w:spacing w:after="0"/>
              <w:rPr>
                <w:sz w:val="1"/>
                <w:szCs w:val="1"/>
                <w:color w:val="auto"/>
              </w:rPr>
            </w:pPr>
          </w:p>
        </w:tc>
      </w:tr>
      <w:tr>
        <w:trPr>
          <w:trHeight w:val="197"/>
        </w:trPr>
        <w:tc>
          <w:tcPr>
            <w:tcW w:w="6040" w:type="dxa"/>
            <w:vAlign w:val="bottom"/>
            <w:tcBorders>
              <w:bottom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Options vested and exercisable as of September 30, 2024</w:t>
            </w:r>
            <w:r>
              <w:rPr>
                <w:rFonts w:ascii="Times New Roman" w:cs="Times New Roman" w:eastAsia="Times New Roman" w:hAnsi="Times New Roman"/>
                <w:sz w:val="22"/>
                <w:szCs w:val="22"/>
                <w:color w:val="auto"/>
                <w:vertAlign w:val="superscript"/>
              </w:rPr>
              <w:t>1</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3,939,960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2.16</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9,984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3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Of the vested options as of September 30, 2024, 753,334 remain subject to restrictions on exercisability.</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the table above are 2,280,560 options to purchase Class A Ordinary Shares issued to certain directors, executives, and employees outside of the Equity Incentive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nine months ended September 30, 2024 and 2023 was $2.83 and $5.57,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Market-Based Share Options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20, 2023, the Company granted 306,373 options to purchase Class A Ordinary Shares (“Market-Based Share Options”) to a certain director of the board. These awards will vest only to the extent that the 20-day volume weighted average trading price (“VWAP”) of the Class A Ordinary Shares is over $30 per Class A Ordinary Share at any time prior to the fifth anniversary of the grant date. These awards have an exercise price of $8.16 and become exercisable when vested and the market condition is satisfied. These awards expire 10 years from the date of grant. The fair value of these Market-Based Share Options was estimated using a Monte Carlo valuation method. The following table sets forth the weighted-average assumptions used at the grant date to determine the fair value of the Market-Based Share Options granted during the nine months ended September 30, 2023. No Market-Based Share Options were granted during the nine months ended September 30,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For the</w:t>
            </w:r>
          </w:p>
        </w:tc>
      </w:tr>
      <w:tr>
        <w:trPr>
          <w:trHeight w:val="149"/>
        </w:trPr>
        <w:tc>
          <w:tcPr>
            <w:tcW w:w="8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8"/>
        </w:trPr>
        <w:tc>
          <w:tcPr>
            <w:tcW w:w="8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r>
      <w:tr>
        <w:trPr>
          <w:trHeight w:val="209"/>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 years</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Market-Based Share Options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expense recognized related to Market-Based Share Options was $0.2 million for each of the three months ended September 30, 2024 and 2023, and $0.5 million and $0.4 million for the nine months ended September 30, 2024 and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9"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RSUs to certain employees, executives, and directors pursuant to the Equity Incentive Plan. The fair value has been estimated based on the closing price of the stock on the grant date.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9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5"/>
                <w:szCs w:val="15"/>
                <w:color w:val="auto"/>
              </w:rPr>
            </w:pPr>
          </w:p>
        </w:tc>
        <w:tc>
          <w:tcPr>
            <w:tcW w:w="9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 as of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1,563,018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(121,545)</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(390,753)</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 and unissued</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 as of September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1,050,720</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expense recognized related to RSUs during the three and nine months ended September 30, 2024 was approximately $0.5 million and $1.6 million,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converted RSU’s granted to a certain director pursuant to the Equity Incentive Plan into RSAs during the year ended December 31, 2023. The fair value was estimated based on the closing price of the shares on the original grant date.</w:t>
      </w:r>
    </w:p>
    <w:p>
      <w:pPr>
        <w:spacing w:after="0" w:line="10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RSAs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RSAs as of December 31, 2023</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Unvested RSAs as of September 30, 2024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374,995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expense recognized related to RSAs during the three and nine months ended September 30, 2024 was $0.3 million and $0.8,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Modification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24, 2024, the Company entered into a settlement agreement with Someit Sidhu (“Settlement Agreement”) in connection with the Chief Executive Officer (“CEO”) transition. Pursuant to the Settlement Agreement, 1,700,000 share options became fully vested and immediately exercisable and the remaining 250,000 share options will vest annually over three years on the anniversary of the Settlement Agreement. Accordingly, the Company recorded $5.9 million of compensation expense for the remaining grant date fair value of the 1,700,000 share options for the three and nine months ended September 30, 2024, and the grant date fair value of the 250,000 share options is being recorded to compensation expense over the revised vesting period. The Company determined that the Settlement Agreement did not result in any incremental expense.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10, 2024, the Company and its Chief Medical Officer (the “CMO”) entered into an agreement regarding the CMO’s departure from the Company (the “Severance Agreement”). In connection with the Severance Agreement, 67,525 of the share options previously granted to the CMO became fully vested and exercisable and 40,515 of the RSUs previously granted to the CMO became fully vested. All remaining share options and RSUs not vested were forfeited and cancelled. During the nine months ended September 30, 2024, the Company recognized a reversal of approximately $0.1 million of share-based compensation expense related to this modification within research and development expense in the condensed consolidated statement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7"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for all equity arrangements for the three and nine months ended September 30, 2024 and 2023 was as follows:</w:t>
      </w:r>
    </w:p>
    <w:p>
      <w:pPr>
        <w:spacing w:after="0" w:line="8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16"/>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w:t>
            </w:r>
          </w:p>
        </w:tc>
      </w:tr>
      <w:tr>
        <w:trPr>
          <w:trHeight w:val="209"/>
        </w:trPr>
        <w:tc>
          <w:tcPr>
            <w:tcW w:w="4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2024, there was approximately $22.2 million of total unrecognized share-based compensation expense related to options granted to employees, executives, and directors that is expected to be recognized over a weighted average period of 3.2 years. As of September 30, 2024, there was approximately $5.6 million of total unrecognized share-based compensation expense related to RSUs granted to certain employees, executives, and directors under the Company’s Equity Incentive Plan that is expected to be recognized over a weighted average period of 2.7 years. As of September 30, 2024, there was approximately $2.5 million of total unrecognized share-based compensation expense related to RSAs granted to a certain director under the Company’s Equity Incentive Plan that is expected to be recognized over a weighted average period of 2.5 years.</w:t>
      </w:r>
    </w:p>
    <w:p>
      <w:pPr>
        <w:spacing w:after="0" w:line="117" w:lineRule="exact"/>
        <w:rPr>
          <w:sz w:val="20"/>
          <w:szCs w:val="20"/>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04" w:lineRule="exact"/>
        <w:rPr>
          <w:sz w:val="20"/>
          <w:szCs w:val="20"/>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finder’s fee for the 2022 Lilly License, the Company’s consolidated subsidiary Z33 issued 4,900,222 shares of Z33 Series Seed Preferred Shares to Stone Peach. Zura has the right, but not the obligation to purchase up to 50% of the Series Seed Preferred Shares issued to Stone Peach at a price per share of $2.448869 for a period of two years from the date of the agreement (the “Call Option”). Stone Peach has the right, but not the obligation to sell up to 50% of the Series Seed Preferred Shares issued to Stone Peach to Zura for a price per share of $2.040724 (the “Put Option”). As it is not possible to specifically identify the shares that may be redeemed by exercising the Put Option, and the applicable unit of account is each share, the Company assessed that each share must be considered redeemable until the exercise or the expiration of the Put Option. Accordingly, the Z33 Series Seed Preferred Shares issued to Stone Peach represents redeemable noncontrolling interest.</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2023, the Company agreed to, within six months of April 24, 2023, exercise its Call Option on 50% of the Z33 Series Seed Preferred Shares previously issued to Stone Peach. The Company agreed to settle its Call Option by issuing 2,000,000 Class A Ordinary Shares. The amended settlement terms represented an extinguishment and reissuance of the Z33 Series Seed Preferred Shares. The $10.9 million difference between the estimated fair value of the new instrument issued and the carrying value of the Z33 Series Seed Preferred Shares was recorded as a deemed dividend to the redeemable noncontrolling interest and as an adjustment to net loss to arrive at net loss attributable to Class A ordinary shareholders in the consolidated statement of operations.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the Company and Stone Peach amended the terms of the agreement, voiding the Company’s obligation to exercise its Call Option, and instead reverting the Company’s rights and obligations under the Call Option back to that of the original agreement. Stone Peach, in addition to the existing Put Option, was granted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under the new agreement. The amended settlement terms represented an extinguishment and reissuance of the Z33 Series Seed Preferred Shares. The $9.2 million difference between the estimated fair value of the new instrument issued and the carrying value of the Z33 Series Seed Preferred Shares was recorded as a deemed contribution from the redeemable noncontrolling interest and as an adjustment to net loss to arrive at net loss attributable to Class A ordinary shareholders in the consolidated statement of operations. On September 30, 2024, the redeemable noncontrolling interest is recorded at its redemption price, and the difference from the redemption price as of June 30, 2024 and December 31, 2023, respectively, is recorded as an adjustment to net loss to arrive at net loss attributable to Class A ordinary shareholders for the three and nine months ended September 30, 2024, respectively in the condensed consolidated statement of operations.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redeemable noncontrolling interest balance was $16.2 million and $18.7 million, respectively.</w:t>
      </w:r>
    </w:p>
    <w:p>
      <w:pPr>
        <w:sectPr>
          <w:pgSz w:w="11900" w:h="16838" w:orient="portrait"/>
          <w:cols w:equalWidth="0" w:num="1">
            <w:col w:w="9920"/>
          </w:cols>
          <w:pgMar w:left="980" w:top="1265"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consolidated results of operations and financial condition. You should read the following discussion and analysis of our financial condition and results of operations in conjunction with our audited financial statements as of December 31, 2023, included on Form 10-K filed with the SEC on March 28, 2024, and in conjunction with the unaudited condensed consolidated financial statements and notes thereto included elsewhere in this Quarterly Report.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discussion and analysis contains forward-looking statements. These forward-looking statements are subject to risks and uncertainties, including those discussed in the section titled “Risk Factors” in our Form 10-K filed with the SEC on March 28, 2024, that could cause actual results to differ materially from historical results or anticipated results. You should carefully read the information under “Cautionary Note Regarding Forward-Looking Statements” in this Quarterly Report. Unless the context otherwise requires, references in this “Management’s Discussion and Analysis of Financial Condition and Results of Operations” to “Zura,” “we,” “us,” and “our” refer to Zura Bio Limited, a Cayman Islands exempted company formerly known as JATT Acquisition Corp., and its consolidated subsidiaries. References to JATT Acquisition Corp. or “JATT” refer to the Company prior to the consummation of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Zura Bio Limited, formerly known as JATT Acquisition Corp., is a multi-asset clinical-stage biotechnology company focused on developing novel medicines for immune and inflammatory disorders. The experienced leadership team aims to become a leader in the autoimmune and inflammatory field.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were incorporated as a Cayman Islands exempted company on March 10, 2021. Our wholly owned subsidiary, Zura Bio Limited (“Zura Bio UK”) was formed in the United Kingdom, or UK, on January 18, 2022. Prior to March 20, 2023, our operations were conducted through Zura Bio UK.</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 planning, raising capital and entering into collaboration agreements for conducting manufacturing, and research and development activities. Our lead product candidates are in the clinical trial planning stage; however, we have not conducted any clinical trials ourselves, nor have any been conducted during the period since our inception. We do not have any product candidates approved for sale and have not generated any revenue from product sales. We funded our operations up until September 30, 2024 through (i) the sale of equity, raising an aggregate of $10.0 million of gross proceeds from the sale of shares of convertible preferred stock of Zura Bio UK through March 31, 2023; (ii) the issuance of a promissory note, receiving net proceeds of $7.6 million in December 2022; (iii) proceeds from the Business Combination of $56.7 million in March 2023; (iv) the April 2023 Private Placement, raising an aggregate of $80.0 million of gross proceeds from the sale of Class A Ordinary Shares and Pre-Funded Warrants during the year ended December 31, 2023;</w:t>
      </w:r>
    </w:p>
    <w:p>
      <w:pPr>
        <w:spacing w:after="0" w:line="6" w:lineRule="exact"/>
        <w:rPr>
          <w:sz w:val="20"/>
          <w:szCs w:val="20"/>
          <w:color w:val="auto"/>
        </w:rPr>
      </w:pPr>
    </w:p>
    <w:p>
      <w:pPr>
        <w:jc w:val="both"/>
        <w:ind w:firstLine="8"/>
        <w:spacing w:after="0" w:line="253" w:lineRule="auto"/>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April 2024 Private Placement, raising an aggregate of $112.5 million of gross proceeds from the sale of Class A Ordinary Shares and Pre-Funded Warrants; and (vi) the sale of 1,500,000 Class A Ordinary Shares at a price of $3.80 per share under the ATM (as defined below) for net proceeds of $5.5 million, after commissions, less $0.6 million offering costs incurred in connection with establishing the ATM.</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for the three and nine months ended September 30, 2024, was $20.7 million and $38.8 million, respectively. As of September 30, 2024, we had an accumulated deficit of $142.3 million. We anticipate that our expenses will increase significantly in connection with our ongoing activities, as we:</w:t>
      </w:r>
    </w:p>
    <w:p>
      <w:pPr>
        <w:spacing w:after="0" w:line="176"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planned preclinical studies and clinical trials for our product candidates, as well as initiate and complete additional trials for our product candidates and future potential product candidates;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current good manufacturing practices, or cGMP, material for clinical trials or potential commercial sales;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regulatory, manufacturing, scientific and administrative personnel;</w:t>
      </w:r>
    </w:p>
    <w:p>
      <w:pPr>
        <w:sectPr>
          <w:pgSz w:w="11900" w:h="16838" w:orient="portrait"/>
          <w:cols w:equalWidth="0" w:num="1">
            <w:col w:w="9920"/>
          </w:cols>
          <w:pgMar w:left="980" w:top="12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type w:val="continuous"/>
        </w:sectPr>
      </w:pPr>
    </w:p>
    <w:bookmarkStart w:id="25" w:name="page26"/>
    <w:bookmarkEnd w:id="25"/>
    <w:p>
      <w:pPr>
        <w:ind w:left="680" w:right="2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manufacturing and distribution capabilities to commercialize any product candidates for which we may obtain regulatory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20, 2023 (the “Closing Date”), we consummated the previously-announced transactions contemplated by the Business Combination Agreement, dated June 16, 2022, as amended on September 20, 2022, November 14, 2022, and January 13, 2023 by and among Zura Bio Limited, a limited company incorporated under the laws of England and Wales (“Zura Bio UK”), JATT Acquisition Corp, a Cayman Islands exempted company (“JATT”), JATT Merger Sub, a Cayman Islands exempted company and wholly owned subsidiary of JATT (“Merger Sub”), JATT Merger Sub 2, a Cayman Islands exempted company and wholly owned subsidiary of JATT (“Merger Sub 2”) and Zura Bio Holdings Ltd, a Cayman Islands exempted company (“Holdco”), following the approval at an extraordinary general meeting of JATT’s shareholders held on March 16, 2023.</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Business Combination generated approximately $56.7 million in net proceeds. On March 21, 2023, our Class A Ordinary Shares and public warrants began trading on the Nasdaq under the symbols “ZURA” and “ZURAW,” respectively. On August 27, 2024, the Public Warrants (as defined below) were no longer listed on the Nasdaq in connection with the completion of the Warrant Exchange (as defined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and ATM Program</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filed a shelf registration statement on Form S-3 (the “Shelf Registration Statement”), which was declared effective September 17, 2024. Pursuant to the Shelf Registration Statement, we may offer and sell ordinary shares, preference shares, debt securities, warrants and or units having an aggregate public offering price of up to $300.0 million. In connection with the filing of the Shelf Registration Statement, we also entered into a sales agreement (the “Sales Agreement”) with Leerink Partners LLC (“Leerink Partners”), relating to the sale of our Class A Ordinary Shares having an aggregate gross sales price of up to $125.0 million, from time to time through Leerink Partners, acting as sales agent (the “ATM”). We incurred $0.6 million of offering expenses in connection with establishing the ATM that reduced additional paid-in capital as of September 30, 2024. On September 18, 2024, we sold 1,500,000 Class A Ordinary Shares at a price of $3.80 per share under the ATM, for net proceeds of $5.5 million, after underwriting commissions.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12, 2024, we commenced an exchange offer (the “Exchange Offer”) and consent solicitation (the “Consent Solicitation”) relating to our outstanding warrants that we assumed in connection with the business combination, including (i) public warrants to purchase 5,910,000 Class A Ordinary Shares (the “Public Warrants”) that were held by JATT, and (ii) private placement warrants to purchase 6,899,996 Class A Ordinary Shares (the “Private Placement Warrants”) that were held by JATT shareholders (together with the Public Warrants, the “IPO warrants”). We offered to all holders of the IPO warrants the opportunity to receive 0.30 Class A ordinary shares in exchange for each outstanding IPO warrant tendered by the holder and exchanged pursuant to the Exchange Offer. Concurrently with the Exchange Offer, we also solicited consents from holders of the IPO warrants to amend that certain warrant agreement, dated as of July 16, 2021, by and between Zura and Continental Stock Transfer &amp; Trust Company (“CST”), as warrant agent (the “Warrant Agreement”) to permit the us to require that each IPO warrant outstanding upon the closing of the Exchange Offer be exchanged for 0.27 Class A ordinary shares, which is a ratio 10% less than the exchange ratio applicable to the Exchange Offer. Pursuant to the terms of the Warrant Agreement, all except certain specified modifications or amendments require the vote or written consent of holders of at least a majority of the outstanding public warrants and a majority of the outstanding private placement warrants.</w:t>
      </w:r>
    </w:p>
    <w:p>
      <w:pPr>
        <w:sectPr>
          <w:pgSz w:w="11900" w:h="16838" w:orient="portrait"/>
          <w:cols w:equalWidth="0" w:num="1">
            <w:col w:w="9920"/>
          </w:cols>
          <w:pgMar w:left="980" w:top="1269"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9" w:right="999" w:bottom="1440" w:gutter="0" w:footer="0" w:header="0"/>
          <w:type w:val="continuous"/>
        </w:sectPr>
      </w:pPr>
    </w:p>
    <w:bookmarkStart w:id="26" w:name="page27"/>
    <w:bookmarkEnd w:id="26"/>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12, 2024, we completed the Exchange Offer and Consent Solicitation and issued 3,235,184 Class A ordinary shares in exchange for 10,784,008 IPO warrants and entered into an amendment to the Warrant Agreement (the “Warrant Amendment”). Pursuant to the Warrant Amendment, we had the right to mandatorily exchange our remaining outstanding IPO warrants for Class A ordinary shares at an exchange ratio of 0.27 Class A ordinary shares for each IPO warrant. On August 27, 2024, we issued 547,006 Class A Ordinary Shares in exchange for the remaining 196,568 outstanding Public Warrants and 1,829,420 outstanding Private Placement Warrants. As a result, there were no outstanding IPO warrants as of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2024 Private Placement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18, 2024, we entered into subscription agreements (the “April 2024 Investor Agreements”) with certain institutional and other accredited investors (the “Investors”), whereby we issued 18,732,301 Class A Ordinary Shares, par value $0.0001 per share and pre-funded warrants (the “2024 Pre-Funded Warrants”) to purchase up to 16,102,348 Class A Ordinary Shares. Each Class A Ordinary Share was sold at a price of $3.108 per Class A Ordinary Share and each 2024 Pre-Funded Warrant was sold at a price of $3.107 per 2024 Pre-Funded Warrant for an aggregate purchase price of $108.3 million.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18, 2024, we also entered into subscription agreements (the “April 2024 Insider Agreements” and together with the April 2024 Investor Agreements, the “April 2024 Private Placement”) with certain of our officers, directors and affiliates (“Insiders” and together with the Investors, the “2024 Subscribers”), whereby we issued 1,357,827 Class A Ordinary Shares, par value $0.0001 per share sold a purchase price of $3.13 per Class A Ordinary Share for an aggregate purchase price of $4.2 million.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April 2024 Private Placement closed on April 22, 2024, from which we received gross proceeds of approximately $112.5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2023 Private Placement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26, 2023, we entered into a second PIPE subscription agreement (the “April 2023 Private Placement”) with certain accredited investors (the “Subscribers”), whereby we issued 15,041,530 Class A Ordinary Shares, par value $0.0001 per share and pre-funded warrants (the “2023 Pre-Funded Warrants”) to purchase up to 3,782,000 Class A Ordinary Shares. Each Class A Ordinary Share was sold at a price of $4.25 per Class A Ordinary Share and each Pre-Funded Warrant was sold at a price of $4.249 per Pre-Funded Warrant for an aggregate purchase price of $80.0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Lilly License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26, 2023, our newly formed subsidiary ZB17 LLC (“ZB17”) entered into a license agreement (the “2023 Lilly License” and, together with the 2022 Lilly License, the “Lilly Licenses”) with Lilly, for an exclusive license to develop, manufacture and commercialize a certain bispecific antibody relating to IL-17 and BAFF (“ZB-106”). ZB17 made a payment of $5.0 million to Lilly during the nine months ended September 30, 2024, in connection with the receipt of certain know-how, data, information and materials that Lilly was required to provide under the license agreement.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finder’s fee for arranging the acquisition of the 2023 Lilly License, ZB17 granted Stone Peach the right, but not the obligation, to purchase 4.99% of the fully diluted equity of ZB17 for $1.0 million (the “Stone Peach Call Right”). The Stone Peach Call Right is not exercisable until after the last patient is dosed in any single next clinical trial with ZB-106 and expires one year from the date of first indication approval for ZB-106 by the FDA or the European Medicines Agency (“EMA”). The Stone Peach Call Right represents noncontrolling interest in our subsidiary, ZB17.</w:t>
      </w:r>
    </w:p>
    <w:p>
      <w:pPr>
        <w:spacing w:after="0" w:line="183" w:lineRule="exact"/>
        <w:rPr>
          <w:sz w:val="20"/>
          <w:szCs w:val="20"/>
          <w:color w:val="auto"/>
        </w:rPr>
      </w:pPr>
    </w:p>
    <w:p>
      <w:pPr>
        <w:jc w:val="both"/>
        <w:ind w:firstLine="324"/>
        <w:spacing w:after="0" w:line="224" w:lineRule="auto"/>
        <w:rPr>
          <w:sz w:val="20"/>
          <w:szCs w:val="20"/>
          <w:color w:val="auto"/>
        </w:rPr>
      </w:pPr>
      <w:r>
        <w:rPr>
          <w:rFonts w:ascii="Times New Roman" w:cs="Times New Roman" w:eastAsia="Times New Roman" w:hAnsi="Times New Roman"/>
          <w:sz w:val="18"/>
          <w:szCs w:val="18"/>
          <w:color w:val="auto"/>
        </w:rPr>
        <w:t>As additional consideration, Stone Peach receives annual payments first of $0.6 million, and increasing by 10% annually, so long as we maintain our license for ZB-106 on May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year. An annual payment of $0.7 million became due and was paid during the three months ended June 30, 2024.</w:t>
      </w:r>
    </w:p>
    <w:p>
      <w:pPr>
        <w:spacing w:after="0" w:line="19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finder’s fee for arranging the acquisition of the 2023 Lilly License, we agreed to make a one-time milestone payment of $5.0 million to BAFFX17, Ltd (“BAFFX17”) upon the occurrence of either: (i) a change of control transaction, (ii) our closing of an issuance of equity or equity-linked securities of at least $100.0 million (iii) the consummation of a sale of assets resulting in net proceeds in excess of $100.0 million, or (iv) our fully diluted shares outstanding exceed 52,500,000 shares (on a split adjusted basis). As our fully diluted shares outstanding exceeded 52,500,000 shares prior to December 31, 2023, the $5.0 million fee was recorded in accounts payable and accrued expenses in the condensed consolidated balance sheet as of September 30, 2024.</w:t>
      </w:r>
    </w:p>
    <w:p>
      <w:pPr>
        <w:sectPr>
          <w:pgSz w:w="11900" w:h="16838" w:orient="portrait"/>
          <w:cols w:equalWidth="0" w:num="1">
            <w:col w:w="9920"/>
          </w:cols>
          <w:pgMar w:left="980" w:top="1269"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9" w:right="999" w:bottom="1440" w:gutter="0" w:footer="0" w:header="0"/>
          <w:type w:val="continuous"/>
        </w:sectPr>
      </w:pPr>
    </w:p>
    <w:bookmarkStart w:id="27" w:name="page28"/>
    <w:bookmarkEnd w:id="2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obligated to make 4 development milestone payments to Lilly up to an aggregate of $155.0 million, and sales milestone payments up to an aggregate of $440 million based on respective thresholds of net sales of products developed from ZB-106. We are also obligated to pay Lilly over a multi-year period (twelve years, or upon the later expiration of regulatory exclusivity of ZB-106 in a country) an annual earned royalty at a marginal royalty rate in the mid-single digits to low-double digits, with increasing rates depending on net sales in the respective calendar year, based on a percentage of sales within varying thresholds for a certain period of years. We are also obligated to pay BAFFX17 a fee equal to 3% of any milestone or royalty payments due to Lilly pursuant to the terms of either the 2022 Lilly License and the 2023 Lilly License with Lilly. Upon receiving written approval from the FDA, EMA, or similar regulatory authority of the Investigational New Drug (“IND”) and commencement and the commencement of a clinical trial in the applicable jurisdiction for ZB-106, Stone Peach will also receive a one-time payment of $4.5 million. Stone Peach will also receive a one-time milestone payment of $25 million upon either (i) certain equity-related transactions, or (ii) the receipt of regulatory approval from the applicable regulatory authority for any new indication in the applicable jurisdiction. Furthermore, Stone Peach was granted a royalty of 2% of the aggregate net sales of any products developed from the Compound. As of September 30, 2024, none of the contingent development milestone payments were due.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Lilly License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8, 2022, our consolidated subsidiary, Z33 Bio Inc.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finder’s fee in connection with arranging the acquisition, Z33 issued to Stone Peach Properties, LLC (“Stone Peach”) 4,900,222 shares of Z33 Series Seed Preferred Shares, which was included in the measurement of the cost of the acquired asset. We have the right, but not the obligation to purchase up to 50% of the Series Seed Preferred Shares issued to Stone Peach at a price per share of $2.448869 for a period of two years from the date of the agreement (the “Call Option”). Stone Peach has the right, but not the obligation to sell up to 50% of the Series Seed Preferred Shares issued to Stone Peach to Zura for a price per share of $2.040724 (the “Put Option”). In April 2023, we agreed to exercise our Call Option and we amended the settlement terms to settle the Call Option by issuing 2,000,000 Class A Ordinary Shares (the “Amended Terms”). In November 2023, the Amended Terms were voided and our rights and obligations under the Call Option reverted to those in the original agreement (the “Second Amended Terms”). In connection with the Second Amended Terms, we also provided Stone Peach with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Each of the Amended Terms and the Second Amended Terms were considered an extinguishment and reissuance of the Z33 Series Seed Preferred Shares. The Z33 Series Seed Preferred Shares represent redeemable noncontrolling interest in our subsidiary, Z33.</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obligated to pay $3.0 million to Lilly under the 2022 Lilly License upon the completion of a financing by Zura with gross proceeds exceeding $100 million, in cash or in services, paid to Z33. If the $3.0 million milestone payment is not made by December 7, 2025, Lilly may terminate the 2022 Lilly License and reclaim the asset. We are further obligated to make 10 commercial, development and regulatory milestone payments up to an aggregate of $155.0 million and sales milestone payments up to an aggregate of $440.0 million based on respective thresholds of net sales of products developed from the licensed compound. We will also pay an annual earned royalty to Lilly at a marginal royalty rate between in the mid-single to low-double digits (less than 20%), with increasing rates based on net sales in the respective calendar year, based on a percentage of sales within varying thresholds for a certain period of the year. We will account for these contingent milestone payments when they become due. As of September 30, 2024, none of the contingent milestone payments were due.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Pfizer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22, 2022, we entered into a license agreement and a Series A-1 Subscription and Shareholder’s Agreement (collectively, the “Pfizer Agreement”) with Pfizer. We are obligated to make 11 future development and regulatory milestone payments aggregating up to $70.0 million and sales milestone payments up to an aggregate of $525.0 million based on respective thresholds of net sales of products (developed from the licensed compound) (the “Products”). We will also pay an annual earned royalty at a marginal royalty rate in the mid-single digits to low double digits (less than 20%), based on thresholds of net sales of Products. Royalties are payable on a country-by-country basis for a certain period of years or upon the later expiration of regulatory exclusivity of our Products in a country.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owe any other amounts under the Pfizer Agreement as of September 30, 2024.</w:t>
      </w:r>
    </w:p>
    <w:p>
      <w:pPr>
        <w:sectPr>
          <w:pgSz w:w="11900" w:h="16838" w:orient="portrait"/>
          <w:cols w:equalWidth="0" w:num="1">
            <w:col w:w="9920"/>
          </w:cols>
          <w:pgMar w:left="980" w:top="1269"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9"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Chief Executive Officer Transition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24, 2024, the Board of Directors approved a CEO transition from Someit Sidhu, our Founder, Chief Executive Officer and Director, to Robert Lisicki, effective April 8, 2024. Dr. Sidhu remains on the Board as a Director and Mr. Lisicki joined the Board as a 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Economic Trends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Macroeconomic conditions, including uncertainties associated with the upcoming U.S. presidential election, Israel-Hamas war, the ongoing conflict between Ukraine and Russia, economic slowdowns, public health crises, labor shortages, recessions or market corrections, supply chain disruptions, inflation and monetary policy shifts, liquidity concerns at, and failures of, banks and other financial institutions or other disruptions in the banking system or financing markets, rising interest rates and financial and credit market fluctuations, volatility in the capital markets or other evolving macroeconomic developments, continue to have direct and indirect impacts on our business and could in the future materially impact our results of operations and financial condition. We continue to actively monitor the impact of these macroeconomic factors on our results of operations, financial condition and cash flows. The extent of the impact of these factors on our operational performance and financial condition, including our ability to execute our business strategies and initiatives in the expected timeframe, will depend on future developments, which are uncertain and cannot be predicted; however, any continued or renewed disruption resulting from these factors could negatively impact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expenses consist of all direct and indirect operating expenses supporting the processes in development, including consulting fees for medical and manufacturing advisory services, costs related to manufacturing material for clinical studies, payroll and benefits, which includes share-based compensation, for research and development employees, licensing fees, and study acquisition costs. Expenses are recognized as the related goods are delivered or the services are performed.</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R&amp;D expenses include the cost of in-process research and development (“IPR&amp;D”) assets purchased in an asset acquisition transaction. IPR&amp;D assets are expensed unless the assets acquired are deemed to have an alternative future use, provided that the acquired asset did not also include processes or activities that would constitute a “business” as defined under U.S. GAAP, the drug has not achieved regulatory approval for marketing and, absent obtaining such approval, has no established alternative future use. Acquired IPR&amp;D payments are immediately expensed in the period in which they are incurred and include upfront payments, as well as transaction fees and subsequent pre-commercial milestone payments. Research and development costs incurred after the acquisition are expensed as incurred. R&amp;D expenses also include the remeasurement of the research and development license consideration liability. The research and development license consideration liability represented an obligation to issue either preferred shares of our subsidiary or Class A Ordinary Shares to Lilly as consideration for the 2022 Lilly License, which was ultimately settled through the issuance of Class A Ordinary Shares upon the closing of the Business Combination.</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expenses could include:</w:t>
      </w:r>
    </w:p>
    <w:p>
      <w:pPr>
        <w:spacing w:after="0" w:line="225" w:lineRule="exact"/>
        <w:rPr>
          <w:sz w:val="20"/>
          <w:szCs w:val="20"/>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share-based compensation and other related costs for those employees involved in research and development efforts;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clinical research organizations, investigative sites and consultants to conduct our studies;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preclinical studies and clinical trials, including fees paid to contract manufacturing organizations;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under our licensing agreements;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ectPr>
          <w:pgSz w:w="11900" w:h="16838" w:orient="portrait"/>
          <w:cols w:equalWidth="0" w:num="1">
            <w:col w:w="9920"/>
          </w:cols>
          <w:pgMar w:left="980" w:top="12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type w:val="continuous"/>
        </w:sectPr>
      </w:pPr>
    </w:p>
    <w:bookmarkStart w:id="29" w:name="page30"/>
    <w:bookmarkEnd w:id="29"/>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develop our product candidates and manufacturing processes and conduct discovery and research activities for our clinical programs. We cannot determine with certainty the timing of initiation, the duration or the completion costs of current or future clinical studies of our product candidates due to the inherently unpredictable nature of clinical development. Clinical development timelines, the probability of success and development costs can differ materially from expectations. We anticipate that we will make determinations as to how we pursue our product candidates and how much funding to direct to each program on an ongoing basis in response to the results of future clinical trials, regulatory developments and our ongoing assessments as to commercial potential. We will need to raise substantial additional capital in the future. Our clinical development costs are expected to increase as we commence, continue and expand our clinical trials. Our future expenses may vary significantly each period based on factors such as:</w:t>
      </w:r>
    </w:p>
    <w:p>
      <w:pPr>
        <w:spacing w:after="0" w:line="192"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clinical trial costs, including based on the number of doses that patients receive;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clinical trial;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approval;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clinical trials and follow-up;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contractors failing to comply with regulatory requirements or meet their contractual obligations in a timely manner, or at all;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insurance, including product liability insurance, in connection with clinical trials;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primarily consist of professional fees for legal, accounting, and consulting costs relating to corporate matters, as well as salaries and related costs for personnel in executive and administrative functions, including share-based compensation.</w:t>
      </w:r>
    </w:p>
    <w:p>
      <w:pPr>
        <w:sectPr>
          <w:pgSz w:w="11900" w:h="16838" w:orient="portrait"/>
          <w:cols w:equalWidth="0" w:num="1">
            <w:col w:w="9920"/>
          </w:cols>
          <w:pgMar w:left="980" w:top="1269"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9" w:right="999" w:bottom="1440" w:gutter="0" w:footer="0" w:header="0"/>
          <w:type w:val="continuous"/>
        </w:sectPr>
      </w:pPr>
    </w:p>
    <w:bookmarkStart w:id="30" w:name="page31"/>
    <w:bookmarkEnd w:id="3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continue to support research and development activities and incur increased costs of operating as a public company. These costs include increased headcount to support expanded operations and infrastructure.</w:t>
      </w:r>
    </w:p>
    <w:p>
      <w:pPr>
        <w:spacing w:after="0" w:line="176"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Additionally, we anticipate increased costs associated with maintaining compliance with Nasdaq rules and SEC requirements such as accounting, audit, legal and consulting services, as well as director and officer liability insurance, investor and public relations activities.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76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520" w:type="dxa"/>
            <w:vAlign w:val="bottom"/>
            <w:gridSpan w:val="2"/>
          </w:tcPr>
          <w:p>
            <w:pPr>
              <w:jc w:val="center"/>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6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80" w:type="dxa"/>
            <w:vAlign w:val="bottom"/>
          </w:tcPr>
          <w:p>
            <w:pPr>
              <w:spacing w:after="0"/>
              <w:rPr>
                <w:sz w:val="18"/>
                <w:szCs w:val="18"/>
                <w:color w:val="auto"/>
              </w:rPr>
            </w:pPr>
          </w:p>
        </w:tc>
        <w:tc>
          <w:tcPr>
            <w:tcW w:w="3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6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6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(income)/expense, net</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(2,461)</w:t>
            </w:r>
          </w:p>
        </w:tc>
        <w:tc>
          <w:tcPr>
            <w:tcW w:w="5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 income</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50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Change in fair value of private placement</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warrants</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other (income)/expense, net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3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178"/>
        </w:trPr>
        <w:tc>
          <w:tcPr>
            <w:tcW w:w="350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color w:val="auto"/>
              </w:rPr>
              <w:t>Net loss before redeemable noncontrolling</w:t>
            </w:r>
          </w:p>
        </w:tc>
        <w:tc>
          <w:tcPr>
            <w:tcW w:w="4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4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(20,702)</w:t>
            </w:r>
          </w:p>
        </w:tc>
        <w:tc>
          <w:tcPr>
            <w:tcW w:w="5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(8,270)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(12,432)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8"/>
        </w:trPr>
        <w:tc>
          <w:tcPr>
            <w:tcW w:w="3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Accretion of redeemable noncontrolling</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to redemption value</w:t>
            </w:r>
          </w:p>
        </w:tc>
        <w:tc>
          <w:tcPr>
            <w:tcW w:w="4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(2,240)</w:t>
            </w:r>
          </w:p>
        </w:tc>
        <w:tc>
          <w:tcPr>
            <w:tcW w:w="5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500" w:type="dxa"/>
            <w:vAlign w:val="bottom"/>
            <w:gridSpan w:val="2"/>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Class A Ordinary</w:t>
            </w: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00" w:type="dxa"/>
            <w:vAlign w:val="bottom"/>
            <w:gridSpan w:val="2"/>
            <w:vMerge w:val="continue"/>
            <w:shd w:val="clear" w:color="auto" w:fill="CCEEFF"/>
          </w:tcPr>
          <w:p>
            <w:pPr>
              <w:spacing w:after="0"/>
              <w:rPr>
                <w:sz w:val="15"/>
                <w:szCs w:val="15"/>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(22,942)</w:t>
            </w:r>
          </w:p>
        </w:tc>
        <w:tc>
          <w:tcPr>
            <w:tcW w:w="5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(8,270)</w:t>
            </w:r>
          </w:p>
        </w:tc>
        <w:tc>
          <w:tcPr>
            <w:tcW w:w="380" w:type="dxa"/>
            <w:vAlign w:val="bottom"/>
            <w:gridSpan w:val="2"/>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(14,672)</w:t>
            </w:r>
          </w:p>
        </w:tc>
        <w:tc>
          <w:tcPr>
            <w:tcW w:w="1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21"/>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 of Zura</w:t>
            </w:r>
          </w:p>
        </w:tc>
        <w:tc>
          <w:tcPr>
            <w:tcW w:w="42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change not meaningful</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(in thousands):</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restart"/>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520" w:type="dxa"/>
            <w:vAlign w:val="bottom"/>
            <w:gridSpan w:val="2"/>
          </w:tcPr>
          <w:p>
            <w:pPr>
              <w:jc w:val="center"/>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$2.1 million for the three months ended September 30, 2024 compared to the three months ended September 30, 2023. This was primarily due to an increase of $1.7 million in expenses related to personnel compensation for research and development functions including share-based compensation and an increase of $0.9 million for consulting costs for preparation of clinical trials, partially offset by a decrease of $0.7 million in our manufacturing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9"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4"/>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360" w:type="dxa"/>
            <w:vAlign w:val="bottom"/>
            <w:vMerge w:val="restart"/>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left="6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5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520" w:type="dxa"/>
            <w:vAlign w:val="bottom"/>
            <w:gridSpan w:val="2"/>
          </w:tcPr>
          <w:p>
            <w:pPr>
              <w:jc w:val="center"/>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$7.1 million for the three months ended September 30, 2024 compared to the three months ended September 30, 2023. The increase was primarily due to a $5.9 million non-cash share-based compensation expense charge for the modification of awards for the former CEO, an increase of $2.1 million in professional fees for legal and accounting costs, including $1.6 million related to the Warrant Exchange and $0.5 million related to ongoing operations as a public company, partially offset by a decrease of $0.7 million in expenses related to compensation for personnel in executive and administrative functions including share-based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 net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increased by a nominal amount for the three months ended September 30, 2024 compared to the three months ended September 30, 2023. This increase was primarily due to foreign exchange transaction gains for the three months ended September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income increased by $1.6 million for the three months ended September 30, 2024 as compared to the three months ended September 30, 2023. This is due to an increase in cash and cash equivalents balance during the three months ended September 30, 2024 as compared to the three months ended September 30, 2023, primarily due to the proceeds generated from the April 2024 Private Placement.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income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Dividend income decreased by $1.0 million for the three months ended September 30, 2024 as compared to the three months ended September 30, 2023. We held no dividend-generating cash equivalents during the three months ended September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Revaluation loss on the liability-classified Private Placement Warrants assumed in the Business Combination was $3.9 million for the three months ended September 30, 2024 as compared to a $0.1 million gain for the three months ended September 30, 2023. During the three months ended September 30, 2024, the Private Placement Warrants were recorded at their settlement value upon completion of the Warrant Exchange, which was the fair value of the Class A Ordinary Shares exchanged for the Private Placement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Accretion of Redeemable Noncontrolling Interest to Redemption Value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Accretion of redeemable noncontrolling interest to redemption value increased by $2.2 million for the three months ended September 30, 2024 as compared to the three months ended September 30, 2023. This increase is due to modifications of the terms of the Z33 Series Seed Preferred Shares issued to Stone Peach and the resulting remeasurements to redemption value.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7"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 our results of operations for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7"/>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tcPr>
          <w:p>
            <w:pPr>
              <w:jc w:val="center"/>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37,079</w:t>
            </w:r>
          </w:p>
        </w:tc>
        <w:tc>
          <w:tcPr>
            <w:tcW w:w="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(21,918)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39,457</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51,811</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(12,354)</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(income)/expense, net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5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income</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note payable</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(2,244)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other (income)/expense, net</w:t>
            </w:r>
          </w:p>
        </w:tc>
        <w:tc>
          <w:tcPr>
            <w:tcW w:w="3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9"/>
        </w:trPr>
        <w:tc>
          <w:tcPr>
            <w:tcW w:w="5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redeemable noncontrolling interest</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 to redemption value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(4,374)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 to redeemable noncontrolling interest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of redeemable noncontrolling interest from redemption value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9"/>
        </w:trPr>
        <w:tc>
          <w:tcPr>
            <w:tcW w:w="5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Class A Ordinary Shareholders of Zura</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480" w:type="dxa"/>
            <w:vAlign w:val="bottom"/>
            <w:tcBorders>
              <w:bottom w:val="single" w:sz="8" w:color="auto"/>
            </w:tcBorders>
          </w:tcPr>
          <w:p>
            <w:pPr>
              <w:spacing w:after="0"/>
              <w:rPr>
                <w:sz w:val="5"/>
                <w:szCs w:val="5"/>
                <w:color w:val="auto"/>
              </w:rPr>
            </w:pPr>
          </w:p>
        </w:tc>
        <w:tc>
          <w:tcPr>
            <w:tcW w:w="3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change not meaningful</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(in thousands):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7"/>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15,161</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37,079</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(21,918)</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decreased by $21.9 million for the nine months ended September 30, 2024 compared to the nine months ended September 30, 2023. This was primarily due to $27.4 million related to the acquisition of an IPR&amp;D license from Lilly during the nine months ended September 30, 2023 and a decrease of $1.9 million related to the change in fair value of the research and development license consideration liability during the three months ended September 30, 2023. This decrease was partially offset by an increase of $2.8 million in manufacturing costs for our product candidates, $2.3 million in expenses related to personnel compensation for research and development functions excluding share-based compensation and an increase of $1.2 million of costs incurred for consulting services for our product candidates, in addition to an increase of $0.7 million for an annual milestone payment related to the 2023 Lilly License incurred during the nine months ended September 30,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20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2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gridSpan w:val="2"/>
          </w:tcPr>
          <w:p>
            <w:pPr>
              <w:jc w:val="center"/>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9,564</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$9.6 million for the nine months ended September 30, 2024 as compared to the nine months ended September 30, 2023. The increase was primarily due to a $5.9 million non-cash share-based compensation expense charge for the modification of awards for the former CEO, an increase of $2.4 million in professional fees for legal and accounting costs, including $1.6 million related to the Warrant Exchange and $0.8 million related to our ongoing operations as a public company and an increase of $1.2 million in expenses related to compensation for personnel in executive and administrative functions including share-based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 net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(income)/expense, net increased by $0.1 million for the nine months ended September 30, 2024 compared to the nine months ended September 30, 2023 primarily due to net foreign exchange transaction gains.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income increased by $5.1 million for the nine months ended September 30, 2024 as compared to the nine months ended September 30, 2023. This is due to an increase in cash and cash equivalents balance during the nine months ended September 30, 2024 as compared to the nine months ended September 30,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income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Dividend income decreased by $1.4 million for the nine months ended September 30, 2024 as compared to the nine months ended September 30, 2023. We held no dividend-generating cash equivalents during the nine months ended September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Revaluation loss on the liability-classified Private Placement Warrants assumed in the Business Combination was $5.2 million during the nine months ended September 30, 2024 compared to a revaluation loss of $0.2 million for the nine months ended September 30, 2023. During the nine months ended September 30, 2024, the Private Placement Warrants were recorded at their settlement value upon completion of the Warrant Exchange, which was the fair value of the Class A Ordinary Shares exchanged for the Private Placement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note payable</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Revaluation loss on the note payable was $2.2 million for the nine months ended September 30, 2023, as the note was remeasured to its settlement value and settled at the closing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Redeemable Noncontrolling Interest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loss attributable to redeemable noncontrolling interest was $0.2 million for the nine months ended September 30, 2023, representing the noncontrolling shareholder’s interest in the net loss of our consolidated subsidiary, Z33. Z33 had an immaterial amount of net loss for the nine months ended September 30,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7"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Accretion of Redeemable Noncontrolling Interest to Redemption Value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Accretion of redeemable noncontrolling interest to redemption value increased by $4.4 million for the nine months ended September 30, 2024 as compared to the nine months ended September 30, 2023. This increase is due to remeasurement of the Z33 Series Seed Preferred Shares to redemption value. After the modification of the terms of the Z33 Series Seed Preferred Shares issued to Stone Peach (see </w:t>
      </w:r>
      <w:r>
        <w:rPr>
          <w:rFonts w:ascii="Times New Roman" w:cs="Times New Roman" w:eastAsia="Times New Roman" w:hAnsi="Times New Roman"/>
          <w:sz w:val="18"/>
          <w:szCs w:val="18"/>
          <w:i w:val="1"/>
          <w:iCs w:val="1"/>
          <w:color w:val="auto"/>
        </w:rPr>
        <w:t>“—2022 Lilly License”</w:t>
      </w:r>
      <w:r>
        <w:rPr>
          <w:rFonts w:ascii="Times New Roman" w:cs="Times New Roman" w:eastAsia="Times New Roman" w:hAnsi="Times New Roman"/>
          <w:sz w:val="18"/>
          <w:szCs w:val="18"/>
          <w:color w:val="auto"/>
        </w:rPr>
        <w:t xml:space="preserve"> above), the Z33 Series Seed Preferred Shares are recorded at the greater of the redemption value or the initial fair value, less noncontrolling shareholder’s interest in net loss of Z33.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Deemed Dividend to Redeemable Noncontrolling Interest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Deemed dividend to the redeemable noncontrolling interest was $10.9 million for the nine months ended September 30, 2023, due to the modification of the terms of the Z33 Series Seed Preferred Shares issued to Stone Peach (see </w:t>
      </w:r>
      <w:r>
        <w:rPr>
          <w:rFonts w:ascii="Times New Roman" w:cs="Times New Roman" w:eastAsia="Times New Roman" w:hAnsi="Times New Roman"/>
          <w:sz w:val="18"/>
          <w:szCs w:val="18"/>
          <w:i w:val="1"/>
          <w:iCs w:val="1"/>
          <w:color w:val="auto"/>
        </w:rPr>
        <w:t>“—2022 Lilly License”</w:t>
      </w:r>
      <w:r>
        <w:rPr>
          <w:rFonts w:ascii="Times New Roman" w:cs="Times New Roman" w:eastAsia="Times New Roman" w:hAnsi="Times New Roman"/>
          <w:sz w:val="18"/>
          <w:szCs w:val="18"/>
          <w:color w:val="auto"/>
        </w:rPr>
        <w:t xml:space="preserve"> above). The Z33 Series Seed Preferred Shares were not modified during the nine months ended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 of Redeemable Noncontrolling Interest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2024, redeemable noncontrolling interest of the Z33 Series Seed Preferred Shares are recorded at the greater of the redemption value or the initial fair value, less noncontrolling shareholder’s interest in net loss of Z33. For the nine months ended September 30, 2024, the adjustment of redeemable noncontrolling interest from redemption value of $7.0 million resulted from a decrease in the redemption value of the Z33 Series Seed Preferred Shares below its initial fair value, less the noncontrolling shareholder’s interest in net loss of Z33, as of March 31, 2024. Subsequent to March 31, 2024, there was an accretion of the redeemable noncontrolling interest when remeasuring the Z33 Series Seed Preferred Shares to its redemption value, which was greater than its initial fair value, less noncontrolling shareholder’s interest in the net loss of Z33. Accordingly, the accretion is included in accretion of redeemable noncontrolling interest to redemption value (see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and expect to continue to incur significant operating losses for the foreseeable future and may never become profitable. As of September 30, 2024, we had cash and cash equivalents of $188.2 million. As of September 30, 2024, we have funded our operations through (i) the sale of equity, raising an aggregate of $10.0 million of gross proceeds from the sale of our convertible preferred shares; (ii) the issuance of a promissory note, receiving net proceeds of $7.6 million;</w:t>
      </w:r>
    </w:p>
    <w:p>
      <w:pPr>
        <w:spacing w:after="0" w:line="3" w:lineRule="exact"/>
        <w:rPr>
          <w:sz w:val="20"/>
          <w:szCs w:val="20"/>
          <w:color w:val="auto"/>
        </w:rPr>
      </w:pPr>
    </w:p>
    <w:p>
      <w:pPr>
        <w:jc w:val="both"/>
        <w:ind w:firstLine="8"/>
        <w:spacing w:after="0" w:line="250" w:lineRule="auto"/>
        <w:tabs>
          <w:tab w:leader="none" w:pos="3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Business Combination of $56.7 million in March 2023; (iv) the April 2023 Private Placement, raising an aggregate of $80.0 million of gross proceeds from the sale of Class A Ordinary Shares and pre-funded warrants in May and June 2023;</w:t>
      </w:r>
    </w:p>
    <w:p>
      <w:pPr>
        <w:jc w:val="both"/>
        <w:ind w:firstLine="8"/>
        <w:spacing w:after="0" w:line="255" w:lineRule="auto"/>
        <w:tabs>
          <w:tab w:leader="none" w:pos="2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April 2024 Private Placement, raising an additional $112.5 million of gross proceeds from the sale of Class A Ordinary Shares and pre-funded warrants; and (vi) the sale under the ATM of 1,500,000 Class A Ordinary Shares at a price of $3.80 per share for net proceeds of $5.5 million, after commissions, less $0.6 million of offering costs incurred in connection with establishing the ATM.</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operating losses and cash outflows from operations since inception and will require ongoing financing in order to continue our research and development activities. We have not earned any revenue or reached successful commercialization of our products. Our future operations are dependent upon our ability to finance our cash requirements which will allow us to continue our research and development activities and the commercialization of our products. There can be no assurance that we will be successful in continuing to finance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date, we have not generated revenue from any source, including the commercial sale of approved drug products, and we do not expect to generate revenue for at least the next few years. If we fail to complete the development of our product candidates in a timely manner or fail to obtain their regulatory approval, our ability to generate future revenue will be adversely affected. We do not know when, or if, we will generate any revenue from our product candidates, and we do not expect to generate revenue unless and until we obtain regulatory approval of, and commercialize, our product candidates.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sectPr>
      </w:pPr>
    </w:p>
    <w:bookmarkStart w:id="35" w:name="page36"/>
    <w:bookmarkEnd w:id="3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our expenses to continue to increase in connection with our ongoing activities, particularly as we continue the research and development, and seek marketing approval for our product candidates, as well as administrative costs associated with supporting our operations. In addition, if we obtain approval for any of our product candidates, we expect to incur significant commercialization expenses related to sales, marketing, manufacturing and distribution. Furthermore, we expect to incur additional costs associated with operating as a public company.</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will also be responsible to Pfizer and Lilly for significant future contingent payments under the Pfizer Agreement, the 2022 Lilly License, and the 2023 Lilly License (collectively with the 2022 Lilly License, the “Lilly Licenses”) upon the achievement of certain development, regulatory, and sales milestones, as well as ongoing royalties on net commercial sales. The size and timing of these milestone payments will vary greatly depending upon a number of factors, and it is therefore difficult to estimate the total payments that could become payable to Pfizer and Lilly and when those payments would be due. If we achieve all of the milestones, we would be obligated to pay multimillion dollar development and regulatory milestone payments and sales milestone payments. We will be required to pay certain of these milestone payments prior to the time at which we are able to generate sufficient revenue, if any, from commercial sales of any of our product candidates. We intend to fund these milestone payments using a portion of the proceeds from the Business Combination, the April 2023 Private Placement, the April 2024 Private Placement and sales under the ATM. In addition to milestone payments, we are also required to pay Pfizer and Lilly under the Pfizer Agreement and Lilly Licenses, respectively, ongoing royalties in the mid-single digits to low double-digits (less than 20%) percentage range based upon thresholds of net sales of products.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intend to devote most of the net proceeds from the Business Combination, the April 2023 Private Placement, the April 2024 Private Placement and sales under the ATM to the preclinical and clinical development of our product candidates, our public company compliance costs and certain milestone payments. Based on our current business plans, we believe that our existing cash, cash equivalents and investments should be sufficient to fund our operating expenses and capital requirements through at least the next twelve months. Our estimate as to how long we expect our existing cash, cash equivalents and investments to be able to fund our operating expenses and capital requirements is based on assumptions that may prove to be wrong, and we could use our available capital resources sooner than we currently expect. Changing circumstances, some of which may be beyond our control, could result in less cash available to us or cause us to consume capital significantly faster than we currently anticipate, and we may need to seek additional funds sooner than planned.</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drug products, we are unable to estimate the exact amount of our operating capital requirements. Our future funding requirements will depend on many factors, including, but not limited to:</w:t>
      </w:r>
    </w:p>
    <w:p>
      <w:pPr>
        <w:spacing w:after="0" w:line="176" w:lineRule="exact"/>
        <w:rPr>
          <w:sz w:val="20"/>
          <w:szCs w:val="20"/>
          <w:color w:val="auto"/>
        </w:rPr>
      </w:pPr>
    </w:p>
    <w:p>
      <w:pPr>
        <w:ind w:left="6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product candidates pipeline;</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our milestone payments to Pfizer under the Pfizer Agreement and to Lilly under the Lilly Licenses;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and expand our commercial infrastructure and operations;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distributions,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to Pfizer under the Pfizer Agreement and Lilly under the Lilly Licenses;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ectPr>
          <w:pgSz w:w="11900" w:h="16838" w:orient="portrait"/>
          <w:cols w:equalWidth="0" w:num="1">
            <w:col w:w="9920"/>
          </w:cols>
          <w:pgMar w:left="980" w:top="1269"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9" w:right="999" w:bottom="1440" w:gutter="0" w:footer="0" w:header="0"/>
          <w:type w:val="continuous"/>
        </w:sectPr>
      </w:pPr>
    </w:p>
    <w:bookmarkStart w:id="36" w:name="page37"/>
    <w:bookmarkEnd w:id="36"/>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sales of our product candidates for which we receive marketing approval;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our product candidates that we do not expect to be commercially available in the near term, if at all and are subject to successful clinical development and regulatory approval. Accordingly, we may need to continue to rely on additional financing to achieve our business objectives. Adequate additional financing may not be available to us on acceptable terms, or at all. To the extent that we raise additional capital through securities or debt financing, the terms of these securities or this debt may restrict our ability to operate. Any financing, if available, may involve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we could be forced to delay, reduce or eliminate our research and development programs or future commercialization efforts.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36"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For the</w:t>
      </w:r>
    </w:p>
    <w:p>
      <w:pPr>
        <w:ind w:left="8220"/>
        <w:spacing w:after="0" w:line="229" w:lineRule="auto"/>
        <w:rPr>
          <w:sz w:val="20"/>
          <w:szCs w:val="20"/>
          <w:color w:val="auto"/>
        </w:rPr>
      </w:pPr>
      <w:r>
        <w:rPr>
          <w:rFonts w:ascii="Times New Roman" w:cs="Times New Roman" w:eastAsia="Times New Roman" w:hAnsi="Times New Roman"/>
          <w:sz w:val="14"/>
          <w:szCs w:val="14"/>
          <w:b w:val="1"/>
          <w:bCs w:val="1"/>
          <w:color w:val="auto"/>
        </w:rPr>
        <w:t>Nine Months</w:t>
      </w:r>
    </w:p>
    <w:p>
      <w:pPr>
        <w:ind w:left="8420"/>
        <w:spacing w:after="0" w:line="221" w:lineRule="auto"/>
        <w:rPr>
          <w:sz w:val="20"/>
          <w:szCs w:val="20"/>
          <w:color w:val="auto"/>
        </w:rPr>
      </w:pPr>
      <w:r>
        <w:rPr>
          <w:rFonts w:ascii="Times New Roman" w:cs="Times New Roman" w:eastAsia="Times New Roman" w:hAnsi="Times New Roman"/>
          <w:sz w:val="14"/>
          <w:szCs w:val="14"/>
          <w:b w:val="1"/>
          <w:bCs w:val="1"/>
          <w:color w:val="auto"/>
        </w:rPr>
        <w:t>Ended</w:t>
      </w:r>
    </w:p>
    <w:p>
      <w:pPr>
        <w:ind w:left="8180"/>
        <w:spacing w:after="0" w:line="232"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121,293</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102,292</w:t>
            </w:r>
          </w:p>
        </w:tc>
      </w:tr>
      <w:tr>
        <w:trPr>
          <w:trHeight w:val="20"/>
        </w:trPr>
        <w:tc>
          <w:tcPr>
            <w:tcW w:w="7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increased by $6.3 million to $17.3 million for the nine months ended September 30, 2024 from $11.0 million for the nine months ended September 30, 2023. When adjusting the decrease in the net loss before redeemable noncontrolling interest of $13.3 million with the decrease in non-cash expenses of $19.8 million, our cash net loss is responsible for an increase in net cash used in operations of $6.5 million for the nine months ended September 30, 2024. The increase in non-cash charges was due to of an expense incurred in connection with the 2023 Lilly License of 27.4 million, a change in fair value of our promissory note of $2.2 million, a share-based payment expense of $2.2 million related to the anti-dilution shares issued to Pfizer, and a change in fair value of our research and development license consideration liability of $1.9 million for the nine months ended September 30, 2023, partially offset by an increase in share-based compensation expense of $8.9 million, of which $5.9 million related to the modification of our former CEOs awards, and an increase in the change in fair value on the Private Placement Warrants of $5.0 million for the nine months ended September 30, 2024. Working capital changes offset the adjusted net loss, providing $0.2 million of cash for operating activities, resulting from an increase in cash provided by prepaid expenses and other current assets, partially offset by a decreased use of cash for accounts payable and accrued expenses for the nine months ended September 30,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2024 was $5.0 million, which was primarily related to the cash consideration paid to acquire the 2023 Lilly License as well as a nominal amount of equipment purchased during the period.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2023 was $8.0 million, which was entirely related to cash consideration paid to acquire the 2023 Lilly License.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9"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2024 was $110.7 million, which consisted of $62.5 million of proceeds from the issuance of Class A Ordinary Shares in connection with the April 2024 Private Placement, $50.0 million of proceeds from the issuance of Pre-Funded Warrants in connection with the April 2024 Private Placement and net proceeds of $5.5 million, after commissions, for the sale of Class A Ordinary Shares under our ATM, partially offset by transaction costs of $7.2 million incurred in connection with the 2024 Private Placement.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2023 was $121.3 million, which consisted of $56.7 million of proceeds from the issuance of shares upon the closing of the Business Combination, and $59.7 million of proceeds from the issuance of Class A Ordinary Shares in connection with the April 2023 Private Placement, $16.1 million of proceeds from the issuance of Pre-Funded Warrants in connection with the April 2023 Private Placement, partially offset by a $10.0 million repayment of our promissory note and $1.2 million of payments of deferred transaction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or will enter into agreements in the normal course of business with contract research organizations, contract manufacturing organizations and other vendors for research and development services for operating purposes, which are generally cancelable upon written notice. Some third party CMOs have intellectual property, such as patents and/or know-how with an annual fee and royalty bearing license to its customers that forms part of the manufacturing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Lonza</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entered into the Lonza License for a worldwide non-exclusive license for Lonza’s gene expression system in exchange for varying considerations depending on a number of factors such as whether we enter further into manufacturing agreements with Lonza or with a third party, and whether we enter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We are free to terminate the Lonza License at any time upon 60 days’ notice, with or without cause. Lonza may terminate the Lonza License for cause upon a breach by Zura or for other commercially standard reasons. During October 2023, we began drug substance manufacturing with a third party. As a result of manufacturing with a third party other than Lonza, under the terms of the Lonza License the first license fee $0.4 million was due in the fourth quarter of 2023 and annually thereafter. This fee was recorded in our condensed consolidated statement of operations in the fourth quarter of 2023 and was paid during the nine months ended September 30, 2024. We did not owe any other amounts under the Lonza License as of September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WuXi Biologics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2023, we entered into a master services agreement with WuXi Biologics (the “WuXi Biologics MSA”). Under the WuXi Biologics MSA, we are obligated to pay WuXi Biologics a service fee and all non-cancellable obligations in the amount specified in each work order associated with the agreement for the provision of services. The People’s Republic of China (“PRC”), and WuXi Biologics specifically, have faced increased scrutiny by the U.S. government, which could impact our ability to supply torudokimab to meet future demand or cause us to incur additional cost to transfer services to another contract manufacturing organization.</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WuXi Biologics MSA terminates on the completion of services under all work orders executed by the parties, unless terminated earlier. The term of each work order terminates upon completion of the services under such work order, unless terminated earlier. We can terminate the WuXi Biologics MSA or any work order at any time upon 30 days’ prior written notice and immediately upon written notice if WuXi Biologics fails to obtain or maintain required material governmental licenses or approvals. Either party may terminate a work order at any time upon three months’ prior notice with reasonable cause, provided however that if WuXi Biologics terminates a work order in such manner, no termination or cancellation fees shall be paid by us and immediately for cause upon the other party’s material breach that remains uncured for 30 days after notice of such breach.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7" w:right="999" w:bottom="1440" w:gutter="0" w:footer="0" w:header="0"/>
        </w:sectPr>
      </w:pPr>
    </w:p>
    <w:bookmarkStart w:id="38" w:name="page39"/>
    <w:bookmarkEnd w:id="3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July 2023, we entered into a cell line license agreement (the “Cell Line License Agreement”) with WuXi Biologics for torudokimab. The Cell Line License Agreement provides us with a non-exclusive, worldwide, sublicensable license to certain of WuXi Biologics’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In consideration for the license, we agreed to pay WuXi Biologics a non-refundable license fee of $150,000. Additionally, if we manufacture all of our commercial supplies of bulk drug product with a manufacturer other than WuXi Biologics or its affiliates, we are required to make royalty payments to WuXi Biologics in an amount 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Cell Line License Agreement will continue indefinitely unless terminated (i) by us upon three months’ prior written notice and its payment of all undisputed amounts due to WuXi Biologics through the effective date of termination, (ii) by WuXi Biologics for a material breach by us that remains uncured for 30 days after written notice, or (iii) by WuXi Biologics if we fail to make a payment and such failure continues for 30 days after receiving notice of such failure.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October 2024 and July 2024, we entered into two separate start-up agreements with third-party CROs, including total costs of approximately $3.5 million and $4.1 million, to manage and conduct our two planned Phase 2 clinical trials for tibulizumab in (i) hidradenitis suppurativa and (ii) systemic sclerosis, respectively.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included future milestone or royalty payments or other contractual payment obligations as the timing and amount of such obligations are unknown or uncertain and are contingent upon the initiation, continuation, and/or successful completion of future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unaudited interim condensed consolidated financial statements, which have been prepared in accordance with U.S. Generally Accepted Accounting Principles, and on a basis consistent with those accounting principles followed by us and disclosed in Note 2 to our most recent annual audited consolidated financial statements in the 2023 Annual Report. The preparation of these unaudited interim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as described under Note 2 of our unaudited interim condensed consolidated financial statements, there have been no material changes to our critical accounting policies from those described in “Management’s Discussion and Analysis of Financial Condition and Results of Operations,” included in our 2023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located in “Part I – Financial Information, Item 1. Financial Statements” in this Quarterly Report for a description of recent accounting pronouncements applicable to our financial statements.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can take advantage of the extended transition period provided in Section 7(a)(2)(B) of the Securities Act of 1933, as amended (“Securities Act”) for complying with new or revised accounting standards. Thus, an emerging growth company can delay the adoption of certain accounting standards until those standards would otherwise apply to private companies. Upon closing of the Business Combination, we remained an emerging growth company and may elect to extend the transition period for complying with new or revised accounting standards, which delays the adoption of these accounting standards until they would apply to private companies.</w:t>
      </w:r>
    </w:p>
    <w:p>
      <w:pPr>
        <w:sectPr>
          <w:pgSz w:w="11900" w:h="16838" w:orient="portrait"/>
          <w:cols w:equalWidth="0" w:num="1">
            <w:col w:w="9920"/>
          </w:cols>
          <w:pgMar w:left="980" w:top="1269"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9" w:right="999" w:bottom="1440" w:gutter="0" w:footer="0" w:header="0"/>
          <w:type w:val="continuous"/>
        </w:sectPr>
      </w:pPr>
    </w:p>
    <w:bookmarkStart w:id="39" w:name="page40"/>
    <w:bookmarkEnd w:id="39"/>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680" w:right="20" w:hanging="321"/>
        <w:spacing w:after="0" w:line="266" w:lineRule="auto"/>
        <w:tabs>
          <w:tab w:leader="none" w:pos="680" w:val="left"/>
        </w:tabs>
        <w:numPr>
          <w:ilvl w:val="0"/>
          <w:numId w:val="2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pacing w:after="0" w:line="175" w:lineRule="exact"/>
        <w:rPr>
          <w:rFonts w:ascii="Times New Roman" w:cs="Times New Roman" w:eastAsia="Times New Roman" w:hAnsi="Times New Roman"/>
          <w:sz w:val="18"/>
          <w:szCs w:val="18"/>
          <w:color w:val="212529"/>
        </w:rPr>
      </w:pPr>
    </w:p>
    <w:p>
      <w:pPr>
        <w:ind w:left="680" w:hanging="321"/>
        <w:spacing w:after="0" w:line="282" w:lineRule="auto"/>
        <w:tabs>
          <w:tab w:leader="none" w:pos="680" w:val="left"/>
        </w:tabs>
        <w:numPr>
          <w:ilvl w:val="0"/>
          <w:numId w:val="2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an exception from compliance with the auditor attestation requirements of Section 404 of the Sarbanes-Oxley Act of 2002, as amended;</w:t>
      </w:r>
    </w:p>
    <w:p>
      <w:pPr>
        <w:spacing w:after="0" w:line="161" w:lineRule="exact"/>
        <w:rPr>
          <w:rFonts w:ascii="Times New Roman" w:cs="Times New Roman" w:eastAsia="Times New Roman" w:hAnsi="Times New Roman"/>
          <w:sz w:val="18"/>
          <w:szCs w:val="18"/>
          <w:color w:val="212529"/>
        </w:rPr>
      </w:pPr>
    </w:p>
    <w:p>
      <w:pPr>
        <w:ind w:left="680" w:hanging="321"/>
        <w:spacing w:after="0" w:line="282" w:lineRule="auto"/>
        <w:tabs>
          <w:tab w:leader="none" w:pos="680" w:val="left"/>
        </w:tabs>
        <w:numPr>
          <w:ilvl w:val="0"/>
          <w:numId w:val="2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reduced disclosure about our executive compensation arrangements in our periodic reports, proxy statements and registrations statements; and</w:t>
      </w:r>
    </w:p>
    <w:p>
      <w:pPr>
        <w:spacing w:after="0" w:line="161" w:lineRule="exact"/>
        <w:rPr>
          <w:rFonts w:ascii="Times New Roman" w:cs="Times New Roman" w:eastAsia="Times New Roman" w:hAnsi="Times New Roman"/>
          <w:sz w:val="18"/>
          <w:szCs w:val="18"/>
          <w:color w:val="212529"/>
        </w:rPr>
      </w:pPr>
    </w:p>
    <w:p>
      <w:pPr>
        <w:jc w:val="both"/>
        <w:ind w:left="680" w:hanging="321"/>
        <w:spacing w:after="0" w:line="266" w:lineRule="auto"/>
        <w:tabs>
          <w:tab w:leader="none" w:pos="680" w:val="left"/>
        </w:tabs>
        <w:numPr>
          <w:ilvl w:val="0"/>
          <w:numId w:val="2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exemptions from the requirements of holding non-binding advisory votes on executive compensation or golden parachute arrangements; and an exemption from compliance with the requirements of the Public Company Accounting Oversight Board regarding the communication of critical audit matters in the auditor’s report on financial statements.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would cease to qualify as an emerging growth company on the date that is the earliest of: (i) December 31, 2026, (ii) the last day of the fiscal year in which we have more than $1.07 billion in total annual gross revenues, (iii) the date on which we are deemed to be a “large accelerated filer” under the rules of the SEC, which means the market value of our Class A Ordinary Shares that is held by non-affiliates exceeds $700.0 million as of the prior September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Accordingly, the information contained herein may be different than you might obtain from other public companies in which you hold equity interests.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also a “smaller reporting company” as defined under the Securities Act and Exchange Act. We may continue to be a smaller reporting company so long as either (i) the market value of Class A Ordinary Shares held by non-affiliates is less than $250 million or (ii) our annual revenue was less than $100 million during the most recently completed fiscal year and the market value of Class A Ordinary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under the requirements of (ii) above, we would not be required to obtain an attestation report on internal control over financial reporting issued by our independent registered public accounting firm.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the information otherwise required by this Item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under the Securities Exchange Act of 1934, as amended (the “Exchange Act”), is recorded, processed, summarized and reported within the time period specified in the SEC’s rules and forms, and that such information is accumulated and communicated to management including our Chief Executive Officer, Chief Financial Officer, as appropriate, to allow timely decisions regarding required disclosure. As of September 30, 2024, our Chief Executive Officer and Chief Financial Officer carried out an evaluation with the participation of management of the effectiveness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September 30,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9" w:right="999" w:bottom="1440" w:gutter="0" w:footer="0" w:header="0"/>
        </w:sectPr>
      </w:pPr>
    </w:p>
    <w:bookmarkStart w:id="40" w:name="page41"/>
    <w:bookmarkEnd w:id="4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Securities Exchange Act of 1934 that occurred during the quarter ended September 30, 2024, that has materially affected, or is reasonably likely to materially affect, our internal control over financial reporting.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Please refer to the risk factors set forth under the heading “Risk Factors” in our Annual Report on Form 10-K for the year ended December 31, 2023. We may disclose changes to risk factors or additional risk factors from time to time in our future filings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15, 2024, we entered into a share surrender and warrant agreement (the “Share Exchange Agreement”) with entities affiliated with Venrock Healthcare Capital Partners (the “Shareholders”), pursuant to which (i) the Shareholders surrendered an aggregate of 4,000,000 Class A Ordinary Shares, owned by the Shareholders, for no consideration, which were immediately cancelled and retired, upon surrender; and (2) we issued pre-funded warrants (the “Share Exchange Warrants”) to purchase an aggregate of 4,000,000 Ordinary Shares, with an exercise price of $0.001 per share and no expiration date. The Share Exchange Warrants will be exercisable immediately and have substantially identical terms to the form of 2024 Pre-Funded Warrant. A holder of the Share Exchange Warrants (together with its affiliates and other attribution parties) may not exercise any portion of a Share Exchange Warrant to the extent that immediately prior to or after giving effect to such exercise the holder would beneficially own more than 9.99% of our outstanding common shares immediately after exercise, which percentage may be increased or decreased to any other percentage specified not in excess of 9.99% at the holder’s election upon 61 days’ notice to us subject to the terms of the Share Exchange Warrants. The Share Exchange Warrants are exempt from registration pursuant to Section 3(a)(9) of the Securities Act as an exchange with an existing security holder where no commission or other remuneration is paid or given for soliciting such exchange.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940" w:type="dxa"/>
            <w:vAlign w:val="bottom"/>
            <w:gridSpan w:val="2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940" w:type="dxa"/>
            <w:vAlign w:val="bottom"/>
            <w:gridSpan w:val="2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4"/>
                <w:szCs w:val="14"/>
                <w:color w:val="auto"/>
              </w:rPr>
            </w:pPr>
          </w:p>
        </w:tc>
        <w:tc>
          <w:tcPr>
            <w:tcW w:w="8940" w:type="dxa"/>
            <w:vAlign w:val="bottom"/>
            <w:tcBorders>
              <w:top w:val="single" w:sz="8" w:color="auto"/>
            </w:tcBorders>
            <w:gridSpan w:val="24"/>
          </w:tcPr>
          <w:p>
            <w:pPr>
              <w:spacing w:after="0" w:line="169"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Third Amendment dated as of January 13, 2023 to the Business Combination Agreement by and among JATT Acquisition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Corp., JATT Merger Sub, JATT Merger Sub 2, Zura Holdings, Ltd. and Zura Bio Limited (incorporated by reference to</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Exhibit 2.1 of JATT’s Current Report on Form 8-K (File No. 001-40598), filed with the SEC on January 19, 2023).</w:t>
              </w:r>
            </w:hyperlink>
          </w:p>
        </w:tc>
        <w:tc>
          <w:tcPr>
            <w:tcW w:w="280" w:type="dxa"/>
            <w:vAlign w:val="bottom"/>
            <w:tcBorders>
              <w:top w:val="single" w:sz="8" w:color="0000EE"/>
            </w:tcBorders>
          </w:tcPr>
          <w:p>
            <w:pPr>
              <w:spacing w:after="0"/>
              <w:rPr>
                <w:sz w:val="17"/>
                <w:szCs w:val="17"/>
                <w:color w:val="auto"/>
              </w:rPr>
            </w:pPr>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7"/>
                <w:szCs w:val="17"/>
                <w:color w:val="auto"/>
              </w:rPr>
            </w:pPr>
          </w:p>
        </w:tc>
        <w:tc>
          <w:tcPr>
            <w:tcW w:w="8940" w:type="dxa"/>
            <w:vAlign w:val="bottom"/>
            <w:gridSpan w:val="24"/>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Second Amended and Restated Memorandum of Association of Zura Bio Limited (incorporated by reference to Exhibit 3.1</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to the Current Report on Form 8-K, filed with the SEC on March 24, 2023).</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8940" w:type="dxa"/>
            <w:vAlign w:val="bottom"/>
            <w:gridSpan w:val="24"/>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Specimen Warrant Certificate of Zura (incorporated by reference to Exhibit 4.6 of JATT’s Form S-4 (File No. 333-267005)</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filed with the SEC on August 19, 2022).</w:t>
              </w:r>
            </w:hyperlink>
          </w:p>
        </w:tc>
        <w:tc>
          <w:tcPr>
            <w:tcW w:w="5940" w:type="dxa"/>
            <w:vAlign w:val="bottom"/>
            <w:tcBorders>
              <w:top w:val="single" w:sz="8" w:color="0000EE"/>
            </w:tcBorders>
            <w:gridSpan w:val="18"/>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8940" w:type="dxa"/>
            <w:vAlign w:val="bottom"/>
            <w:gridSpan w:val="24"/>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Form of Pre-Funded Warrant to Purchase Ordinary Shares (incorporated herein by reference to Exhibit 4.1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Company’s Current Report on Form 8-K, filed with the SEC on May 3, 2023).</w:t>
              </w:r>
            </w:hyperlink>
          </w:p>
        </w:tc>
        <w:tc>
          <w:tcPr>
            <w:tcW w:w="2460" w:type="dxa"/>
            <w:vAlign w:val="bottom"/>
            <w:tcBorders>
              <w:top w:val="single" w:sz="8" w:color="0000EE"/>
            </w:tcBorders>
            <w:gridSpan w:val="3"/>
          </w:tcPr>
          <w:p>
            <w:pPr>
              <w:spacing w:after="0"/>
              <w:rPr>
                <w:sz w:val="17"/>
                <w:szCs w:val="17"/>
                <w:color w:val="auto"/>
              </w:rPr>
            </w:pPr>
          </w:p>
        </w:tc>
        <w:tc>
          <w:tcPr>
            <w:tcW w:w="8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7"/>
                <w:szCs w:val="17"/>
                <w:color w:val="auto"/>
              </w:rPr>
            </w:pPr>
          </w:p>
        </w:tc>
        <w:tc>
          <w:tcPr>
            <w:tcW w:w="87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Form of Pre-Funded Warrant to purchase Ordinary Shares (incorporated by reference to Exhibit 4.1 to the Current Report</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24"/>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on Form 8-K filed with the Securities and Exchange Commission on April 23, 2024).</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7"/>
                <w:szCs w:val="17"/>
                <w:color w:val="auto"/>
              </w:rPr>
            </w:pPr>
          </w:p>
        </w:tc>
        <w:tc>
          <w:tcPr>
            <w:tcW w:w="89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Form of Warrant to purchase Ordinary Shares (incorporated by reference to Exhibit 4.1 to the Current Report on Form 8 - 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24"/>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filed with the Securities and Exchange Commission on August 21, 2024).</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8940" w:type="dxa"/>
            <w:vAlign w:val="bottom"/>
            <w:gridSpan w:val="24"/>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Subscription Agreement (incorporated by reference to Exhibit 10.1 to the Current Report on Form 8-K filed with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the Securities and Exchange Commission on April 23, 2024).</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88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Settlement Agreement by and between Zura Bio Limited and Someit Sidhu dated July 24, 2024 (incorporated by reference</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24"/>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to Exhibit 10.1 to the Current Report on Form 8-K filed with the Securities and Exchange Commission on July 25, 2024).</w:t>
              </w:r>
            </w:hyperlink>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7"/>
                <w:szCs w:val="17"/>
                <w:color w:val="auto"/>
              </w:rPr>
            </w:pPr>
          </w:p>
        </w:tc>
        <w:tc>
          <w:tcPr>
            <w:tcW w:w="87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Amendment to Warrant Agreement, by and between Zura Bio Limited and Continental Stock Transfer &amp; Trust Company,</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dated August 12, 2024 (incorporated by reference to Exhibit 10.1 to the Current Report on Form 8-K filed with the</w:t>
              </w:r>
            </w:hyperlink>
          </w:p>
        </w:tc>
        <w:tc>
          <w:tcPr>
            <w:tcW w:w="460" w:type="dxa"/>
            <w:vAlign w:val="bottom"/>
            <w:tcBorders>
              <w:top w:val="single" w:sz="8" w:color="0000EE"/>
            </w:tcBorders>
            <w:gridSpan w:val="3"/>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Securities and Exchange Commission on August 12, 2024).</w:t>
              </w:r>
            </w:hyperlink>
          </w:p>
        </w:tc>
        <w:tc>
          <w:tcPr>
            <w:tcW w:w="46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89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Share Surrender and Warrant Agreement, dated as of August 15, 2024, by and among the Company and certain investors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party thereto (incorporated by reference to Exhibit 10.1 to the Current Report on Form 8 - K filed with the Securities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24"/>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Exchange Commission on August 21, 2024).</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1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8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of 1934, as Adopted Pursuant to Section 302 of the Sarbanes-Oxley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2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1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89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1934, as Adopted Pursuant to Section 302 of the Sarbanes-Oxley Act of 2002.</w:t>
            </w:r>
          </w:p>
        </w:tc>
        <w:tc>
          <w:tcPr>
            <w:tcW w:w="33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89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68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7"/>
                <w:szCs w:val="17"/>
                <w:color w:val="auto"/>
              </w:rPr>
            </w:pPr>
          </w:p>
        </w:tc>
        <w:tc>
          <w:tcPr>
            <w:tcW w:w="89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0" w:type="dxa"/>
            <w:vAlign w:val="bottom"/>
          </w:tcPr>
          <w:p>
            <w:pPr>
              <w:spacing w:after="0"/>
              <w:rPr>
                <w:sz w:val="1"/>
                <w:szCs w:val="1"/>
                <w:color w:val="auto"/>
              </w:rPr>
            </w:pPr>
          </w:p>
        </w:tc>
      </w:tr>
      <w:tr>
        <w:trPr>
          <w:trHeight w:val="218"/>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20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86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89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89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89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89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89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ectPr>
          <w:pgSz w:w="11900" w:h="16838" w:orient="portrait"/>
          <w:cols w:equalWidth="0" w:num="1">
            <w:col w:w="9920"/>
          </w:cols>
          <w:pgMar w:left="980" w:top="12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120" w:type="dxa"/>
            <w:vAlign w:val="bottom"/>
          </w:tcPr>
          <w:p>
            <w:pPr>
              <w:spacing w:after="0"/>
              <w:rPr>
                <w:sz w:val="19"/>
                <w:szCs w:val="19"/>
                <w:color w:val="auto"/>
              </w:rPr>
            </w:pPr>
          </w:p>
        </w:tc>
        <w:tc>
          <w:tcPr>
            <w:tcW w:w="678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ZURA BIO LIMITED</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18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Lisicki</w:t>
            </w:r>
          </w:p>
        </w:tc>
      </w:tr>
      <w:tr>
        <w:trPr>
          <w:trHeight w:val="191"/>
        </w:trPr>
        <w:tc>
          <w:tcPr>
            <w:tcW w:w="3120" w:type="dxa"/>
            <w:vAlign w:val="bottom"/>
          </w:tcPr>
          <w:p>
            <w:pPr>
              <w:spacing w:after="0"/>
              <w:rPr>
                <w:sz w:val="16"/>
                <w:szCs w:val="16"/>
                <w:color w:val="auto"/>
              </w:rPr>
            </w:pPr>
          </w:p>
        </w:tc>
        <w:tc>
          <w:tcPr>
            <w:tcW w:w="6780" w:type="dxa"/>
            <w:vAlign w:val="bottom"/>
            <w:gridSpan w:val="2"/>
          </w:tcPr>
          <w:p>
            <w:pPr>
              <w:ind w:left="1340"/>
              <w:spacing w:after="0" w:line="191" w:lineRule="exact"/>
              <w:rPr>
                <w:sz w:val="20"/>
                <w:szCs w:val="20"/>
                <w:color w:val="auto"/>
              </w:rPr>
            </w:pPr>
            <w:r>
              <w:rPr>
                <w:rFonts w:ascii="Times New Roman" w:cs="Times New Roman" w:eastAsia="Times New Roman" w:hAnsi="Times New Roman"/>
                <w:sz w:val="18"/>
                <w:szCs w:val="18"/>
                <w:color w:val="auto"/>
              </w:rPr>
              <w:t>Name:Robert Lisicki</w:t>
            </w:r>
          </w:p>
        </w:tc>
      </w:tr>
      <w:tr>
        <w:trPr>
          <w:trHeight w:val="216"/>
        </w:trPr>
        <w:tc>
          <w:tcPr>
            <w:tcW w:w="3120" w:type="dxa"/>
            <w:vAlign w:val="bottom"/>
          </w:tcPr>
          <w:p>
            <w:pPr>
              <w:spacing w:after="0"/>
              <w:rPr>
                <w:sz w:val="18"/>
                <w:szCs w:val="18"/>
                <w:color w:val="auto"/>
              </w:rPr>
            </w:pPr>
          </w:p>
        </w:tc>
        <w:tc>
          <w:tcPr>
            <w:tcW w:w="18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18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Verender Badial</w:t>
            </w:r>
          </w:p>
        </w:tc>
      </w:tr>
      <w:tr>
        <w:trPr>
          <w:trHeight w:val="191"/>
        </w:trPr>
        <w:tc>
          <w:tcPr>
            <w:tcW w:w="3120" w:type="dxa"/>
            <w:vAlign w:val="bottom"/>
          </w:tcPr>
          <w:p>
            <w:pPr>
              <w:spacing w:after="0"/>
              <w:rPr>
                <w:sz w:val="16"/>
                <w:szCs w:val="16"/>
                <w:color w:val="auto"/>
              </w:rPr>
            </w:pPr>
          </w:p>
        </w:tc>
        <w:tc>
          <w:tcPr>
            <w:tcW w:w="6780" w:type="dxa"/>
            <w:vAlign w:val="bottom"/>
            <w:gridSpan w:val="2"/>
          </w:tcPr>
          <w:p>
            <w:pPr>
              <w:ind w:left="1340"/>
              <w:spacing w:after="0" w:line="191" w:lineRule="exact"/>
              <w:rPr>
                <w:sz w:val="20"/>
                <w:szCs w:val="20"/>
                <w:color w:val="auto"/>
              </w:rPr>
            </w:pPr>
            <w:r>
              <w:rPr>
                <w:rFonts w:ascii="Times New Roman" w:cs="Times New Roman" w:eastAsia="Times New Roman" w:hAnsi="Times New Roman"/>
                <w:sz w:val="18"/>
                <w:szCs w:val="18"/>
                <w:color w:val="auto"/>
              </w:rPr>
              <w:t>Name:Verender Badial</w:t>
            </w:r>
          </w:p>
        </w:tc>
      </w:tr>
      <w:tr>
        <w:trPr>
          <w:trHeight w:val="216"/>
        </w:trPr>
        <w:tc>
          <w:tcPr>
            <w:tcW w:w="3120" w:type="dxa"/>
            <w:vAlign w:val="bottom"/>
          </w:tcPr>
          <w:p>
            <w:pPr>
              <w:spacing w:after="0"/>
              <w:rPr>
                <w:sz w:val="18"/>
                <w:szCs w:val="18"/>
                <w:color w:val="auto"/>
              </w:rPr>
            </w:pPr>
          </w:p>
        </w:tc>
        <w:tc>
          <w:tcPr>
            <w:tcW w:w="18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5"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Lisicki, certify that:</w:t>
      </w:r>
    </w:p>
    <w:p>
      <w:pPr>
        <w:spacing w:after="0" w:line="22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Zura Bio Limited;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sz w:val="20"/>
          <w:szCs w:val="20"/>
          <w:color w:val="auto"/>
        </w:rPr>
      </w:pPr>
    </w:p>
    <w:p>
      <w:pPr>
        <w:ind w:left="1300" w:hanging="630"/>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17145</wp:posOffset>
            </wp:positionV>
            <wp:extent cx="13627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 Robert Lisicki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17145</wp:posOffset>
            </wp:positionV>
            <wp:extent cx="30346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Robert Lisicki</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Verender Badial,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Zura Bio Limited;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sz w:val="20"/>
          <w:szCs w:val="20"/>
          <w:color w:val="auto"/>
        </w:rPr>
      </w:pPr>
    </w:p>
    <w:p>
      <w:pPr>
        <w:ind w:left="1300" w:hanging="630"/>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17145</wp:posOffset>
            </wp:positionV>
            <wp:extent cx="9429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Verender Badial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17145</wp:posOffset>
            </wp:positionV>
            <wp:extent cx="30003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Verender Badial</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Zura Bio Limited (the “Company”) on Form 10-Q for the quarterly period ended September 30, 2024, as filed with the Securities and Exchange Commission (the “Report”), I, Robert Lisicki, Chief Executive Officer of the Company, certify, pursuant to 18 U.S.C. §1350, as adopted pursuant to §906 of the Sarbanes-Oxley Act of 2002, that, to the best of my knowledge:</w:t>
      </w:r>
    </w:p>
    <w:p>
      <w:pPr>
        <w:spacing w:after="0" w:line="180"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wp:posOffset>
            </wp:positionV>
            <wp:extent cx="12084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0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 Robert Lisicki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17145</wp:posOffset>
            </wp:positionV>
            <wp:extent cx="30346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Robert Lisicki</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Zura Bio Limited (the “Company”) on Form 10-Q for the quarterly period ended September 30, 2024, as filed with the Securities and Exchange Commission (the “Report”), I, Verender Badial, Chief Financial Officer of the Company, certify, pursuant to 18 U.S.C. §1350, as adopted pursuant to §906 of the Sarbanes-Oxley Act of 2002, that, to the best of my knowledge:</w:t>
      </w:r>
    </w:p>
    <w:p>
      <w:pPr>
        <w:spacing w:after="0" w:line="180"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17145</wp:posOffset>
            </wp:positionV>
            <wp:extent cx="14141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 Verender Badial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17145</wp:posOffset>
            </wp:positionV>
            <wp:extent cx="31629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Verender Badial</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2"/>
    </w:lvl>
  </w:abstractNum>
  <w:abstractNum w:abstractNumId="7">
    <w:nsid w:val="628C895D"/>
    <w:multiLevelType w:val="hybridMultilevel"/>
    <w:lvl w:ilvl="0">
      <w:lvlJc w:val="left"/>
      <w:lvlText w:val="%1."/>
      <w:numFmt w:val="decimal"/>
      <w:start w:val="3"/>
    </w:lvl>
  </w:abstractNum>
  <w:abstractNum w:abstractNumId="8">
    <w:nsid w:val="333AB105"/>
    <w:multiLevelType w:val="hybridMultilevel"/>
    <w:lvl w:ilvl="0">
      <w:lvlJc w:val="left"/>
      <w:lvlText w:val="%1."/>
      <w:numFmt w:val="decimal"/>
      <w:start w:val="4"/>
    </w:lvl>
  </w:abstractNum>
  <w:abstractNum w:abstractNumId="9">
    <w:nsid w:val="721DA317"/>
    <w:multiLevelType w:val="hybridMultilevel"/>
    <w:lvl w:ilvl="0">
      <w:lvlJc w:val="left"/>
      <w:lvlText w:val="%1."/>
      <w:numFmt w:val="decimal"/>
      <w:start w:val="5"/>
    </w:lvl>
  </w:abstractNum>
  <w:abstractNum w:abstractNumId="10">
    <w:nsid w:val="2443A858"/>
    <w:multiLevelType w:val="hybridMultilevel"/>
    <w:lvl w:ilvl="0">
      <w:lvlJc w:val="left"/>
      <w:lvlText w:val="(%1)"/>
      <w:numFmt w:val="lowerRoman"/>
      <w:start w:val="1"/>
    </w:lvl>
  </w:abstractNum>
  <w:abstractNum w:abstractNumId="11">
    <w:nsid w:val="2D1D5AE9"/>
    <w:multiLevelType w:val="hybridMultilevel"/>
    <w:lvl w:ilvl="0">
      <w:lvlJc w:val="left"/>
      <w:lvlText w:val="%1."/>
      <w:numFmt w:val="decimal"/>
      <w:start w:val="6"/>
    </w:lvl>
  </w:abstractNum>
  <w:abstractNum w:abstractNumId="12">
    <w:nsid w:val="6763845E"/>
    <w:multiLevelType w:val="hybridMultilevel"/>
    <w:lvl w:ilvl="0">
      <w:lvlJc w:val="left"/>
      <w:lvlText w:val="(%1)"/>
      <w:numFmt w:val="lowerRoman"/>
      <w:start w:val="2"/>
    </w:lvl>
  </w:abstractNum>
  <w:abstractNum w:abstractNumId="13">
    <w:nsid w:val="75A2A8D4"/>
    <w:multiLevelType w:val="hybridMultilevel"/>
    <w:lvl w:ilvl="0">
      <w:lvlJc w:val="left"/>
      <w:lvlText w:val="%1."/>
      <w:numFmt w:val="decimal"/>
      <w:start w:val="7"/>
    </w:lvl>
  </w:abstractNum>
  <w:abstractNum w:abstractNumId="14">
    <w:nsid w:val="8EDBDAB"/>
    <w:multiLevelType w:val="hybridMultilevel"/>
    <w:lvl w:ilvl="0">
      <w:lvlJc w:val="left"/>
      <w:lvlText w:val="%1."/>
      <w:numFmt w:val="decimal"/>
      <w:start w:val="8"/>
    </w:lvl>
  </w:abstractNum>
  <w:abstractNum w:abstractNumId="15">
    <w:nsid w:val="79838CB2"/>
    <w:multiLevelType w:val="hybridMultilevel"/>
    <w:lvl w:ilvl="0">
      <w:lvlJc w:val="left"/>
      <w:lvlText w:val="%1."/>
      <w:numFmt w:val="decimal"/>
      <w:start w:val="9"/>
    </w:lvl>
  </w:abstractNum>
  <w:abstractNum w:abstractNumId="16">
    <w:nsid w:val="4353D0CD"/>
    <w:multiLevelType w:val="hybridMultilevel"/>
    <w:lvl w:ilvl="0">
      <w:lvlJc w:val="left"/>
      <w:lvlText w:val="%1."/>
      <w:numFmt w:val="decimal"/>
      <w:start w:val="10"/>
    </w:lvl>
  </w:abstractNum>
  <w:abstractNum w:abstractNumId="17">
    <w:nsid w:val="B03E0C6"/>
    <w:multiLevelType w:val="hybridMultilevel"/>
    <w:lvl w:ilvl="0">
      <w:lvlJc w:val="left"/>
      <w:lvlText w:val="(%1)"/>
      <w:numFmt w:val="lowerRoman"/>
      <w:start w:val="5"/>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lowerRoman"/>
      <w:start w:val="3"/>
    </w:lvl>
  </w:abstractNum>
  <w:abstractNum w:abstractNumId="24">
    <w:nsid w:val="3A95F874"/>
    <w:multiLevelType w:val="hybridMultilevel"/>
    <w:lvl w:ilvl="0">
      <w:lvlJc w:val="left"/>
      <w:lvlText w:val="(%1)"/>
      <w:numFmt w:val="lowerRoman"/>
      <w:start w:val="5"/>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lvl w:ilvl="1">
      <w:lvlJc w:val="left"/>
      <w:lvlText w:val="(%2)"/>
      <w:numFmt w:val="lowerLetter"/>
      <w:start w:val="1"/>
    </w:lvl>
  </w:abstractNum>
  <w:abstractNum w:abstractNumId="29">
    <w:nsid w:val="6CEAF087"/>
    <w:multiLevelType w:val="hybridMultilevel"/>
    <w:lvl w:ilvl="0">
      <w:lvlJc w:val="left"/>
      <w:lvlText w:val="(%1)"/>
      <w:numFmt w:val="lowerLetter"/>
      <w:start w:val="2"/>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lowerLetter"/>
      <w:start w:val="2"/>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60" Type="http://schemas.openxmlformats.org/officeDocument/2006/relationships/hyperlink" Target="https://www.sec.gov/Archives/edgar/data/1855644/000110465923005068/tm233516d1_ex2-1.htm" TargetMode="External"/><Relationship Id="rId61" Type="http://schemas.openxmlformats.org/officeDocument/2006/relationships/hyperlink" Target="https://www.sec.gov/Archives/edgar/data/1855644/000110465923036697/tm2310353d1_ex3-1.htm" TargetMode="External"/><Relationship Id="rId62" Type="http://schemas.openxmlformats.org/officeDocument/2006/relationships/hyperlink" Target="https://www.sec.gov/Archives/edgar/data/1855644/000110465922093035/jatt-20220630xex4d6.htm" TargetMode="External"/><Relationship Id="rId63" Type="http://schemas.openxmlformats.org/officeDocument/2006/relationships/hyperlink" Target="https://www.sec.gov/Archives/edgar/data/1855644/000110465923055196/tm2314291d1_ex4-1.htm" TargetMode="External"/><Relationship Id="rId64" Type="http://schemas.openxmlformats.org/officeDocument/2006/relationships/hyperlink" Target="https://www.sec.gov/Archives/edgar/data/1855644/000110465924050169/tm2412407d1_ex4-1.htm" TargetMode="External"/><Relationship Id="rId65" Type="http://schemas.openxmlformats.org/officeDocument/2006/relationships/hyperlink" Target="https://www.sec.gov/Archives/edgar/data/1855644/000110465924091602/tm2422174d1_ex4-1.htm" TargetMode="External"/><Relationship Id="rId66" Type="http://schemas.openxmlformats.org/officeDocument/2006/relationships/hyperlink" Target="https://www.sec.gov/Archives/edgar/data/1855644/000110465924050169/tm2412407d1_ex10-1.htm" TargetMode="External"/><Relationship Id="rId67" Type="http://schemas.openxmlformats.org/officeDocument/2006/relationships/hyperlink" Target="https://www.sec.gov/Archives/edgar/data/1855644/000110465924082476/tm2420123d1_ex10-1.htm" TargetMode="External"/><Relationship Id="rId68" Type="http://schemas.openxmlformats.org/officeDocument/2006/relationships/hyperlink" Target="https://www.sec.gov/Archives/edgar/data/1855644/000110465924088395/tm2421034d1_ex10-1.htm" TargetMode="External"/><Relationship Id="rId69" Type="http://schemas.openxmlformats.org/officeDocument/2006/relationships/hyperlink" Target="https://www.sec.gov/Archives/edgar/data/1855644/000110465924091602/tm242217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2024-11-07T06:17:40Z</dcterms:created>
  <dcterms:modified xsi:type="dcterms:W3CDTF">2024-11-07T06:17:40Z</dcterms:modified>
</cp:coreProperties>
</file>