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Zura Bio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9,524,263.00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9,524,263.00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9,524,263.00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8,372,230.00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8,372,230.00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8,372,230.00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9,524,263.00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9,524,263.00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9,524,263.00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Zura Bio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959"/>
        <w:spacing w:after="0"/>
        <w:rPr>
          <w:sz w:val="20"/>
          <w:szCs w:val="20"/>
          <w:color w:val="auto"/>
        </w:rPr>
      </w:pPr>
      <w:r>
        <w:rPr>
          <w:rFonts w:ascii="Times New Roman" w:cs="Times New Roman" w:eastAsia="Times New Roman" w:hAnsi="Times New Roman"/>
          <w:sz w:val="22"/>
          <w:szCs w:val="22"/>
          <w:color w:val="auto"/>
        </w:rPr>
        <w:t>1489 W. Warm Springs Rd. #110 Henderson, Nevada 89014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60" w:hanging="912"/>
        <w:spacing w:after="0"/>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Suvretta Capital Management, LLC - Delaware Averill Master Fund, Ltd. - Cayman Islands Aaron Cowen - United States</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Address or principal business office or, if none, residence:</w:t>
      </w:r>
    </w:p>
    <w:p>
      <w:pPr>
        <w:spacing w:after="0" w:line="29" w:lineRule="exact"/>
        <w:rPr>
          <w:rFonts w:ascii="Times New Roman" w:cs="Times New Roman" w:eastAsia="Times New Roman" w:hAnsi="Times New Roman"/>
          <w:sz w:val="39"/>
          <w:szCs w:val="39"/>
          <w:color w:val="auto"/>
          <w:vertAlign w:val="superscript"/>
        </w:rPr>
      </w:pPr>
    </w:p>
    <w:p>
      <w:pPr>
        <w:ind w:left="920" w:hanging="912"/>
        <w:spacing w:after="0" w:line="228"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Suvretta Capital Management, LLC: 540 Madison Avenue, 7th Floor New York, New York 10022 United States of</w:t>
      </w:r>
    </w:p>
    <w:p>
      <w:pPr>
        <w:ind w:left="920"/>
        <w:spacing w:after="0" w:line="230"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America Averill Master Fund, Ltd.: c/o Maples Corporate Services Limited P.O. Box 309 Ugland House Grand</w:t>
      </w:r>
    </w:p>
    <w:p>
      <w:pPr>
        <w:ind w:left="920"/>
        <w:spacing w:after="0" w:line="23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Cayman KY1-1104 Cayman Islands Aaron Cowen: c/o Suvretta Capital Management, LLC 540 Madison Avenue, 7th Floor New York, New York 10022</w:t>
      </w:r>
    </w:p>
    <w:p>
      <w:pPr>
        <w:sectPr>
          <w:pgSz w:w="11900" w:h="16838" w:orient="portrait"/>
          <w:cols w:equalWidth="0" w:num="1">
            <w:col w:w="11120"/>
          </w:cols>
          <w:pgMar w:left="360" w:top="112" w:right="419" w:bottom="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44" w:lineRule="auto"/>
        <w:rPr>
          <w:sz w:val="20"/>
          <w:szCs w:val="20"/>
          <w:color w:val="auto"/>
        </w:rPr>
      </w:pPr>
      <w:r>
        <w:rPr>
          <w:rFonts w:ascii="Times New Roman" w:cs="Times New Roman" w:eastAsia="Times New Roman" w:hAnsi="Times New Roman"/>
          <w:sz w:val="21"/>
          <w:szCs w:val="21"/>
          <w:color w:val="auto"/>
        </w:rPr>
        <w:t>Items 6 through 9 and 11 of each of the cover pages to this Schedule 13G are incorporated herein by reference. Set forth below is the aggregate number of shares of Class A Ordinary Shares directly held by Averill Master Fund, Ltd. (the "Fund"), which may be deemed to be indirectly beneficially owned by Suvretta Capital Management, LLC and Aaron Cowen, as well as Class A Ordinary Shares that may be acquired upon the exercise of pre-funded warrants with no expiration date with an exercise price of $0.0001 per share of Class A Ordinary Shares ("Pre-Funded Warrants"), subject to the limitations on exercise described below. The Pre-Funded Warrants are only exercisable to the extent that after giving effect to such exercise the holders thereof, their affiliates and any persons who are</w:t>
      </w:r>
    </w:p>
    <w:p>
      <w:pPr>
        <w:spacing w:after="0" w:line="6" w:lineRule="exact"/>
        <w:rPr>
          <w:sz w:val="20"/>
          <w:szCs w:val="20"/>
          <w:color w:val="auto"/>
        </w:rPr>
      </w:pPr>
    </w:p>
    <w:p>
      <w:pPr>
        <w:ind w:left="920" w:hanging="912"/>
        <w:spacing w:after="0" w:line="21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members of a Section 13(d) group with the holders or their affiliates would beneficially own in the aggregate, for purposes of Rule 13d-3 under the Exchange Act, no more than 9.99% of the outstanding Class A Ordinary Shares (the "Maximum Percentage"). By written notice to the Issuer, the Fund may from time to time increase or decrease the Maximum Percentage applicable to it to any other percentage not in excess of 19.99%, provided that any such increase will not be effective until the sixty-first (61st) day after such notice is delivered to the Issuer. As a result of this restriction, the Pre-Funded Warrants are not all presently exercisable and the number of shares of Class A Ordinary Shares that may be issued upon exercise of the Pre-Funded Warrants by the above holders may change depending upon changes in the outstanding Class A Ordinary Shares. Provide the following information regarding the aggregate number and percentage of the class of securities of the issuer identified in Item 1. For computations regarding securities which represent a right to acquire an underlying security see ss. 240.13d-3(d)(1). Suvretta Capital Management, LLC - 9,524,263 Averill Master Fund, Ltd. - 8,372,230 Aaron Cowen - 9,524,263</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- 9.9% Averill Master Fund, Ltd. - 8.8% Aaron Cowen - 9.9%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Suvretta Capital Management, LLC - 9,524,263 Averill Master Fund, Ltd. - 8,372,230 Aaron Cowen - 9,524,263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Suvretta Capital Management, LLC - 9,524,263 Averill Master Fund, Ltd. - 8,372,230 Aaron Cowen - 9,524,263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3 are directly owned by advisory clients of Suvretta Capital Management, LLC. None of those advisory clients, other than Averill Master Fund, Ltd., may be deemed to beneficially own more than 5% of the Class A Ordinary Shares, par value $0.0001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General Counsel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Aaron Cowen</w:t>
      </w:r>
    </w:p>
    <w:p>
      <w:pPr>
        <w:sectPr>
          <w:pgSz w:w="11900" w:h="16860" w:orient="portrait"/>
          <w:cols w:equalWidth="0" w:num="1">
            <w:col w:w="11140"/>
          </w:cols>
          <w:pgMar w:left="360" w:top="409" w:right="399" w:bottom="0" w:gutter="0" w:footer="0" w:header="0"/>
          <w:type w:val="continuous"/>
        </w:sectPr>
      </w:pPr>
    </w:p>
    <w:bookmarkStart w:id="5" w:name="page6"/>
    <w:bookmarkEnd w:id="5"/>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234"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Amendment No. 3 dated May 12, 2026 relating to the Class A Ordinary Shares, $0.0001 par value of Zura Bio Limited shall be filed on behalf of the undersigned.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Andrew Nathanson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Andrew Nathanson</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u w:val="single" w:color="auto"/>
          <w:color w:val="auto"/>
        </w:rPr>
        <w:t>CONTROL PERSON IDENTIFICATION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Suvretta Capital Management, LLC is the relevant entity for which Aaron Cowen is the control person.</w:t>
      </w:r>
    </w:p>
    <w:sectPr>
      <w:pgSz w:w="11900" w:h="16838" w:orient="portrait"/>
      <w:cols w:equalWidth="0" w:num="1">
        <w:col w:w="10580"/>
      </w:cols>
      <w:pgMar w:left="98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2026-05-12T17:16:17Z</dcterms:created>
  <dcterms:modified xsi:type="dcterms:W3CDTF">2026-05-12T17:16:17Z</dcterms:modified>
</cp:coreProperties>
</file>