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Zura Bio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4,215,930.00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4,215,930.00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4,215,930.00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4,215,930.00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Zura Bio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59"/>
        <w:spacing w:after="0"/>
        <w:rPr>
          <w:sz w:val="20"/>
          <w:szCs w:val="20"/>
          <w:color w:val="auto"/>
        </w:rPr>
      </w:pPr>
      <w:r>
        <w:rPr>
          <w:rFonts w:ascii="Times New Roman" w:cs="Times New Roman" w:eastAsia="Times New Roman" w:hAnsi="Times New Roman"/>
          <w:sz w:val="22"/>
          <w:szCs w:val="22"/>
          <w:color w:val="auto"/>
        </w:rPr>
        <w:t>1489 W. Warm Springs Rd. #110, Henderson, NV 89014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May 15, 2026, a copy of which is filed with this SCHEDULE 13G as Exhibit A, pursuant to which the Reporting Persons have agreed to file this statement jointly in accordance with the provisions of Rule 13d-1(k)(1) under the Act.</w:t>
      </w:r>
    </w:p>
    <w:p>
      <w:pPr>
        <w:sectPr>
          <w:pgSz w:w="11900" w:h="16838" w:orient="portrait"/>
          <w:cols w:equalWidth="0" w:num="1">
            <w:col w:w="11100"/>
          </w:cols>
          <w:pgMar w:left="360" w:top="112" w:right="43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Great Point Partners, LLC is a limited liability company organized under the laws of the State of Delaware. Dr.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4,215,930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4,215,930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4,215,930 Item 4 The information required by Items 4(a) - (c) is set forth in Rows (5) - (11) of the cover pages for the Reporting Persons and is incorporated herein by reference. The percentage set forth in Row (11) of the cover pages</w:t>
      </w:r>
    </w:p>
    <w:p>
      <w:pPr>
        <w:sectPr>
          <w:pgSz w:w="11900" w:h="16838" w:orient="portrait"/>
          <w:cols w:equalWidth="0" w:num="1">
            <w:col w:w="11100"/>
          </w:cols>
          <w:pgMar w:left="360" w:top="112" w:right="439" w:bottom="0" w:gutter="0" w:footer="0" w:header="0"/>
          <w:type w:val="continuous"/>
        </w:sectPr>
      </w:pPr>
    </w:p>
    <w:bookmarkStart w:id="4" w:name="page5"/>
    <w:bookmarkEnd w:id="4"/>
    <w:p>
      <w:pPr>
        <w:ind w:left="920" w:right="200"/>
        <w:spacing w:after="0" w:line="259" w:lineRule="auto"/>
        <w:rPr>
          <w:sz w:val="20"/>
          <w:szCs w:val="20"/>
          <w:color w:val="auto"/>
        </w:rPr>
      </w:pPr>
      <w:r>
        <w:rPr>
          <w:rFonts w:ascii="Times New Roman" w:cs="Times New Roman" w:eastAsia="Times New Roman" w:hAnsi="Times New Roman"/>
          <w:sz w:val="22"/>
          <w:szCs w:val="22"/>
          <w:color w:val="auto"/>
        </w:rPr>
        <w:t>for the Reporting Persons are based on a total of 94,880,710 shares outstanding as reported by the Issuer in its Form 10-K filed with the Securities and Exchange Commission (the "SEC") on March 19, 2026.</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4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498"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May 15, 2026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12" w:right="399" w:bottom="4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2026-05-15T07:56:09Z</dcterms:created>
  <dcterms:modified xsi:type="dcterms:W3CDTF">2026-05-15T07:56:09Z</dcterms:modified>
</cp:coreProperties>
</file>