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zura-20231231x10k.htm"/>
        <w:bookmarkStart w:id="1" w:name="kszura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bookmarkStart w:id="2" w:name="_Hlk162476387"/>
      <w:bookmarkEnd w:id="2"/>
      <w:r>
        <w:rPr/>
        <w:t>​</w:t>
      </w:r>
    </w:p>
    <w:p>
      <w:pPr>
        <w:pStyle w:val="TextBody"/>
        <w:bidi w:val="0"/>
        <w:spacing w:before="0" w:after="0"/>
        <w:ind w:left="0" w:right="0" w:hanging="0"/>
        <w:jc w:val="center"/>
        <w:rPr/>
      </w:pPr>
      <w:bookmarkStart w:id="3" w:name="_c43a102e_f27c_4655_9c17_c6d5a581061b"/>
      <w:bookmarkEnd w:id="3"/>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both"/>
        <w:rPr/>
      </w:pPr>
      <w:r>
        <w:rPr/>
        <w:t>​</w:t>
      </w:r>
    </w:p>
    <w:p>
      <w:pPr>
        <w:pStyle w:val="TextBody"/>
        <w:bidi w:val="0"/>
        <w:spacing w:before="0" w:after="60"/>
        <w:ind w:left="0" w:right="0" w:hanging="0"/>
        <w:jc w:val="center"/>
        <w:rPr>
          <w:rFonts w:ascii="Times New Roman;Times;serif" w:hAnsi="Times New Roman;Times;serif"/>
          <w:b/>
          <w:sz w:val="34"/>
        </w:rPr>
      </w:pPr>
      <w:r>
        <w:rPr>
          <w:rFonts w:ascii="Times New Roman;Times;serif" w:hAnsi="Times New Roman;Times;serif"/>
          <w:b/>
          <w:sz w:val="34"/>
        </w:rPr>
        <w:t>FORM 10-K</w:t>
      </w:r>
    </w:p>
    <w:p>
      <w:pPr>
        <w:pStyle w:val="TextBody"/>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 w:name="Tc_pkM4JPY3pkOUCJ9J8lyB9g_1_1"/>
      <w:bookmarkStart w:id="5" w:name="_586b5a43_a625_4a4e_972f_8ae424206286"/>
      <w:bookmarkStart w:id="6" w:name="Tc_pkM4JPY3pkOUCJ9J8lyB9g_1_1"/>
      <w:bookmarkStart w:id="7" w:name="_586b5a43_a625_4a4e_972f_8ae424206286"/>
      <w:bookmarkEnd w:id="6"/>
      <w:bookmarkEnd w:id="7"/>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09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0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ANNUAL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2023</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8" w:name="Tc_k8TGE2m3JEGgSW7ZwoJgUA_1_1"/>
      <w:bookmarkStart w:id="9" w:name="_7603c0d5_8132_44eb_ac99_1d6809753408"/>
      <w:bookmarkStart w:id="10" w:name="Tc_k8TGE2m3JEGgSW7ZwoJgUA_1_1"/>
      <w:bookmarkStart w:id="11" w:name="_7603c0d5_8132_44eb_ac99_1d6809753408"/>
      <w:bookmarkEnd w:id="10"/>
      <w:bookmarkEnd w:id="11"/>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 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001-40598</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ZURA BIO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2" w:name="Tc_hn3cfvfdjkmb7fCLZJXdDg_4_1"/>
      <w:bookmarkStart w:id="13" w:name="Tc_91sPb4LANE2s6RaXZnOVvA_4_0"/>
      <w:bookmarkStart w:id="14" w:name="Tc_Llzjfz7E6UWS_vTKaZjjxw_3_0"/>
      <w:bookmarkStart w:id="15" w:name="Tc_YVTVpacv_0y7JRP2v4PrdA_2_1"/>
      <w:bookmarkStart w:id="16" w:name="Tc_WwLZPUNUcE-6sr9kwIQCgw_2_0"/>
      <w:bookmarkStart w:id="17" w:name="_634bf6b4_744c_43c5_afe3_e42dad2b94c6"/>
      <w:bookmarkStart w:id="18" w:name="Tc_hn3cfvfdjkmb7fCLZJXdDg_4_1"/>
      <w:bookmarkStart w:id="19" w:name="Tc_91sPb4LANE2s6RaXZnOVvA_4_0"/>
      <w:bookmarkStart w:id="20" w:name="Tc_Llzjfz7E6UWS_vTKaZjjxw_3_0"/>
      <w:bookmarkStart w:id="21" w:name="Tc_YVTVpacv_0y7JRP2v4PrdA_2_1"/>
      <w:bookmarkStart w:id="22" w:name="Tc_WwLZPUNUcE-6sr9kwIQCgw_2_0"/>
      <w:bookmarkStart w:id="23" w:name="_634bf6b4_744c_43c5_afe3_e42dad2b94c6"/>
      <w:bookmarkEnd w:id="18"/>
      <w:bookmarkEnd w:id="19"/>
      <w:bookmarkEnd w:id="20"/>
      <w:bookmarkEnd w:id="21"/>
      <w:bookmarkEnd w:id="22"/>
      <w:bookmarkEnd w:id="23"/>
    </w:p>
    <w:tbl>
      <w:tblPr>
        <w:tblW w:w="4637" w:type="dxa"/>
        <w:jc w:val="left"/>
        <w:tblInd w:w="0" w:type="dxa"/>
        <w:tblLayout w:type="fixed"/>
        <w:tblCellMar>
          <w:top w:w="0" w:type="dxa"/>
          <w:left w:w="0" w:type="dxa"/>
          <w:bottom w:w="0" w:type="dxa"/>
          <w:right w:w="0" w:type="dxa"/>
        </w:tblCellMar>
      </w:tblPr>
      <w:tblGrid>
        <w:gridCol w:w="3076"/>
        <w:gridCol w:w="156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98-1725736</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1489 W. Warm Springs Rd. #110</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Henderson, Nevada</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89014</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w:t>
      </w:r>
      <w:r>
        <w:rPr>
          <w:rFonts w:ascii="Times New Roman;Times;serif" w:hAnsi="Times New Roman;Times;serif"/>
          <w:sz w:val="20"/>
        </w:rPr>
        <w:t xml:space="preserve"> </w:t>
      </w:r>
      <w:r>
        <w:rPr>
          <w:rFonts w:ascii="Times New Roman;Times;serif" w:hAnsi="Times New Roman;Times;serif"/>
          <w:b/>
          <w:sz w:val="18"/>
        </w:rPr>
        <w:t>(702) 757-6133</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4" w:name="Tc_Tk7Rao6S6E-p9kTODQ14KQ_2_4"/>
      <w:bookmarkStart w:id="25" w:name="Tc_Ofm13efjT0CTiEABcWBAfA_1_4"/>
      <w:bookmarkStart w:id="26" w:name="Tc_TwHj60mxP06CB_8mvSbS0w_0_4"/>
      <w:bookmarkStart w:id="27" w:name="Tc_EZ2iQKKb5kaeyYDXHQctdA_0_2"/>
      <w:bookmarkStart w:id="28" w:name="Tc_PehsdloQQUSHZINKK__IaA_0_0"/>
      <w:bookmarkStart w:id="29" w:name="_65536a39_a34b_4cd0_8f43_3e0b530ddaaf"/>
      <w:bookmarkStart w:id="30" w:name="Tc_Tk7Rao6S6E-p9kTODQ14KQ_2_4"/>
      <w:bookmarkStart w:id="31" w:name="Tc_Ofm13efjT0CTiEABcWBAfA_1_4"/>
      <w:bookmarkStart w:id="32" w:name="Tc_TwHj60mxP06CB_8mvSbS0w_0_4"/>
      <w:bookmarkStart w:id="33" w:name="Tc_EZ2iQKKb5kaeyYDXHQctdA_0_2"/>
      <w:bookmarkStart w:id="34" w:name="Tc_PehsdloQQUSHZINKK__IaA_0_0"/>
      <w:bookmarkStart w:id="35" w:name="_65536a39_a34b_4cd0_8f43_3e0b530ddaaf"/>
      <w:bookmarkEnd w:id="30"/>
      <w:bookmarkEnd w:id="31"/>
      <w:bookmarkEnd w:id="32"/>
      <w:bookmarkEnd w:id="33"/>
      <w:bookmarkEnd w:id="34"/>
      <w:bookmarkEnd w:id="35"/>
    </w:p>
    <w:tbl>
      <w:tblPr>
        <w:tblW w:w="10205" w:type="dxa"/>
        <w:jc w:val="left"/>
        <w:tblInd w:w="0" w:type="dxa"/>
        <w:tblLayout w:type="fixed"/>
        <w:tblCellMar>
          <w:top w:w="0" w:type="dxa"/>
          <w:left w:w="0" w:type="dxa"/>
          <w:bottom w:w="28" w:type="dxa"/>
          <w:right w:w="0" w:type="dxa"/>
        </w:tblCellMar>
      </w:tblPr>
      <w:tblGrid>
        <w:gridCol w:w="6175"/>
        <w:gridCol w:w="326"/>
        <w:gridCol w:w="798"/>
        <w:gridCol w:w="326"/>
        <w:gridCol w:w="2580"/>
      </w:tblGrid>
      <w:tr>
        <w:trPr/>
        <w:tc>
          <w:tcPr>
            <w:tcW w:w="6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79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25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6175"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par value $0.0001 per share</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798"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258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w:t>
            </w:r>
          </w:p>
        </w:tc>
      </w:tr>
      <w:tr>
        <w:trPr/>
        <w:tc>
          <w:tcPr>
            <w:tcW w:w="61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each whole warrant exercisable for one Class A Ordinary Share at an exercise price of $11.50 per share</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798"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25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w:t>
            </w:r>
          </w:p>
          <w:p>
            <w:pPr>
              <w:pStyle w:val="TableContents"/>
              <w:bidi w:val="0"/>
              <w:spacing w:before="0" w:after="0"/>
              <w:ind w:left="0" w:right="0" w:hanging="0"/>
              <w:jc w:val="center"/>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a well - 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4"/>
        </w:rPr>
        <w:t>NO</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15 (d) of the Act. YES </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4"/>
        </w:rPr>
        <w:t>NO</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4"/>
        </w:rPr>
        <w:t>YES</w:t>
      </w:r>
      <w:r>
        <w:rPr>
          <w:rFonts w:ascii="Times New Roman;Times;serif" w:hAnsi="Times New Roman;Times;serif"/>
          <w:sz w:val="20"/>
        </w:rPr>
        <w:t xml:space="preserve">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4"/>
        </w:rPr>
        <w:t>YES</w:t>
      </w:r>
      <w:r>
        <w:rPr>
          <w:rFonts w:ascii="Times New Roman;Times;serif" w:hAnsi="Times New Roman;Times;serif"/>
          <w:sz w:val="20"/>
        </w:rPr>
        <w:t xml:space="preserve">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6" w:name="Tc_Im8TjWi2Nkmrz7rO4Vaiiw_4_0"/>
      <w:bookmarkStart w:id="37" w:name="Tc_m7TEFx7npE-oe9SazTdl4w_2_4"/>
      <w:bookmarkStart w:id="38" w:name="Tc_TEWhVoEddEirDnOWVqmwPw_2_2"/>
      <w:bookmarkStart w:id="39" w:name="Tc_FbpppFqpJUKK3LShUYuNFg_0_6"/>
      <w:bookmarkStart w:id="40" w:name="Tc_1QwwMQOUpkODI1DIYCDgKw_0_4"/>
      <w:bookmarkStart w:id="41" w:name="Tc_73ecdg_zykCTGyHBHKL3VQ_0_2"/>
      <w:bookmarkStart w:id="42" w:name="Tc_5tcJ78CUl0ePQcSmXqP2kw_0_0"/>
      <w:bookmarkStart w:id="43" w:name="_4ea28bd2_7387_4d15_a160_d0f74642b602"/>
      <w:bookmarkStart w:id="44" w:name="Tc_Im8TjWi2Nkmrz7rO4Vaiiw_4_0"/>
      <w:bookmarkStart w:id="45" w:name="Tc_m7TEFx7npE-oe9SazTdl4w_2_4"/>
      <w:bookmarkStart w:id="46" w:name="Tc_TEWhVoEddEirDnOWVqmwPw_2_2"/>
      <w:bookmarkStart w:id="47" w:name="Tc_FbpppFqpJUKK3LShUYuNFg_0_6"/>
      <w:bookmarkStart w:id="48" w:name="Tc_1QwwMQOUpkODI1DIYCDgKw_0_4"/>
      <w:bookmarkStart w:id="49" w:name="Tc_73ecdg_zykCTGyHBHKL3VQ_0_2"/>
      <w:bookmarkStart w:id="50" w:name="Tc_5tcJ78CUl0ePQcSmXqP2kw_0_0"/>
      <w:bookmarkStart w:id="51" w:name="_4ea28bd2_7387_4d15_a160_d0f74642b602"/>
      <w:bookmarkEnd w:id="44"/>
      <w:bookmarkEnd w:id="45"/>
      <w:bookmarkEnd w:id="46"/>
      <w:bookmarkEnd w:id="47"/>
      <w:bookmarkEnd w:id="48"/>
      <w:bookmarkEnd w:id="49"/>
      <w:bookmarkEnd w:id="50"/>
      <w:bookmarkEnd w:id="51"/>
    </w:p>
    <w:tbl>
      <w:tblPr>
        <w:tblW w:w="5056" w:type="dxa"/>
        <w:jc w:val="left"/>
        <w:tblInd w:w="0" w:type="dxa"/>
        <w:tblLayout w:type="fixed"/>
        <w:tblCellMar>
          <w:top w:w="0" w:type="dxa"/>
          <w:left w:w="0" w:type="dxa"/>
          <w:bottom w:w="0" w:type="dxa"/>
          <w:right w:w="0"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425" w:type="dxa"/>
            <w:gridSpan w:val="2"/>
            <w:tcBorders/>
            <w:vAlign w:val="center"/>
          </w:tcPr>
          <w:p>
            <w:pPr>
              <w:pStyle w:val="TableContents"/>
              <w:bidi w:val="0"/>
              <w:spacing w:before="0" w:after="0"/>
              <w:ind w:left="0" w:right="0" w:hanging="0"/>
              <w:jc w:val="left"/>
              <w:rPr/>
            </w:pPr>
            <w:r>
              <w:rPr/>
              <w:t>​</w:t>
            </w:r>
          </w:p>
        </w:tc>
        <w:tc>
          <w:tcPr>
            <w:tcW w:w="2120" w:type="dxa"/>
            <w:gridSpan w:val="2"/>
            <w:tcBorders/>
            <w:vAlign w:val="center"/>
          </w:tcPr>
          <w:p>
            <w:pPr>
              <w:pStyle w:val="TableContents"/>
              <w:bidi w:val="0"/>
              <w:spacing w:before="0" w:after="0"/>
              <w:ind w:left="0" w:right="0" w:hanging="0"/>
              <w:jc w:val="left"/>
              <w:rPr/>
            </w:pPr>
            <w:r>
              <w:rPr/>
              <w:t>​</w:t>
            </w:r>
          </w:p>
        </w:tc>
        <w:tc>
          <w:tcPr>
            <w:tcW w:w="470" w:type="dxa"/>
            <w:gridSpan w:val="2"/>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 (b) of the Sarbanes - Oxley Act (15 U.S.C. 7262 (b))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If securities are registered pursuant to Section 12 (b)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 - based compensation received by any of the registrant's executive officers during the relevant recovery period pursuant to - 240.10D - 1 (b).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w:t>
      </w:r>
      <w:r>
        <w:rPr>
          <w:rFonts w:ascii="Times New Roman;Times;serif" w:hAnsi="Times New Roman;Times;serif"/>
          <w:sz w:val="14"/>
        </w:rPr>
        <w:t>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based on the closing price of the Registrant's units on The Nasdaq Capital Market on June 30, 2023 was $357,468,160.</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The num</w:t>
      </w:r>
      <w:r>
        <w:rPr>
          <w:rFonts w:ascii="Times New Roman;Times;serif" w:hAnsi="Times New Roman;Times;serif"/>
          <w:sz w:val="16"/>
        </w:rPr>
        <w:t>ber of shares of the Registrant’s Common Stock outstanding as of March 26, 2024 was 43,593,678.</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2" w:name="_06150396_3988_4460_8f4e_ec549a37667d"/>
      <w:bookmarkStart w:id="53" w:name="TOC"/>
      <w:bookmarkEnd w:id="52"/>
      <w:bookmarkEnd w:id="53"/>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0"/>
        <w:gridCol w:w="109"/>
        <w:gridCol w:w="466"/>
      </w:tblGrid>
      <w:tr>
        <w:trPr/>
        <w:tc>
          <w:tcPr>
            <w:tcW w:w="9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15050" cy="29210"/>
                      <wp:effectExtent l="0" t="0" r="0" b="0"/>
                      <wp:wrapNone/>
                      <wp:docPr id="1" name="Frame1"/>
                      <a:graphic xmlns:a="http://schemas.openxmlformats.org/drawingml/2006/main">
                        <a:graphicData uri="http://schemas.microsoft.com/office/word/2010/wordprocessingShape">
                          <wps:wsp>
                            <wps:cNvSpPr txBox="1"/>
                            <wps:spPr>
                              <a:xfrm>
                                <a:off x="0" y="0"/>
                                <a:ext cx="61150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95910" cy="175260"/>
                      <wp:effectExtent l="0" t="0" r="0" b="0"/>
                      <wp:wrapNone/>
                      <wp:docPr id="2" name="Frame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30" w:type="dxa"/>
            <w:tcBorders/>
            <w:vAlign w:val="center"/>
          </w:tcPr>
          <w:p>
            <w:pPr>
              <w:pStyle w:val="TableContents"/>
              <w:bidi w:val="0"/>
              <w:spacing w:before="0" w:after="0"/>
              <w:ind w:left="0" w:right="0" w:hanging="0"/>
              <w:jc w:val="left"/>
              <w:rPr/>
            </w:pPr>
            <w:hyperlink w:anchor="FREQUENTLYUSEDTERMS_518011">
              <w:r>
                <w:rPr>
                  <w:rStyle w:val="InternetLink"/>
                  <w:rFonts w:ascii="Times New Roman;Times;serif" w:hAnsi="Times New Roman;Times;serif"/>
                  <w:b w:val="false"/>
                  <w:i w:val="false"/>
                  <w:caps w:val="false"/>
                  <w:smallCaps w:val="false"/>
                  <w:sz w:val="20"/>
                </w:rPr>
                <w:t>FREQUENTLY USED TERMS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0" w:type="dxa"/>
            <w:tcBorders/>
            <w:vAlign w:val="center"/>
          </w:tcPr>
          <w:p>
            <w:pPr>
              <w:pStyle w:val="TableContents"/>
              <w:bidi w:val="0"/>
              <w:spacing w:before="0" w:after="0"/>
              <w:ind w:left="0" w:right="0" w:hanging="0"/>
              <w:jc w:val="left"/>
              <w:rPr/>
            </w:pPr>
            <w:hyperlink w:anchor="SPECIALNOTEREGARDINGFORWARDLOOKINGSTATEM">
              <w:r>
                <w:rPr>
                  <w:rStyle w:val="InternetLink"/>
                  <w:rFonts w:ascii="Times New Roman;Times;serif" w:hAnsi="Times New Roman;Times;serif"/>
                  <w:b w:val="false"/>
                  <w:i w:val="false"/>
                  <w:caps w:val="false"/>
                  <w:smallCaps w:val="false"/>
                  <w:sz w:val="20"/>
                </w:rPr>
                <w:t>SPECIAL NOTE REGARDING FORWARD LOOKING STATEMENTS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30" w:type="dxa"/>
            <w:tcBorders/>
            <w:vAlign w:val="center"/>
          </w:tcPr>
          <w:p>
            <w:pPr>
              <w:pStyle w:val="TableContents"/>
              <w:bidi w:val="0"/>
              <w:spacing w:before="0" w:after="0"/>
              <w:ind w:left="0" w:right="0" w:hanging="0"/>
              <w:jc w:val="left"/>
              <w:rPr/>
            </w:pPr>
            <w:hyperlink w:anchor="SUMMARYOFRISKFACTORS_173519">
              <w:r>
                <w:rPr>
                  <w:rStyle w:val="InternetLink"/>
                  <w:rFonts w:ascii="Times New Roman;Times;serif" w:hAnsi="Times New Roman;Times;serif"/>
                  <w:b w:val="false"/>
                  <w:i w:val="false"/>
                  <w:caps w:val="false"/>
                  <w:smallCaps w:val="false"/>
                  <w:sz w:val="20"/>
                </w:rPr>
                <w:t>SUMMARY OF RISK FACTORS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630" w:type="dxa"/>
            <w:tcBorders/>
            <w:vAlign w:val="center"/>
          </w:tcPr>
          <w:p>
            <w:pPr>
              <w:pStyle w:val="TableContents"/>
              <w:bidi w:val="0"/>
              <w:spacing w:before="0" w:after="0"/>
              <w:ind w:left="0" w:right="0" w:hanging="0"/>
              <w:jc w:val="left"/>
              <w:rPr/>
            </w:pPr>
            <w:hyperlink w:anchor="PARTI_325214">
              <w:r>
                <w:rPr>
                  <w:rStyle w:val="InternetLink"/>
                  <w:rFonts w:ascii="Times New Roman;Times;serif" w:hAnsi="Times New Roman;Times;serif"/>
                  <w:b w:val="false"/>
                  <w:i w:val="false"/>
                  <w:caps w:val="false"/>
                  <w:smallCaps w:val="false"/>
                  <w:sz w:val="20"/>
                </w:rPr>
                <w:t>PART I</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0" w:type="dxa"/>
            <w:tcBorders/>
            <w:vAlign w:val="center"/>
          </w:tcPr>
          <w:p>
            <w:pPr>
              <w:pStyle w:val="TableContents"/>
              <w:bidi w:val="0"/>
              <w:spacing w:before="0" w:after="0"/>
              <w:ind w:left="0" w:right="0" w:hanging="0"/>
              <w:jc w:val="left"/>
              <w:rPr/>
            </w:pPr>
            <w:hyperlink w:anchor="ITEM1BUSINESS_124553">
              <w:r>
                <w:rPr>
                  <w:rStyle w:val="InternetLink"/>
                  <w:rFonts w:ascii="Times New Roman;Times;serif" w:hAnsi="Times New Roman;Times;serif"/>
                  <w:b w:val="false"/>
                  <w:i w:val="false"/>
                  <w:caps w:val="false"/>
                  <w:smallCaps w:val="false"/>
                  <w:sz w:val="20"/>
                </w:rPr>
                <w:t>ITEM 1. BUSINESS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0" w:type="dxa"/>
            <w:tcBorders/>
            <w:vAlign w:val="center"/>
          </w:tcPr>
          <w:p>
            <w:pPr>
              <w:pStyle w:val="TableContents"/>
              <w:bidi w:val="0"/>
              <w:spacing w:before="0" w:after="0"/>
              <w:ind w:left="0" w:right="0" w:hanging="0"/>
              <w:jc w:val="left"/>
              <w:rPr/>
            </w:pPr>
            <w:hyperlink w:anchor="Overview_4786">
              <w:r>
                <w:rPr>
                  <w:rStyle w:val="InternetLink"/>
                  <w:rFonts w:ascii="Times New Roman;Times;serif" w:hAnsi="Times New Roman;Times;serif"/>
                  <w:b w:val="false"/>
                  <w:i w:val="false"/>
                  <w:caps w:val="false"/>
                  <w:smallCaps w:val="false"/>
                  <w:sz w:val="20"/>
                </w:rPr>
                <w:t>Overview</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0" w:type="dxa"/>
            <w:tcBorders/>
            <w:vAlign w:val="center"/>
          </w:tcPr>
          <w:p>
            <w:pPr>
              <w:pStyle w:val="TableContents"/>
              <w:bidi w:val="0"/>
              <w:spacing w:before="0" w:after="0"/>
              <w:ind w:left="0" w:right="0" w:hanging="0"/>
              <w:jc w:val="left"/>
              <w:rPr/>
            </w:pPr>
            <w:hyperlink w:anchor="OurPipeline_579540">
              <w:r>
                <w:rPr>
                  <w:rStyle w:val="InternetLink"/>
                  <w:rFonts w:ascii="Times New Roman;Times;serif" w:hAnsi="Times New Roman;Times;serif"/>
                  <w:b w:val="false"/>
                  <w:i w:val="false"/>
                  <w:caps w:val="false"/>
                  <w:smallCaps w:val="false"/>
                  <w:sz w:val="20"/>
                </w:rPr>
                <w:t>Our Pipeline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0" w:type="dxa"/>
            <w:tcBorders/>
            <w:vAlign w:val="center"/>
          </w:tcPr>
          <w:p>
            <w:pPr>
              <w:pStyle w:val="TableContents"/>
              <w:bidi w:val="0"/>
              <w:spacing w:before="0" w:after="0"/>
              <w:ind w:left="0" w:right="0" w:hanging="0"/>
              <w:jc w:val="left"/>
              <w:rPr/>
            </w:pPr>
            <w:hyperlink w:anchor="OurCompanyHistoryandTeam_534165">
              <w:r>
                <w:rPr>
                  <w:rStyle w:val="InternetLink"/>
                  <w:rFonts w:ascii="Times New Roman;Times;serif" w:hAnsi="Times New Roman;Times;serif"/>
                  <w:b w:val="false"/>
                  <w:i w:val="false"/>
                  <w:caps w:val="false"/>
                  <w:smallCaps w:val="false"/>
                  <w:sz w:val="20"/>
                </w:rPr>
                <w:t>Our Company History and Team</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630" w:type="dxa"/>
            <w:tcBorders/>
            <w:vAlign w:val="center"/>
          </w:tcPr>
          <w:p>
            <w:pPr>
              <w:pStyle w:val="TableContents"/>
              <w:bidi w:val="0"/>
              <w:spacing w:before="0" w:after="0"/>
              <w:ind w:left="0" w:right="0" w:hanging="0"/>
              <w:jc w:val="left"/>
              <w:rPr/>
            </w:pPr>
            <w:hyperlink w:anchor="OurStrategy_610528">
              <w:r>
                <w:rPr>
                  <w:rStyle w:val="InternetLink"/>
                  <w:rFonts w:ascii="Times New Roman;Times;serif" w:hAnsi="Times New Roman;Times;serif"/>
                  <w:b w:val="false"/>
                  <w:i w:val="false"/>
                  <w:caps w:val="false"/>
                  <w:smallCaps w:val="false"/>
                  <w:sz w:val="20"/>
                </w:rPr>
                <w:t>Our Strategy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630" w:type="dxa"/>
            <w:tcBorders/>
            <w:vAlign w:val="center"/>
          </w:tcPr>
          <w:p>
            <w:pPr>
              <w:pStyle w:val="TableContents"/>
              <w:bidi w:val="0"/>
              <w:spacing w:before="0" w:after="0"/>
              <w:ind w:left="0" w:right="0" w:hanging="0"/>
              <w:jc w:val="left"/>
              <w:rPr/>
            </w:pPr>
            <w:hyperlink w:anchor="OurProductCandidates_189085">
              <w:r>
                <w:rPr>
                  <w:rStyle w:val="InternetLink"/>
                  <w:rFonts w:ascii="Times New Roman;Times;serif" w:hAnsi="Times New Roman;Times;serif"/>
                  <w:b w:val="false"/>
                  <w:i w:val="false"/>
                  <w:caps w:val="false"/>
                  <w:smallCaps w:val="false"/>
                  <w:sz w:val="20"/>
                </w:rPr>
                <w:t>Our Product Candidates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630" w:type="dxa"/>
            <w:tcBorders/>
            <w:vAlign w:val="center"/>
          </w:tcPr>
          <w:p>
            <w:pPr>
              <w:pStyle w:val="TableContents"/>
              <w:bidi w:val="0"/>
              <w:spacing w:before="0" w:after="0"/>
              <w:ind w:left="0" w:right="0" w:hanging="0"/>
              <w:jc w:val="left"/>
              <w:rPr/>
            </w:pPr>
            <w:hyperlink w:anchor="Manufacturing_641">
              <w:r>
                <w:rPr>
                  <w:rStyle w:val="InternetLink"/>
                  <w:rFonts w:ascii="Times New Roman;Times;serif" w:hAnsi="Times New Roman;Times;serif"/>
                  <w:b w:val="false"/>
                  <w:i w:val="false"/>
                  <w:caps w:val="false"/>
                  <w:smallCaps w:val="false"/>
                  <w:sz w:val="20"/>
                </w:rPr>
                <w:t>Manufacturing</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630" w:type="dxa"/>
            <w:tcBorders/>
            <w:vAlign w:val="center"/>
          </w:tcPr>
          <w:p>
            <w:pPr>
              <w:pStyle w:val="TableContents"/>
              <w:bidi w:val="0"/>
              <w:spacing w:before="0" w:after="0"/>
              <w:ind w:left="0" w:right="0" w:hanging="0"/>
              <w:jc w:val="left"/>
              <w:rPr/>
            </w:pPr>
            <w:hyperlink w:anchor="IntellectualProperty_100228">
              <w:r>
                <w:rPr>
                  <w:rStyle w:val="InternetLink"/>
                  <w:rFonts w:ascii="Times New Roman;Times;serif" w:hAnsi="Times New Roman;Times;serif"/>
                  <w:b w:val="false"/>
                  <w:i w:val="false"/>
                  <w:caps w:val="false"/>
                  <w:smallCaps w:val="false"/>
                  <w:sz w:val="20"/>
                </w:rPr>
                <w:t>Intellectual Property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30" w:type="dxa"/>
            <w:tcBorders/>
            <w:vAlign w:val="center"/>
          </w:tcPr>
          <w:p>
            <w:pPr>
              <w:pStyle w:val="TableContents"/>
              <w:bidi w:val="0"/>
              <w:spacing w:before="0" w:after="0"/>
              <w:ind w:left="0" w:right="0" w:hanging="0"/>
              <w:jc w:val="left"/>
              <w:rPr/>
            </w:pPr>
            <w:hyperlink w:anchor="DataandMarketExclusivity_890137">
              <w:r>
                <w:rPr>
                  <w:rStyle w:val="InternetLink"/>
                  <w:rFonts w:ascii="Times New Roman;Times;serif" w:hAnsi="Times New Roman;Times;serif"/>
                  <w:b w:val="false"/>
                  <w:i w:val="false"/>
                  <w:caps w:val="false"/>
                  <w:smallCaps w:val="false"/>
                  <w:sz w:val="20"/>
                </w:rPr>
                <w:t>Data and Market Exclusivity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0" w:type="dxa"/>
            <w:tcBorders/>
            <w:vAlign w:val="center"/>
          </w:tcPr>
          <w:p>
            <w:pPr>
              <w:pStyle w:val="TableContents"/>
              <w:bidi w:val="0"/>
              <w:spacing w:before="0" w:after="0"/>
              <w:ind w:left="0" w:right="0" w:hanging="0"/>
              <w:jc w:val="left"/>
              <w:rPr/>
            </w:pPr>
            <w:hyperlink w:anchor="PediatricDevelopment_340202">
              <w:r>
                <w:rPr>
                  <w:rStyle w:val="InternetLink"/>
                  <w:rFonts w:ascii="Times New Roman;Times;serif" w:hAnsi="Times New Roman;Times;serif"/>
                  <w:b w:val="false"/>
                  <w:i w:val="false"/>
                  <w:caps w:val="false"/>
                  <w:smallCaps w:val="false"/>
                  <w:sz w:val="20"/>
                </w:rPr>
                <w:t>Pediatric Development</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0" w:type="dxa"/>
            <w:tcBorders/>
            <w:vAlign w:val="center"/>
          </w:tcPr>
          <w:p>
            <w:pPr>
              <w:pStyle w:val="TableContents"/>
              <w:bidi w:val="0"/>
              <w:spacing w:before="0" w:after="0"/>
              <w:ind w:left="0" w:right="0" w:hanging="0"/>
              <w:jc w:val="left"/>
              <w:rPr/>
            </w:pPr>
            <w:hyperlink w:anchor="Competition_966112">
              <w:r>
                <w:rPr>
                  <w:rStyle w:val="InternetLink"/>
                  <w:rFonts w:ascii="Times New Roman;Times;serif" w:hAnsi="Times New Roman;Times;serif"/>
                  <w:b w:val="false"/>
                  <w:i w:val="false"/>
                  <w:caps w:val="false"/>
                  <w:smallCaps w:val="false"/>
                  <w:sz w:val="20"/>
                </w:rPr>
                <w:t>Competition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0" w:type="dxa"/>
            <w:tcBorders/>
            <w:vAlign w:val="center"/>
          </w:tcPr>
          <w:p>
            <w:pPr>
              <w:pStyle w:val="TableContents"/>
              <w:bidi w:val="0"/>
              <w:spacing w:before="0" w:after="0"/>
              <w:ind w:left="0" w:right="0" w:hanging="0"/>
              <w:jc w:val="left"/>
              <w:rPr/>
            </w:pPr>
            <w:hyperlink w:anchor="CorporateHistory_250096">
              <w:r>
                <w:rPr>
                  <w:rStyle w:val="InternetLink"/>
                  <w:rFonts w:ascii="Times New Roman;Times;serif" w:hAnsi="Times New Roman;Times;serif"/>
                  <w:b w:val="false"/>
                  <w:i w:val="false"/>
                  <w:caps w:val="false"/>
                  <w:smallCaps w:val="false"/>
                  <w:sz w:val="20"/>
                </w:rPr>
                <w:t>Corporate History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630" w:type="dxa"/>
            <w:tcBorders/>
            <w:vAlign w:val="center"/>
          </w:tcPr>
          <w:p>
            <w:pPr>
              <w:pStyle w:val="TableContents"/>
              <w:bidi w:val="0"/>
              <w:spacing w:before="0" w:after="0"/>
              <w:ind w:left="0" w:right="0" w:hanging="0"/>
              <w:jc w:val="left"/>
              <w:rPr/>
            </w:pPr>
            <w:hyperlink w:anchor="ITEM1ARISKFACTORS_657310">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630" w:type="dxa"/>
            <w:tcBorders/>
            <w:vAlign w:val="center"/>
          </w:tcPr>
          <w:p>
            <w:pPr>
              <w:pStyle w:val="TableContents"/>
              <w:bidi w:val="0"/>
              <w:spacing w:before="0" w:after="0"/>
              <w:ind w:left="0" w:right="0" w:hanging="0"/>
              <w:jc w:val="left"/>
              <w:rPr/>
            </w:pPr>
            <w:hyperlink w:anchor="RisksRelatedtoOurLimitedOperatingHistory">
              <w:r>
                <w:rPr>
                  <w:rStyle w:val="InternetLink"/>
                  <w:rFonts w:ascii="Times New Roman;Times;serif" w:hAnsi="Times New Roman;Times;serif"/>
                  <w:b w:val="false"/>
                  <w:i w:val="false"/>
                  <w:caps w:val="false"/>
                  <w:smallCaps w:val="false"/>
                  <w:sz w:val="20"/>
                </w:rPr>
                <w:t>Risks Related to Our Limited Operating History, Financial Position, and Capital Requirements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630" w:type="dxa"/>
            <w:tcBorders/>
            <w:vAlign w:val="center"/>
          </w:tcPr>
          <w:p>
            <w:pPr>
              <w:pStyle w:val="TableContents"/>
              <w:bidi w:val="0"/>
              <w:spacing w:before="0" w:after="0"/>
              <w:ind w:left="0" w:right="0" w:hanging="0"/>
              <w:jc w:val="left"/>
              <w:rPr/>
            </w:pPr>
            <w:hyperlink w:anchor="RisksRelatedtoAnticipatedTimingofCommenc">
              <w:r>
                <w:rPr>
                  <w:rStyle w:val="InternetLink"/>
                  <w:rFonts w:ascii="Times New Roman;Times;serif" w:hAnsi="Times New Roman;Times;serif"/>
                  <w:b w:val="false"/>
                  <w:i w:val="false"/>
                  <w:caps w:val="false"/>
                  <w:smallCaps w:val="false"/>
                  <w:sz w:val="20"/>
                </w:rPr>
                <w:t>Risks Related to Anticipated Timing of Commencement, Enrollment and Completion of Any Planned or Future Clinical Trials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30" w:type="dxa"/>
            <w:tcBorders/>
            <w:vAlign w:val="center"/>
          </w:tcPr>
          <w:p>
            <w:pPr>
              <w:pStyle w:val="TableContents"/>
              <w:bidi w:val="0"/>
              <w:spacing w:before="0" w:after="0"/>
              <w:ind w:left="0" w:right="0" w:hanging="0"/>
              <w:jc w:val="left"/>
              <w:rPr/>
            </w:pPr>
            <w:hyperlink w:anchor="RisksRelatedtotheClinicalDevelopmentandC">
              <w:r>
                <w:rPr>
                  <w:rStyle w:val="InternetLink"/>
                  <w:rFonts w:ascii="Times New Roman;Times;serif" w:hAnsi="Times New Roman;Times;serif"/>
                  <w:b w:val="false"/>
                  <w:i w:val="false"/>
                  <w:caps w:val="false"/>
                  <w:smallCaps w:val="false"/>
                  <w:sz w:val="20"/>
                </w:rPr>
                <w:t>Risks Related to the Clinical Development and Commercialization of Our Product Candidates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630" w:type="dxa"/>
            <w:tcBorders/>
            <w:vAlign w:val="center"/>
          </w:tcPr>
          <w:p>
            <w:pPr>
              <w:pStyle w:val="TableContents"/>
              <w:bidi w:val="0"/>
              <w:spacing w:before="0" w:after="0"/>
              <w:ind w:left="0" w:right="0" w:hanging="0"/>
              <w:jc w:val="left"/>
              <w:rPr/>
            </w:pPr>
            <w:hyperlink w:anchor="RisksRelatedtoourDependenceonThirdPartie">
              <w:r>
                <w:rPr>
                  <w:rStyle w:val="InternetLink"/>
                  <w:rFonts w:ascii="Times New Roman;Times;serif" w:hAnsi="Times New Roman;Times;serif"/>
                  <w:b w:val="false"/>
                  <w:i w:val="false"/>
                  <w:caps w:val="false"/>
                  <w:smallCaps w:val="false"/>
                  <w:sz w:val="20"/>
                </w:rPr>
                <w:t>Risks Related to our Dependence on Third Parties or Their Actions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630" w:type="dxa"/>
            <w:tcBorders/>
            <w:vAlign w:val="center"/>
          </w:tcPr>
          <w:p>
            <w:pPr>
              <w:pStyle w:val="TableContents"/>
              <w:bidi w:val="0"/>
              <w:spacing w:before="0" w:after="0"/>
              <w:ind w:left="0" w:right="0" w:hanging="0"/>
              <w:jc w:val="left"/>
              <w:rPr/>
            </w:pPr>
            <w:hyperlink w:anchor="RisksRelatedtoOurIntellectualProperty_37">
              <w:r>
                <w:rPr>
                  <w:rStyle w:val="InternetLink"/>
                  <w:rFonts w:ascii="Times New Roman;Times;serif" w:hAnsi="Times New Roman;Times;serif"/>
                  <w:b w:val="false"/>
                  <w:i w:val="false"/>
                  <w:caps w:val="false"/>
                  <w:smallCaps w:val="false"/>
                  <w:sz w:val="20"/>
                </w:rPr>
                <w:t>Risks Related to Our Intellectual Property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630" w:type="dxa"/>
            <w:tcBorders/>
            <w:vAlign w:val="center"/>
          </w:tcPr>
          <w:p>
            <w:pPr>
              <w:pStyle w:val="TableContents"/>
              <w:bidi w:val="0"/>
              <w:spacing w:before="0" w:after="0"/>
              <w:ind w:left="0" w:right="0" w:hanging="0"/>
              <w:jc w:val="left"/>
              <w:rPr/>
            </w:pPr>
            <w:hyperlink w:anchor="RisksRelatedtoRegulatoryandLegalComplian">
              <w:r>
                <w:rPr>
                  <w:rStyle w:val="InternetLink"/>
                  <w:rFonts w:ascii="Times New Roman;Times;serif" w:hAnsi="Times New Roman;Times;serif"/>
                  <w:b w:val="false"/>
                  <w:i w:val="false"/>
                  <w:caps w:val="false"/>
                  <w:smallCaps w:val="false"/>
                  <w:sz w:val="20"/>
                </w:rPr>
                <w:t>Risks Related to Regulatory and Legal Compliance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630" w:type="dxa"/>
            <w:tcBorders/>
            <w:vAlign w:val="center"/>
          </w:tcPr>
          <w:p>
            <w:pPr>
              <w:pStyle w:val="TableContents"/>
              <w:bidi w:val="0"/>
              <w:spacing w:before="0" w:after="0"/>
              <w:ind w:left="0" w:right="0" w:hanging="0"/>
              <w:jc w:val="left"/>
              <w:rPr/>
            </w:pPr>
            <w:hyperlink w:anchor="RisksRelatedtoOurBusinessOperationsEmplo">
              <w:r>
                <w:rPr>
                  <w:rStyle w:val="InternetLink"/>
                  <w:rFonts w:ascii="Times New Roman;Times;serif" w:hAnsi="Times New Roman;Times;serif"/>
                  <w:b w:val="false"/>
                  <w:i w:val="false"/>
                  <w:caps w:val="false"/>
                  <w:smallCaps w:val="false"/>
                  <w:sz w:val="20"/>
                </w:rPr>
                <w:t>Risks Related to Our Business Operations, Employee Matters, and Managing Growth</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630" w:type="dxa"/>
            <w:tcBorders/>
            <w:vAlign w:val="center"/>
          </w:tcPr>
          <w:p>
            <w:pPr>
              <w:pStyle w:val="TableContents"/>
              <w:bidi w:val="0"/>
              <w:spacing w:before="0" w:after="0"/>
              <w:ind w:left="0" w:right="0" w:hanging="0"/>
              <w:jc w:val="left"/>
              <w:rPr/>
            </w:pPr>
            <w:hyperlink w:anchor="RisksRelatedtoOwnershipofOurClassAOrdina">
              <w:r>
                <w:rPr>
                  <w:rStyle w:val="InternetLink"/>
                  <w:rFonts w:ascii="Times New Roman;Times;serif" w:hAnsi="Times New Roman;Times;serif"/>
                  <w:b w:val="false"/>
                  <w:i w:val="false"/>
                  <w:caps w:val="false"/>
                  <w:smallCaps w:val="false"/>
                  <w:sz w:val="20"/>
                </w:rPr>
                <w:t>Risks Related to Ownership of Our Class A Ordinary Shares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9630" w:type="dxa"/>
            <w:tcBorders/>
            <w:vAlign w:val="center"/>
          </w:tcPr>
          <w:p>
            <w:pPr>
              <w:pStyle w:val="TableContents"/>
              <w:bidi w:val="0"/>
              <w:spacing w:before="0" w:after="0"/>
              <w:ind w:left="0" w:right="0" w:hanging="0"/>
              <w:jc w:val="left"/>
              <w:rPr/>
            </w:pPr>
            <w:hyperlink w:anchor="ITEM1BUNRESOLVEDSTAFFCOMMENTS_821195">
              <w:r>
                <w:rPr>
                  <w:rStyle w:val="InternetLink"/>
                  <w:rFonts w:ascii="Times New Roman;Times;serif" w:hAnsi="Times New Roman;Times;serif"/>
                  <w:b w:val="false"/>
                  <w:i w:val="false"/>
                  <w:caps w:val="false"/>
                  <w:smallCaps w:val="false"/>
                  <w:sz w:val="20"/>
                </w:rPr>
                <w:t>ITEM 1B. UNRESOLVED STAFF COMMENTS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630" w:type="dxa"/>
            <w:tcBorders/>
            <w:vAlign w:val="center"/>
          </w:tcPr>
          <w:p>
            <w:pPr>
              <w:pStyle w:val="TableContents"/>
              <w:bidi w:val="0"/>
              <w:spacing w:before="0" w:after="0"/>
              <w:ind w:left="0" w:right="0" w:hanging="0"/>
              <w:jc w:val="left"/>
              <w:rPr/>
            </w:pPr>
            <w:hyperlink w:anchor="ITEM1CCYBERSECURITY_940248">
              <w:r>
                <w:rPr>
                  <w:rStyle w:val="InternetLink"/>
                  <w:rFonts w:ascii="Times New Roman;Times;serif" w:hAnsi="Times New Roman;Times;serif"/>
                  <w:b w:val="false"/>
                  <w:i w:val="false"/>
                  <w:caps w:val="false"/>
                  <w:smallCaps w:val="false"/>
                  <w:sz w:val="20"/>
                </w:rPr>
                <w:t>ITEM 1C. CYBERSECURITY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630" w:type="dxa"/>
            <w:tcBorders/>
            <w:vAlign w:val="center"/>
          </w:tcPr>
          <w:p>
            <w:pPr>
              <w:pStyle w:val="TableContents"/>
              <w:bidi w:val="0"/>
              <w:spacing w:before="0" w:after="0"/>
              <w:ind w:left="0" w:right="0" w:hanging="0"/>
              <w:jc w:val="left"/>
              <w:rPr/>
            </w:pPr>
            <w:hyperlink w:anchor="ITEM2PROPERTIES_548146">
              <w:r>
                <w:rPr>
                  <w:rStyle w:val="InternetLink"/>
                  <w:rFonts w:ascii="Times New Roman;Times;serif" w:hAnsi="Times New Roman;Times;serif"/>
                  <w:b w:val="false"/>
                  <w:i w:val="false"/>
                  <w:caps w:val="false"/>
                  <w:smallCaps w:val="false"/>
                  <w:sz w:val="20"/>
                </w:rPr>
                <w:t>ITEM 2. PROPERTIES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630" w:type="dxa"/>
            <w:tcBorders/>
            <w:vAlign w:val="center"/>
          </w:tcPr>
          <w:p>
            <w:pPr>
              <w:pStyle w:val="TableContents"/>
              <w:bidi w:val="0"/>
              <w:spacing w:before="0" w:after="0"/>
              <w:ind w:left="0" w:right="0" w:hanging="0"/>
              <w:jc w:val="left"/>
              <w:rPr/>
            </w:pPr>
            <w:hyperlink w:anchor="ITEM3LEGALPROCEEDINGS_475628">
              <w:r>
                <w:rPr>
                  <w:rStyle w:val="InternetLink"/>
                  <w:rFonts w:ascii="Times New Roman;Times;serif" w:hAnsi="Times New Roman;Times;serif"/>
                  <w:b w:val="false"/>
                  <w:i w:val="false"/>
                  <w:caps w:val="false"/>
                  <w:smallCaps w:val="false"/>
                  <w:sz w:val="20"/>
                </w:rPr>
                <w:t>ITEM 3. LEGAL PROCEEDINGS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630" w:type="dxa"/>
            <w:tcBorders/>
            <w:vAlign w:val="center"/>
          </w:tcPr>
          <w:p>
            <w:pPr>
              <w:pStyle w:val="TableContents"/>
              <w:bidi w:val="0"/>
              <w:spacing w:before="0" w:after="0"/>
              <w:ind w:left="0" w:right="0" w:hanging="0"/>
              <w:jc w:val="left"/>
              <w:rPr/>
            </w:pPr>
            <w:hyperlink w:anchor="ITEM4MINESAFETYDISCLOSURES_52848">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630" w:type="dxa"/>
            <w:tcBorders/>
            <w:vAlign w:val="center"/>
          </w:tcPr>
          <w:p>
            <w:pPr>
              <w:pStyle w:val="TableContents"/>
              <w:bidi w:val="0"/>
              <w:spacing w:before="0" w:after="0"/>
              <w:ind w:left="0" w:right="0" w:hanging="0"/>
              <w:jc w:val="left"/>
              <w:rPr/>
            </w:pPr>
            <w:hyperlink w:anchor="PARTII_331045">
              <w:r>
                <w:rPr>
                  <w:rStyle w:val="InternetLink"/>
                  <w:rFonts w:ascii="Times New Roman;Times;serif" w:hAnsi="Times New Roman;Times;serif"/>
                  <w:b w:val="false"/>
                  <w:i w:val="false"/>
                  <w:caps w:val="false"/>
                  <w:smallCaps w:val="false"/>
                  <w:sz w:val="20"/>
                </w:rPr>
                <w:t>PART II</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MarketInformationforCommonStock_190194">
              <w:r>
                <w:rPr>
                  <w:rStyle w:val="InternetLink"/>
                  <w:rFonts w:ascii="Times New Roman;Times;serif" w:hAnsi="Times New Roman;Times;serif"/>
                  <w:b w:val="false"/>
                  <w:i w:val="false"/>
                  <w:caps w:val="false"/>
                  <w:smallCaps w:val="false"/>
                  <w:sz w:val="20"/>
                </w:rPr>
                <w:t>Market Information for Common Stock</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HoldersofRecord_747908">
              <w:r>
                <w:rPr>
                  <w:rStyle w:val="InternetLink"/>
                  <w:rFonts w:ascii="Times New Roman;Times;serif" w:hAnsi="Times New Roman;Times;serif"/>
                  <w:b w:val="false"/>
                  <w:i w:val="false"/>
                  <w:caps w:val="false"/>
                  <w:smallCaps w:val="false"/>
                  <w:sz w:val="20"/>
                </w:rPr>
                <w:t>Holders of Record</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DividendPolicy_776151">
              <w:r>
                <w:rPr>
                  <w:rStyle w:val="InternetLink"/>
                  <w:rFonts w:ascii="Times New Roman;Times;serif" w:hAnsi="Times New Roman;Times;serif"/>
                  <w:b w:val="false"/>
                  <w:i w:val="false"/>
                  <w:caps w:val="false"/>
                  <w:smallCaps w:val="false"/>
                  <w:sz w:val="20"/>
                </w:rPr>
                <w:t>Dividend Policy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SecuritiesAuthorizedforIssuanceUnderEqui">
              <w:r>
                <w:rPr>
                  <w:rStyle w:val="InternetLink"/>
                  <w:rFonts w:ascii="Times New Roman;Times;serif" w:hAnsi="Times New Roman;Times;serif"/>
                  <w:b w:val="false"/>
                  <w:i w:val="false"/>
                  <w:caps w:val="false"/>
                  <w:smallCaps w:val="false"/>
                  <w:sz w:val="20"/>
                </w:rPr>
                <w:t>Securities Authorized for Issuance Under Equity Compensation Plans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RecentSalesofUnregisteredSecuritiesUseof">
              <w:r>
                <w:rPr>
                  <w:rStyle w:val="InternetLink"/>
                  <w:rFonts w:ascii="Times New Roman;Times;serif" w:hAnsi="Times New Roman;Times;serif"/>
                  <w:b w:val="false"/>
                  <w:i w:val="false"/>
                  <w:caps w:val="false"/>
                  <w:smallCaps w:val="false"/>
                  <w:sz w:val="20"/>
                </w:rPr>
                <w:t>Recent Sales of Unregistered Securities; Use of Proceeds from Registered Offerings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630" w:type="dxa"/>
            <w:tcBorders/>
            <w:vAlign w:val="center"/>
          </w:tcPr>
          <w:p>
            <w:pPr>
              <w:pStyle w:val="TableContents"/>
              <w:bidi w:val="0"/>
              <w:spacing w:before="0" w:after="0"/>
              <w:ind w:left="0" w:right="0" w:hanging="0"/>
              <w:jc w:val="left"/>
              <w:rPr/>
            </w:pPr>
            <w:hyperlink w:anchor="PurchasesofEquitySecuritiesbytheIssueran">
              <w:r>
                <w:rPr>
                  <w:rStyle w:val="InternetLink"/>
                  <w:rFonts w:ascii="Times New Roman;Times;serif" w:hAnsi="Times New Roman;Times;serif"/>
                  <w:b w:val="false"/>
                  <w:i w:val="false"/>
                  <w:caps w:val="false"/>
                  <w:smallCaps w:val="false"/>
                  <w:sz w:val="20"/>
                </w:rPr>
                <w:t>Purchases of Equity Securities by the Issuer and Affiliated Persons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630" w:type="dxa"/>
            <w:tcBorders/>
            <w:vAlign w:val="center"/>
          </w:tcPr>
          <w:p>
            <w:pPr>
              <w:pStyle w:val="TableContents"/>
              <w:bidi w:val="0"/>
              <w:spacing w:before="0" w:after="0"/>
              <w:ind w:left="0" w:right="0" w:hanging="0"/>
              <w:jc w:val="left"/>
              <w:rPr/>
            </w:pPr>
            <w:hyperlink w:anchor="ITEM6RESERVED_279066">
              <w:r>
                <w:rPr>
                  <w:rStyle w:val="InternetLink"/>
                  <w:rFonts w:ascii="Times New Roman;Times;serif" w:hAnsi="Times New Roman;Times;serif"/>
                  <w:b w:val="false"/>
                  <w:i w:val="false"/>
                  <w:caps w:val="false"/>
                  <w:smallCaps w:val="false"/>
                  <w:sz w:val="20"/>
                </w:rPr>
                <w:t>ITEM 6. SELECTED FINANCIAL DATA [RESERVED]</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630"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9630"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9630"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 FINANCIAL STATEMENTS AND SUPPLEMENTARY DATA</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9630"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9630" w:type="dxa"/>
            <w:tcBorders/>
            <w:vAlign w:val="center"/>
          </w:tcPr>
          <w:p>
            <w:pPr>
              <w:pStyle w:val="TableContents"/>
              <w:bidi w:val="0"/>
              <w:spacing w:before="0" w:after="0"/>
              <w:ind w:left="0" w:right="0" w:hanging="0"/>
              <w:jc w:val="left"/>
              <w:rPr/>
            </w:pPr>
            <w:hyperlink w:anchor="ITEM9ACONTROLSANDPROCEDURES_948383">
              <w:r>
                <w:rPr>
                  <w:rStyle w:val="InternetLink"/>
                  <w:rFonts w:ascii="Times New Roman;Times;serif" w:hAnsi="Times New Roman;Times;serif"/>
                  <w:b w:val="false"/>
                  <w:i w:val="false"/>
                  <w:caps w:val="false"/>
                  <w:smallCaps w:val="false"/>
                  <w:sz w:val="20"/>
                </w:rPr>
                <w:t>ITEM 9A. CONTROLS AND PROCEDURES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ITEM9BOTHERINFORMATION_528717">
              <w:r>
                <w:rPr>
                  <w:rStyle w:val="InternetLink"/>
                  <w:rFonts w:ascii="Times New Roman;Times;serif" w:hAnsi="Times New Roman;Times;serif"/>
                  <w:b w:val="false"/>
                  <w:i w:val="false"/>
                  <w:caps w:val="false"/>
                  <w:smallCaps w:val="false"/>
                  <w:sz w:val="20"/>
                </w:rPr>
                <w:t>ITEM 9B. OTHER INFORMATION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630"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630" w:type="dxa"/>
            <w:tcBorders/>
            <w:vAlign w:val="center"/>
          </w:tcPr>
          <w:p>
            <w:pPr>
              <w:pStyle w:val="TableContents"/>
              <w:bidi w:val="0"/>
              <w:spacing w:before="0" w:after="0"/>
              <w:ind w:left="0" w:right="0" w:hanging="0"/>
              <w:jc w:val="left"/>
              <w:rPr/>
            </w:pPr>
            <w:hyperlink w:anchor="PARTIII_610072">
              <w:r>
                <w:rPr>
                  <w:rStyle w:val="InternetLink"/>
                  <w:rFonts w:ascii="Times New Roman;Times;serif" w:hAnsi="Times New Roman;Times;serif"/>
                  <w:b w:val="false"/>
                  <w:i w:val="false"/>
                  <w:caps w:val="false"/>
                  <w:smallCaps w:val="false"/>
                  <w:sz w:val="20"/>
                </w:rPr>
                <w:t>PART III</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630"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630" w:type="dxa"/>
            <w:tcBorders/>
            <w:vAlign w:val="center"/>
          </w:tcPr>
          <w:p>
            <w:pPr>
              <w:pStyle w:val="TableContents"/>
              <w:bidi w:val="0"/>
              <w:spacing w:before="0" w:after="0"/>
              <w:ind w:left="0" w:right="0" w:hanging="0"/>
              <w:jc w:val="left"/>
              <w:rPr/>
            </w:pPr>
            <w:hyperlink w:anchor="DirectorsandExecutiveOfficers_573908">
              <w:r>
                <w:rPr>
                  <w:rStyle w:val="InternetLink"/>
                  <w:rFonts w:ascii="Times New Roman;Times;serif" w:hAnsi="Times New Roman;Times;serif"/>
                  <w:b w:val="false"/>
                  <w:i w:val="false"/>
                  <w:caps w:val="false"/>
                  <w:smallCaps w:val="false"/>
                  <w:sz w:val="20"/>
                </w:rPr>
                <w:t>Directors and Executive Officers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630" w:type="dxa"/>
            <w:tcBorders/>
            <w:vAlign w:val="center"/>
          </w:tcPr>
          <w:p>
            <w:pPr>
              <w:pStyle w:val="TableContents"/>
              <w:bidi w:val="0"/>
              <w:spacing w:before="0" w:after="0"/>
              <w:ind w:left="0" w:right="0" w:hanging="0"/>
              <w:jc w:val="left"/>
              <w:rPr/>
            </w:pPr>
            <w:hyperlink w:anchor="ExecutiveOfficers_694591">
              <w:r>
                <w:rPr>
                  <w:rStyle w:val="InternetLink"/>
                  <w:rFonts w:ascii="Times New Roman;Times;serif" w:hAnsi="Times New Roman;Times;serif"/>
                  <w:b w:val="false"/>
                  <w:i w:val="false"/>
                  <w:caps w:val="false"/>
                  <w:smallCaps w:val="false"/>
                  <w:sz w:val="20"/>
                </w:rPr>
                <w:t>Executive Officers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630" w:type="dxa"/>
            <w:tcBorders/>
            <w:vAlign w:val="center"/>
          </w:tcPr>
          <w:p>
            <w:pPr>
              <w:pStyle w:val="TableContents"/>
              <w:bidi w:val="0"/>
              <w:spacing w:before="0" w:after="0"/>
              <w:ind w:left="0" w:right="0" w:hanging="0"/>
              <w:jc w:val="left"/>
              <w:rPr/>
            </w:pPr>
            <w:hyperlink w:anchor="NonemployeeDirectors_945563">
              <w:r>
                <w:rPr>
                  <w:rStyle w:val="InternetLink"/>
                  <w:rFonts w:ascii="Times New Roman;Times;serif" w:hAnsi="Times New Roman;Times;serif"/>
                  <w:b w:val="false"/>
                  <w:i w:val="false"/>
                  <w:caps w:val="false"/>
                  <w:smallCaps w:val="false"/>
                  <w:sz w:val="20"/>
                </w:rPr>
                <w:t>Non-employee Directors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630"/>
        <w:gridCol w:w="109"/>
        <w:gridCol w:w="466"/>
      </w:tblGrid>
      <w:tr>
        <w:trPr/>
        <w:tc>
          <w:tcPr>
            <w:tcW w:w="9630" w:type="dxa"/>
            <w:tcBorders/>
            <w:vAlign w:val="center"/>
          </w:tcPr>
          <w:p>
            <w:pPr>
              <w:pStyle w:val="TableContents"/>
              <w:bidi w:val="0"/>
              <w:spacing w:before="0" w:after="0"/>
              <w:ind w:left="0" w:right="0" w:hanging="0"/>
              <w:jc w:val="left"/>
              <w:rPr/>
            </w:pPr>
            <w:hyperlink w:anchor="NeilGrahamMBBSMDMPH_514395">
              <w:r>
                <w:rPr>
                  <w:rStyle w:val="InternetLink"/>
                  <w:rFonts w:ascii="Times New Roman;Times;serif" w:hAnsi="Times New Roman;Times;serif"/>
                  <w:b w:val="false"/>
                  <w:i w:val="false"/>
                  <w:caps w:val="false"/>
                  <w:smallCaps w:val="false"/>
                  <w:sz w:val="20"/>
                </w:rPr>
                <w:t>Neil Graham M.B.B.S., M.D., M.P.H.</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9630" w:type="dxa"/>
            <w:tcBorders/>
            <w:vAlign w:val="center"/>
          </w:tcPr>
          <w:p>
            <w:pPr>
              <w:pStyle w:val="TableContents"/>
              <w:bidi w:val="0"/>
              <w:spacing w:before="0" w:after="0"/>
              <w:ind w:left="0" w:right="0" w:hanging="0"/>
              <w:jc w:val="left"/>
              <w:rPr/>
            </w:pPr>
            <w:hyperlink w:anchor="ParvinderThiara_596932">
              <w:r>
                <w:rPr>
                  <w:rStyle w:val="InternetLink"/>
                  <w:rFonts w:ascii="Times New Roman;Times;serif" w:hAnsi="Times New Roman;Times;serif"/>
                  <w:b w:val="false"/>
                  <w:i w:val="false"/>
                  <w:caps w:val="false"/>
                  <w:smallCaps w:val="false"/>
                  <w:sz w:val="20"/>
                </w:rPr>
                <w:t>Parvinder Thiara</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9630" w:type="dxa"/>
            <w:tcBorders/>
            <w:vAlign w:val="center"/>
          </w:tcPr>
          <w:p>
            <w:pPr>
              <w:pStyle w:val="TableContents"/>
              <w:bidi w:val="0"/>
              <w:spacing w:before="0" w:after="0"/>
              <w:ind w:left="0" w:right="0" w:hanging="0"/>
              <w:jc w:val="left"/>
              <w:rPr/>
            </w:pPr>
            <w:hyperlink w:anchor="DirectorIndependence_125138">
              <w:r>
                <w:rPr>
                  <w:rStyle w:val="InternetLink"/>
                  <w:rFonts w:ascii="Times New Roman;Times;serif" w:hAnsi="Times New Roman;Times;serif"/>
                  <w:b w:val="false"/>
                  <w:i w:val="false"/>
                  <w:caps w:val="false"/>
                  <w:smallCaps w:val="false"/>
                  <w:sz w:val="20"/>
                </w:rPr>
                <w:t>Director Independence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9630" w:type="dxa"/>
            <w:tcBorders/>
            <w:vAlign w:val="center"/>
          </w:tcPr>
          <w:p>
            <w:pPr>
              <w:pStyle w:val="TableContents"/>
              <w:bidi w:val="0"/>
              <w:spacing w:before="0" w:after="0"/>
              <w:ind w:left="0" w:right="0" w:hanging="0"/>
              <w:jc w:val="left"/>
              <w:rPr/>
            </w:pPr>
            <w:hyperlink w:anchor="AuditCommittee_480247">
              <w:r>
                <w:rPr>
                  <w:rStyle w:val="InternetLink"/>
                  <w:rFonts w:ascii="Times New Roman;Times;serif" w:hAnsi="Times New Roman;Times;serif"/>
                  <w:b w:val="false"/>
                  <w:i w:val="false"/>
                  <w:caps w:val="false"/>
                  <w:smallCaps w:val="false"/>
                  <w:sz w:val="20"/>
                </w:rPr>
                <w:t>Audit Committee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630" w:type="dxa"/>
            <w:tcBorders/>
            <w:vAlign w:val="center"/>
          </w:tcPr>
          <w:p>
            <w:pPr>
              <w:pStyle w:val="TableContents"/>
              <w:bidi w:val="0"/>
              <w:spacing w:before="0" w:after="0"/>
              <w:ind w:left="0" w:right="0" w:hanging="0"/>
              <w:jc w:val="left"/>
              <w:rPr/>
            </w:pPr>
            <w:hyperlink w:anchor="CompensationCommittee_291799">
              <w:r>
                <w:rPr>
                  <w:rStyle w:val="InternetLink"/>
                  <w:rFonts w:ascii="Times New Roman;Times;serif" w:hAnsi="Times New Roman;Times;serif"/>
                  <w:b w:val="false"/>
                  <w:i w:val="false"/>
                  <w:caps w:val="false"/>
                  <w:smallCaps w:val="false"/>
                  <w:sz w:val="20"/>
                </w:rPr>
                <w:t>Compensation Committee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630" w:type="dxa"/>
            <w:tcBorders/>
            <w:vAlign w:val="center"/>
          </w:tcPr>
          <w:p>
            <w:pPr>
              <w:pStyle w:val="TableContents"/>
              <w:bidi w:val="0"/>
              <w:spacing w:before="0" w:after="0"/>
              <w:ind w:left="0" w:right="0" w:hanging="0"/>
              <w:jc w:val="left"/>
              <w:rPr/>
            </w:pPr>
            <w:hyperlink w:anchor="NominatingandGovernanceCommittee_658778">
              <w:r>
                <w:rPr>
                  <w:rStyle w:val="InternetLink"/>
                  <w:rFonts w:ascii="Times New Roman;Times;serif" w:hAnsi="Times New Roman;Times;serif"/>
                  <w:b w:val="false"/>
                  <w:i w:val="false"/>
                  <w:caps w:val="false"/>
                  <w:smallCaps w:val="false"/>
                  <w:sz w:val="20"/>
                </w:rPr>
                <w:t>Nominating and Governance Committee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630" w:type="dxa"/>
            <w:tcBorders/>
            <w:vAlign w:val="center"/>
          </w:tcPr>
          <w:p>
            <w:pPr>
              <w:pStyle w:val="TableContents"/>
              <w:bidi w:val="0"/>
              <w:spacing w:before="0" w:after="0"/>
              <w:ind w:left="0" w:right="0" w:hanging="0"/>
              <w:jc w:val="left"/>
              <w:rPr/>
            </w:pPr>
            <w:hyperlink w:anchor="CompensationCommitteeInterlocksandInside">
              <w:r>
                <w:rPr>
                  <w:rStyle w:val="InternetLink"/>
                  <w:rFonts w:ascii="Times New Roman;Times;serif" w:hAnsi="Times New Roman;Times;serif"/>
                  <w:b w:val="false"/>
                  <w:i w:val="false"/>
                  <w:caps w:val="false"/>
                  <w:smallCaps w:val="false"/>
                  <w:sz w:val="20"/>
                </w:rPr>
                <w:t>Compensation Committee Interlocks and Insider Participation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630" w:type="dxa"/>
            <w:tcBorders/>
            <w:vAlign w:val="center"/>
          </w:tcPr>
          <w:p>
            <w:pPr>
              <w:pStyle w:val="TableContents"/>
              <w:bidi w:val="0"/>
              <w:spacing w:before="0" w:after="0"/>
              <w:ind w:left="0" w:right="0" w:hanging="0"/>
              <w:jc w:val="left"/>
              <w:rPr/>
            </w:pPr>
            <w:hyperlink w:anchor="GuidelinesforSelectingDirectorNominees_7">
              <w:r>
                <w:rPr>
                  <w:rStyle w:val="InternetLink"/>
                  <w:rFonts w:ascii="Times New Roman;Times;serif" w:hAnsi="Times New Roman;Times;serif"/>
                  <w:b w:val="false"/>
                  <w:i w:val="false"/>
                  <w:caps w:val="false"/>
                  <w:smallCaps w:val="false"/>
                  <w:sz w:val="20"/>
                </w:rPr>
                <w:t>Guidelines for Selecting Director Nominees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630" w:type="dxa"/>
            <w:tcBorders/>
            <w:vAlign w:val="center"/>
          </w:tcPr>
          <w:p>
            <w:pPr>
              <w:pStyle w:val="TableContents"/>
              <w:bidi w:val="0"/>
              <w:spacing w:before="0" w:after="0"/>
              <w:ind w:left="0" w:right="0" w:hanging="0"/>
              <w:jc w:val="left"/>
              <w:rPr/>
            </w:pPr>
            <w:hyperlink w:anchor="FiduciaryDuties_106270">
              <w:r>
                <w:rPr>
                  <w:rStyle w:val="InternetLink"/>
                  <w:rFonts w:ascii="Times New Roman;Times;serif" w:hAnsi="Times New Roman;Times;serif"/>
                  <w:b w:val="false"/>
                  <w:i w:val="false"/>
                  <w:caps w:val="false"/>
                  <w:smallCaps w:val="false"/>
                  <w:sz w:val="20"/>
                </w:rPr>
                <w:t>Fiduciary Duties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630" w:type="dxa"/>
            <w:tcBorders/>
            <w:vAlign w:val="center"/>
          </w:tcPr>
          <w:p>
            <w:pPr>
              <w:pStyle w:val="TableContents"/>
              <w:bidi w:val="0"/>
              <w:spacing w:before="0" w:after="0"/>
              <w:ind w:left="0" w:right="0" w:hanging="0"/>
              <w:jc w:val="left"/>
              <w:rPr/>
            </w:pPr>
            <w:hyperlink w:anchor="CodeofConductandEthics_234773">
              <w:r>
                <w:rPr>
                  <w:rStyle w:val="InternetLink"/>
                  <w:rFonts w:ascii="Times New Roman;Times;serif" w:hAnsi="Times New Roman;Times;serif"/>
                  <w:b w:val="false"/>
                  <w:i w:val="false"/>
                  <w:caps w:val="false"/>
                  <w:smallCaps w:val="false"/>
                  <w:sz w:val="20"/>
                </w:rPr>
                <w:t>Code of Conduct and Ethics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630" w:type="dxa"/>
            <w:tcBorders/>
            <w:vAlign w:val="center"/>
          </w:tcPr>
          <w:p>
            <w:pPr>
              <w:pStyle w:val="TableContents"/>
              <w:bidi w:val="0"/>
              <w:spacing w:before="0" w:after="0"/>
              <w:ind w:left="0" w:right="0" w:hanging="0"/>
              <w:jc w:val="left"/>
              <w:rPr/>
            </w:pPr>
            <w:hyperlink w:anchor="Section16ABeneficialOwnershipReportingCo">
              <w:r>
                <w:rPr>
                  <w:rStyle w:val="InternetLink"/>
                  <w:rFonts w:ascii="Times New Roman;Times;serif" w:hAnsi="Times New Roman;Times;serif"/>
                  <w:b w:val="false"/>
                  <w:i w:val="false"/>
                  <w:caps w:val="false"/>
                  <w:smallCaps w:val="false"/>
                  <w:sz w:val="20"/>
                </w:rPr>
                <w:t>Section 16(A) Beneficial Ownership Reporting Compliance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630" w:type="dxa"/>
            <w:tcBorders/>
            <w:vAlign w:val="center"/>
          </w:tcPr>
          <w:p>
            <w:pPr>
              <w:pStyle w:val="TableContents"/>
              <w:bidi w:val="0"/>
              <w:spacing w:before="0" w:after="0"/>
              <w:ind w:left="0" w:right="0" w:hanging="0"/>
              <w:jc w:val="left"/>
              <w:rPr/>
            </w:pPr>
            <w:hyperlink w:anchor="ITEM11EXECUTIVECOMPENSATION_971302">
              <w:r>
                <w:rPr>
                  <w:rStyle w:val="InternetLink"/>
                  <w:rFonts w:ascii="Times New Roman;Times;serif" w:hAnsi="Times New Roman;Times;serif"/>
                  <w:b w:val="false"/>
                  <w:i w:val="false"/>
                  <w:caps w:val="false"/>
                  <w:smallCaps w:val="false"/>
                  <w:sz w:val="20"/>
                </w:rPr>
                <w:t>ITEM 11. EXECUTIVE COMPENSATION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Officers Compensation</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Employment Agreements with Executive Officers</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Equity Awards</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630" w:type="dxa"/>
            <w:tcBorders/>
            <w:vAlign w:val="center"/>
          </w:tcPr>
          <w:p>
            <w:pPr>
              <w:pStyle w:val="TableContents"/>
              <w:bidi w:val="0"/>
              <w:spacing w:before="0" w:after="0"/>
              <w:ind w:left="0" w:right="0" w:hanging="0"/>
              <w:jc w:val="left"/>
              <w:rPr/>
            </w:pPr>
            <w:hyperlink w:anchor="CompensationofDirectors_860332">
              <w:r>
                <w:rPr>
                  <w:rStyle w:val="InternetLink"/>
                  <w:rFonts w:ascii="Times New Roman;Times;serif" w:hAnsi="Times New Roman;Times;serif"/>
                  <w:b w:val="false"/>
                  <w:i w:val="false"/>
                  <w:caps w:val="false"/>
                  <w:smallCaps w:val="false"/>
                  <w:sz w:val="20"/>
                </w:rPr>
                <w:t>Compensation of Directors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630"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630"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630" w:type="dxa"/>
            <w:tcBorders/>
            <w:vAlign w:val="center"/>
          </w:tcPr>
          <w:p>
            <w:pPr>
              <w:pStyle w:val="TableContents"/>
              <w:bidi w:val="0"/>
              <w:spacing w:before="0" w:after="0"/>
              <w:ind w:left="0" w:right="0" w:hanging="0"/>
              <w:jc w:val="left"/>
              <w:rPr/>
            </w:pPr>
            <w:hyperlink w:anchor="LillyZB17License_968791">
              <w:r>
                <w:rPr>
                  <w:rStyle w:val="InternetLink"/>
                  <w:rFonts w:ascii="Times New Roman;Times;serif" w:hAnsi="Times New Roman;Times;serif"/>
                  <w:b w:val="false"/>
                  <w:i w:val="false"/>
                  <w:caps w:val="false"/>
                  <w:smallCaps w:val="false"/>
                  <w:sz w:val="20"/>
                </w:rPr>
                <w:t>Lilly ZB17 License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630" w:type="dxa"/>
            <w:tcBorders/>
            <w:vAlign w:val="center"/>
          </w:tcPr>
          <w:p>
            <w:pPr>
              <w:pStyle w:val="TableContents"/>
              <w:bidi w:val="0"/>
              <w:spacing w:before="0" w:after="0"/>
              <w:ind w:left="0" w:right="0" w:hanging="0"/>
              <w:jc w:val="left"/>
              <w:rPr/>
            </w:pPr>
            <w:hyperlink w:anchor="ZB106EquityGrantAgreement_696084">
              <w:r>
                <w:rPr>
                  <w:rStyle w:val="InternetLink"/>
                  <w:rFonts w:ascii="Times New Roman;Times;serif" w:hAnsi="Times New Roman;Times;serif"/>
                  <w:b w:val="false"/>
                  <w:i w:val="false"/>
                  <w:caps w:val="false"/>
                  <w:smallCaps w:val="false"/>
                  <w:sz w:val="20"/>
                </w:rPr>
                <w:t>ZB-106 Equity Grant Agreement</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630" w:type="dxa"/>
            <w:tcBorders/>
            <w:vAlign w:val="center"/>
          </w:tcPr>
          <w:p>
            <w:pPr>
              <w:pStyle w:val="TableContents"/>
              <w:bidi w:val="0"/>
              <w:spacing w:before="0" w:after="0"/>
              <w:ind w:left="0" w:right="0" w:hanging="0"/>
              <w:jc w:val="left"/>
              <w:rPr/>
            </w:pPr>
            <w:hyperlink w:anchor="April2023PrivatePlacementFinancing_24873">
              <w:r>
                <w:rPr>
                  <w:rStyle w:val="InternetLink"/>
                  <w:rFonts w:ascii="Times New Roman;Times;serif" w:hAnsi="Times New Roman;Times;serif"/>
                  <w:b w:val="false"/>
                  <w:i w:val="false"/>
                  <w:caps w:val="false"/>
                  <w:smallCaps w:val="false"/>
                  <w:sz w:val="20"/>
                </w:rPr>
                <w:t>April 2023 Private Placement Financing</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630"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 PRINCIPAL ACCOUNTING FEES AND SERVICES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630" w:type="dxa"/>
            <w:tcBorders/>
            <w:vAlign w:val="center"/>
          </w:tcPr>
          <w:p>
            <w:pPr>
              <w:pStyle w:val="TableContents"/>
              <w:bidi w:val="0"/>
              <w:spacing w:before="0" w:after="0"/>
              <w:ind w:left="0" w:right="0" w:hanging="0"/>
              <w:jc w:val="left"/>
              <w:rPr/>
            </w:pPr>
            <w:hyperlink w:anchor="PreApprovalPolicy_18610">
              <w:r>
                <w:rPr>
                  <w:rStyle w:val="InternetLink"/>
                  <w:rFonts w:ascii="Times New Roman;Times;serif" w:hAnsi="Times New Roman;Times;serif"/>
                  <w:b w:val="false"/>
                  <w:i w:val="false"/>
                  <w:caps w:val="false"/>
                  <w:smallCaps w:val="false"/>
                  <w:sz w:val="20"/>
                </w:rPr>
                <w:t>Pre-Approval Policy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9630" w:type="dxa"/>
            <w:tcBorders/>
            <w:vAlign w:val="center"/>
          </w:tcPr>
          <w:p>
            <w:pPr>
              <w:pStyle w:val="TableContents"/>
              <w:bidi w:val="0"/>
              <w:spacing w:before="0" w:after="0"/>
              <w:ind w:left="0" w:right="0" w:hanging="0"/>
              <w:jc w:val="left"/>
              <w:rPr/>
            </w:pPr>
            <w:hyperlink w:anchor="PARTIV_691372">
              <w:r>
                <w:rPr>
                  <w:rStyle w:val="InternetLink"/>
                  <w:rFonts w:ascii="Times New Roman;Times;serif" w:hAnsi="Times New Roman;Times;serif"/>
                  <w:b w:val="false"/>
                  <w:i w:val="false"/>
                  <w:caps w:val="false"/>
                  <w:smallCaps w:val="false"/>
                  <w:sz w:val="20"/>
                </w:rPr>
                <w:t>PART IV</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9630"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 EXHIBITS, FINANCIAL STATEMENT SCHEDULES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9630" w:type="dxa"/>
            <w:tcBorders/>
            <w:vAlign w:val="center"/>
          </w:tcPr>
          <w:p>
            <w:pPr>
              <w:pStyle w:val="TableContents"/>
              <w:bidi w:val="0"/>
              <w:spacing w:before="0" w:after="0"/>
              <w:ind w:left="0" w:right="0" w:hanging="0"/>
              <w:jc w:val="left"/>
              <w:rPr/>
            </w:pPr>
            <w:hyperlink w:anchor="ITEM16FORM10KSUMMARY_949803">
              <w:r>
                <w:rPr>
                  <w:rStyle w:val="InternetLink"/>
                  <w:rFonts w:ascii="Times New Roman;Times;serif" w:hAnsi="Times New Roman;Times;serif"/>
                  <w:b w:val="false"/>
                  <w:i w:val="false"/>
                  <w:caps w:val="false"/>
                  <w:smallCaps w:val="false"/>
                  <w:sz w:val="20"/>
                </w:rPr>
                <w:t>ITEM 16. FORM 10-K SUMMARY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4" w:name="FREQUENTLYUSEDTERMS_518011"/>
      <w:bookmarkStart w:id="55" w:name="_9405640e_3de8_4adb_a4d2_9f83daa9eaae"/>
      <w:bookmarkEnd w:id="54"/>
      <w:bookmarkEnd w:id="55"/>
      <w:r>
        <w:rPr>
          <w:rFonts w:ascii="Times New Roman;Times;serif" w:hAnsi="Times New Roman;Times;serif"/>
          <w:b/>
          <w:sz w:val="20"/>
        </w:rPr>
        <w:t>FREQUENTLY USED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stated in this annual report, the terms “we,” “us,” “our” refer to Zura Bio Limited, a Cayman Islands exempted company, or its affiliates, or, if prior to the Business Combination, to JATT Acquisition Corp., a Cayman Islands exempted company, or its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this document: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April 2023 Private Placement” means that certain private placement made to certain accredited investors, which closed in two tranches on May 1, 2023 and June 5,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April 2023 Private Placement Shares” means the Class A Ordinary Shares issued in connection with the April 2023 Private Placement.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mergers and other transactions contemplated by the Business Combination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Agreement” means that certain Business Combination Agreement, dated as of June 16, 2022, as amended on September 20, 2022, November 14, 2022 and January 13, 2023, by and among JATT, Merger Sub, Merger Sub 2, Holdco and Zura, as may be amended or restated from time to time.</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Cayman Islands Companies Act” means the Companies Act (Revised) of the Cayman Islands.</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closing of the Business Combination.</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March 20, 2023.</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Capital Restructuring” means the restructuring of Zura to be effectuated before the Closing pursuant to which all the Zura ordinary shares were contributed by their holders to Holdco in exchange for an equivalent number of shares of the equivalent class in Holdco.</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Time” means the time at which the Business Combination becomes effective.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Equity Incentive Plan” means the Zura Bio Limited 2022 Equity Incentive Plan and/or the 2023 Zura Bio Limited Equity Incentive Plan,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Ewon PIPE Subscription Agreement” means that certain subscription agreement, between JATT, on the one hand, and Ewon, on the other hand, dated as of June 16, 2022, as amended on November 25, 2022.</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Forward Purchase Agreements” or “FPA” means those certain Amended and Restated Forward Purchase Agreements, by and between Athanor Master Fund, LP and Athanor International Master Fund, LP and JATT, dated August 5, 2021 and as amended and restated on January 27, 2022 and further amended on March 8,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Founder shares” means Class B Ordinary Shares of JATT Acquisition Corp held by our Initial Shareholders (including their permitted transferees) and the Class A Ordinary Shares issued upon the conversion thereof. “FPA Shares” means the 3,000,000 JATT Class A Ordinary Shares purchased by the FPA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Fully Diluted Holdco Shares” means, without duplication, the aggregate number of Holdco Shares that (i) are issued and outstanding immediately prior to the Closing or (ii) would be issuable upon the exercise of Holdco Options.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FPA Investors” means those two accredited investors that are parties to the Forward Purchase Agreements.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accounting principles generally accepted in the United States of America.</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HSR Act” means Hart-Scott-Rodino Antitrust Improvements Act of 1976, as amended.</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Holdco” or “Zura Holdco” means Zura Bio Holdings Ltd., a Cayman Islands exempted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Holdco Options” means the outstanding options to purchase Holdco ordinary shares, which shall be exchanged for Zura Options upon Closing.</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Holdco ordinary shares” or “Holdco shares” means ordinary shares of Holdco, par value $0.001 per share.</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Holdco SSA” has the meaning given in “The Business Combination Agreement — Company Capital Restructuring.”</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Initial Shareholders” means the Sponsor and any other holders of Founder Shares (or their permitted transferees).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IPO” refers to JATT’s initial public offering of 13,800,000 Units of JATT consummated on July 13, 2021 and in the over-allotment closing on July 19,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IRS” means the United States Internal Revenue Service. “JATT” means JATT Acquisition Corp, a Cayman Islands exempted company.</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JATT Class A Ordinary Share” means a Class A ordinary share, par value $0.0001 per share, of JATT.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JATT Class B Ordinary Share” means a Class B ordinary share, par value $0.0001 per share, of JATT.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JATT Units” means JATT’s units sold in the IPO, each of which consisted of one JATT Class A Ordinary Share and one-half of one Public Warrant.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Lilly” means Eli Lilly and Company. “Lilly Shares” means the 1,000,000 Class A Ordinary Shares being issued to Lilly pursuant to the Lilly-ZB17 License.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Lilly-Z33 License” means that certain License, Development and Commercialization Agreement, dated as of December 8, 2022, by and between Eli Lilly and Company and Z33 Bio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Lilly-ZB17 License Agreement” means that certain License, Development and Commercialization Agreement, dated as of April 26, 2023, by and between Eli Lilly and Company and ZB17 LLC.</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MAA” means the Second Amended and Restated Memorandum and Articles of Association of Zura Bio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2” means JATT Merger Sub 2, a Cayman Islands exempted company and wholly owned subsidiary of JATT.</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Minimum Cash Condition” means Available Closing Date Cash of at least $65 million.</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Capital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JATT Class A Ordinary Shares and JATT Class B Ordinary Shares prior to the Business Combination, and the Class A Ordinary Shares of Zura Bio Limited after the Business Combination;</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PFIC” means Passive Foreign Investment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Pfizer Agreement” or “Pfizer License” means that certain License Agreement, effective as of March 22, 2022, by and between Zura and Pfizer Inc.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PIPE Financing” means the issuance and sale of Zura Class A Ordinary Shares pursuant to the PIPE Subscription Agreements. “PIPE Investors” means Ewon Comfortech Co., Ltd. and Eugene Investment &amp; Securities Co., Ltd.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PIPE Shares” means the 2,009,950 JATT Class A Ordinary Shares purchased by the PIPE Investors in the PIPE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Pre-Combination MAA” means JATT’s Amended and Restated Memorandum and Articles of Association, dated July 12, 2021. “Private Placement Warrants” means the 5,910,000 warrants sold in a private placement to the Sponsor, consummated upon JATT’s initial public offering on July 13, 2021 and in the overallotment exercise on July 19, 2021. “public shareholders” means the holders of the JATT public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Public shares” means the JATT Class A Ordinary Shares which were sold as part of the IPO, whether they were purchased in the IPO or in the aftermarket. “Public Warrants” means the redeemable warrants that were included in the JATT Units that entitle the holder thereof to purchase one-half of one JATT Class A Ordinary Share, with each whole warrant exercisable at a price of $11.50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 “Second PIPE Subscription Agreement” means the form of Subscription Agreement entered into by the Company and certain accredited investors in connection with the April 2023 Private Placement. “Securities Act” means the Securities Act of 1933, as amended.</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Selling Securityholders” means the persons listed in the tables in the section entitled “Selling Securityholders.”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scFv” means single-chain viable region.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means JATT Ventures, L.P., a Cayman Islands exempted limited partnership. “Sponsor Forfeiture Agreement” means the forfeiture agreement between the Sponsor and JATT and Zura, dated as of June 16, 2022.</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and Warrants Agent” means Continental Stock Transfer &amp; Trust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 Account” means the Trust Account of JATT at Continental Stock Transfer &amp; Trust Company that holds the proceeds from JATT’s IPO and a portion of the private placement of the Private Placement Warrants.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Continental Stock Transfer &amp; Trust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Units” or “JATT Units” means the units of JATT, each consisting of one JATT Class A Ordinary Share and one-half of one redeemable warrant, which separated upon the consummation of the Business Combination.</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Agent” means Continental Stock Transfer &amp; Trust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Agreement” means that certain warrant agreement, dated July 16, 2021, between JATT and the Warrant Agent.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Z17” means ZB17 LLC, a Delaware limited liability company. “Z33” means Z33 Bio Inc., a corporation incorporated under the laws of the State of Delaware.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ZB-106 Equity Grant Agreement” means that agreement dated as of April 26, 2023, pursuant to which the Company agreed to issue and grant to Lilly 1,000,000 Shares (the “Lilly Shares”) in a private placement transaction.</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ZB Assets” means tibulizumab (ZB-106), torudokimab (ZB-880) and ZB-168.</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Zura” means Zura Bio Limited, an exempt company incorporated under the laws of the Cayman Islands.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Zura Board” means the board of directors of Zura. “Zura Class A Ordinary Shares” or “Class A Ordinary Shares” means the ordinary shares, par value $0.0001 per share, of Zura, following the effectiveness of the MAA in connection with the Closing.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Zura Options” means the options issued at Closing upon the exchange of Holdco Options. “Zura ordinary shares” means ordinary shares of Legacy Zura, par value £0.001 per share, prior to the Closing.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Zura Warrants” means the redeemable warrants that entitle the holder thereof to purchase one-half share of one Zura Class A Ordinary Share, following the effectiveness of the MAA in connection with the Closing.</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specified otherwise, amounts in this annual report are presented in United States (“U.S.”) dollars.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6" w:name="SPECIALNOTEREGARDINGFORWARDLOOKINGSTATEM"/>
      <w:bookmarkStart w:id="57" w:name="_be0638dd_ffa2_4970_aa2a_8bf3244135c4"/>
      <w:bookmarkEnd w:id="56"/>
      <w:bookmarkEnd w:id="57"/>
      <w:r>
        <w:rPr>
          <w:rFonts w:ascii="Times New Roman;Times;serif" w:hAnsi="Times New Roman;Times;serif"/>
          <w:b/>
          <w:sz w:val="20"/>
        </w:rPr>
        <w:t>SPECIAL NOTE REGARDING FORWARD 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Annual Report on Form 10-K (this "Annual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Annual Report are forward-looking statements.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forward-looking statements are based on the current expectations of the Company and its management thereof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product candidates and their related benefits;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potential benefits or limitations of competing products both in development and approved;</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our vision and strategy;</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timing of key events and initiation of our studies and release of clinical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general acceptability and maintenance of our products by regulatory authorities, payors, physicians, and patients;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personnel;</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future operating expenses, capital requirements and needs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operations, including funds that may be necessary to complete development of our product candidates;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have not completed any clinical trials, and has no products approved for commercial 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have incurred significant losses since inception, and it expects to incur significant losses for the foreseeable future and may not be able to achieve or sustain profitability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existing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contract development manufacturing organizations for the manufacture of clinical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regulatory approval for our products, and any related restrictions or limitations of any approved products;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respond to general economic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growth;</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from other companies worldwide in the therapies in which Zura competes;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the ability to adequately protect our intellectual property rights;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detailed under the section entitled “Risk Factors.”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should refer to Part 1, Item 1A Risk Factors of this annual report for a discussion of other important risk factors that may cause material differences in actual versus planned activities and results, as outlined in our forward-looking statement. As a result, of these factors, we cannot assure you that the forward-looking statements in this Annual Report will prove to be accurate.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8" w:name="SUMMARYOFRISKFACTORS_173519"/>
      <w:bookmarkStart w:id="59" w:name="_ce2c9430_db76_488b_9743_d256e1d395bd"/>
      <w:bookmarkEnd w:id="58"/>
      <w:bookmarkEnd w:id="59"/>
      <w:r>
        <w:rPr>
          <w:rFonts w:ascii="Times New Roman;Times;serif" w:hAnsi="Times New Roman;Times;serif"/>
          <w:b/>
          <w:sz w:val="20"/>
        </w:rPr>
        <w:t>SUMMARY OF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is subject to numerous risks and uncertainties, including those described in Item 1A “</w:t>
      </w:r>
      <w:r>
        <w:rPr>
          <w:rFonts w:ascii="Times New Roman;Times;serif" w:hAnsi="Times New Roman;Times;serif"/>
          <w:i/>
          <w:sz w:val="20"/>
        </w:rPr>
        <w:t>Risk Factors</w:t>
      </w:r>
      <w:r>
        <w:rPr>
          <w:rFonts w:ascii="Times New Roman;Times;serif" w:hAnsi="Times New Roman;Times;serif"/>
          <w:sz w:val="20"/>
        </w:rPr>
        <w:t>”. These risks include, but are not limited to the following:</w:t>
      </w:r>
    </w:p>
    <w:p>
      <w:pPr>
        <w:pStyle w:val="TextBody"/>
        <w:bidi w:val="0"/>
        <w:spacing w:before="0" w:after="240"/>
        <w:ind w:left="360" w:right="0" w:hanging="0"/>
        <w:jc w:val="left"/>
        <w:rPr/>
      </w:pPr>
      <w:r>
        <w:rPr/>
        <w:t>●</w:t>
      </w:r>
      <w:r>
        <w:rPr>
          <w:rFonts w:ascii="Times New Roman;Times;serif" w:hAnsi="Times New Roman;Times;serif"/>
          <w:sz w:val="20"/>
        </w:rPr>
        <w:t>We have a limited operating history, have not initiated, conducted or completed any clinical trials, and have not taken a product through to commercialization.</w:t>
      </w:r>
    </w:p>
    <w:p>
      <w:pPr>
        <w:pStyle w:val="TextBody"/>
        <w:bidi w:val="0"/>
        <w:spacing w:before="0" w:after="240"/>
        <w:ind w:left="360" w:right="0" w:hanging="0"/>
        <w:jc w:val="left"/>
        <w:rPr/>
      </w:pPr>
      <w:r>
        <w:rPr/>
        <w:t>●</w:t>
      </w:r>
      <w:r>
        <w:rPr>
          <w:rFonts w:ascii="Times New Roman;Times;serif" w:hAnsi="Times New Roman;Times;serif"/>
          <w:sz w:val="20"/>
        </w:rPr>
        <w:t>We have incurred losses since inception, and we expect to incur significant losses for the foreseeable future and may not be able to achieve or sustain profitability in the future. We have not generated any revenue from the ZB Assets and may never generate revenue or become profitable.</w:t>
      </w:r>
    </w:p>
    <w:p>
      <w:pPr>
        <w:pStyle w:val="TextBody"/>
        <w:bidi w:val="0"/>
        <w:spacing w:before="0" w:after="240"/>
        <w:ind w:left="360" w:right="0" w:hanging="0"/>
        <w:jc w:val="left"/>
        <w:rPr/>
      </w:pPr>
      <w:r>
        <w:rPr/>
        <w:t>●</w:t>
      </w:r>
      <w:r>
        <w:rPr>
          <w:rFonts w:ascii="Times New Roman;Times;serif" w:hAnsi="Times New Roman;Times;serif"/>
          <w:sz w:val="20"/>
        </w:rPr>
        <w:t>Our recurring losses from operations and financial condition could raise substantial doubt about our ability to continue.</w:t>
      </w:r>
    </w:p>
    <w:p>
      <w:pPr>
        <w:pStyle w:val="TextBody"/>
        <w:bidi w:val="0"/>
        <w:spacing w:before="0" w:after="240"/>
        <w:ind w:left="360" w:right="0" w:hanging="0"/>
        <w:jc w:val="left"/>
        <w:rPr/>
      </w:pPr>
      <w:r>
        <w:rPr/>
        <w:t>●</w:t>
      </w:r>
      <w:r>
        <w:rPr>
          <w:rFonts w:ascii="Times New Roman;Times;serif" w:hAnsi="Times New Roman;Times;serif"/>
          <w:sz w:val="20"/>
        </w:rPr>
        <w:t>If we are unable to raise capital when needed, or on acceptable terms, we may be forced to delay, reduce and/or eliminate one or more of our development programs or future commercialization efforts.</w:t>
      </w:r>
    </w:p>
    <w:p>
      <w:pPr>
        <w:pStyle w:val="TextBody"/>
        <w:bidi w:val="0"/>
        <w:spacing w:before="0" w:after="240"/>
        <w:ind w:left="360" w:right="0" w:hanging="0"/>
        <w:jc w:val="left"/>
        <w:rPr/>
      </w:pPr>
      <w:r>
        <w:rPr/>
        <w:t>●</w:t>
      </w:r>
      <w:r>
        <w:rPr>
          <w:rFonts w:ascii="Times New Roman;Times;serif" w:hAnsi="Times New Roman;Times;serif"/>
          <w:sz w:val="20"/>
        </w:rPr>
        <w:t>We have never successfully completed the regulatory approval process for any product candidates and we may be unable to do so for any product candidates we develop.</w:t>
      </w:r>
    </w:p>
    <w:p>
      <w:pPr>
        <w:pStyle w:val="TextBody"/>
        <w:bidi w:val="0"/>
        <w:spacing w:before="0" w:after="240"/>
        <w:ind w:left="360" w:right="0" w:hanging="0"/>
        <w:jc w:val="left"/>
        <w:rPr/>
      </w:pPr>
      <w:r>
        <w:rPr/>
        <w:t>●</w:t>
      </w:r>
      <w:r>
        <w:rPr>
          <w:rFonts w:ascii="Times New Roman;Times;serif" w:hAnsi="Times New Roman;Times;serif"/>
          <w:sz w:val="20"/>
        </w:rPr>
        <w:t>We are substantially dependent on the success of the ZB Assets, and our anticipated clinical trials of the ZB Assets may not be successful.</w:t>
      </w:r>
    </w:p>
    <w:p>
      <w:pPr>
        <w:pStyle w:val="TextBody"/>
        <w:bidi w:val="0"/>
        <w:spacing w:before="0" w:after="240"/>
        <w:ind w:left="360" w:right="0" w:hanging="0"/>
        <w:jc w:val="left"/>
        <w:rPr/>
      </w:pPr>
      <w:r>
        <w:rPr/>
        <w:t>●</w:t>
      </w:r>
      <w:r>
        <w:rPr>
          <w:rFonts w:ascii="Times New Roman;Times;serif" w:hAnsi="Times New Roman;Times;serif"/>
          <w:sz w:val="20"/>
        </w:rPr>
        <w:t>We may find it difficult to enroll patients in our clinical trials. If we experience delays or difficulties in the enrollment of patients in clincal trials, our successful completion of clinical trials, our receipt of marketing approvals could be delayed or prevented.</w:t>
      </w:r>
    </w:p>
    <w:p>
      <w:pPr>
        <w:pStyle w:val="TextBody"/>
        <w:bidi w:val="0"/>
        <w:spacing w:before="0" w:after="240"/>
        <w:ind w:left="360" w:right="0" w:hanging="0"/>
        <w:jc w:val="left"/>
        <w:rPr/>
      </w:pPr>
      <w:r>
        <w:rPr/>
        <w:t>●</w:t>
      </w:r>
      <w:r>
        <w:rPr>
          <w:rFonts w:ascii="Times New Roman;Times;serif" w:hAnsi="Times New Roman;Times;serif"/>
          <w:sz w:val="20"/>
        </w:rPr>
        <w:t>The results of preclinical testing and early clinical trials may not be predictive of the success of our later clinical trials, and the results of our clinical trials may not satisfy the requirements of the FDA, EMA, or other foreign regulatory authorities.</w:t>
      </w:r>
    </w:p>
    <w:p>
      <w:pPr>
        <w:pStyle w:val="TextBody"/>
        <w:bidi w:val="0"/>
        <w:spacing w:before="0" w:after="240"/>
        <w:ind w:left="360" w:right="0" w:hanging="0"/>
        <w:jc w:val="left"/>
        <w:rPr/>
      </w:pPr>
      <w:r>
        <w:rPr/>
        <w:t>●</w:t>
      </w:r>
      <w:r>
        <w:rPr>
          <w:rFonts w:ascii="Times New Roman;Times;serif" w:hAnsi="Times New Roman;Times;serif"/>
          <w:sz w:val="20"/>
        </w:rPr>
        <w:t>Preclinical and clinical development involves a lengthy and expensive process with uncertain outcomes, and results of earlier studies and trials may not be predictive of future clinical trial results.</w:t>
      </w:r>
    </w:p>
    <w:p>
      <w:pPr>
        <w:pStyle w:val="TextBody"/>
        <w:bidi w:val="0"/>
        <w:spacing w:before="0" w:after="240"/>
        <w:ind w:left="360" w:right="0" w:hanging="0"/>
        <w:jc w:val="left"/>
        <w:rPr/>
      </w:pPr>
      <w:r>
        <w:rPr/>
        <w:t>●</w:t>
      </w:r>
      <w:r>
        <w:rPr>
          <w:rFonts w:ascii="Times New Roman;Times;serif" w:hAnsi="Times New Roman;Times;serif"/>
          <w:sz w:val="20"/>
        </w:rPr>
        <w:t>Preliminary, interim data from our clinical trials that we announce or publish may change as more patient data become available and are subject to audit and verification procedures.</w:t>
      </w:r>
    </w:p>
    <w:p>
      <w:pPr>
        <w:pStyle w:val="TextBody"/>
        <w:bidi w:val="0"/>
        <w:spacing w:before="0" w:after="240"/>
        <w:ind w:left="360" w:right="0" w:hanging="0"/>
        <w:jc w:val="left"/>
        <w:rPr/>
      </w:pPr>
      <w:r>
        <w:rPr/>
        <w:t>●</w:t>
      </w:r>
      <w:r>
        <w:rPr>
          <w:rFonts w:ascii="Times New Roman;Times;serif" w:hAnsi="Times New Roman;Times;serif"/>
          <w:sz w:val="20"/>
        </w:rPr>
        <w:t>We may develop the ZB Assets in combination with other therapies, which exposes us to additional risks related to other agents or active pharmaceutical or biological ingredients used in combination with our product candidates.</w:t>
      </w:r>
    </w:p>
    <w:p>
      <w:pPr>
        <w:pStyle w:val="TextBody"/>
        <w:bidi w:val="0"/>
        <w:spacing w:before="0" w:after="240"/>
        <w:ind w:left="360" w:right="0" w:hanging="0"/>
        <w:jc w:val="left"/>
        <w:rPr/>
      </w:pPr>
      <w:r>
        <w:rPr/>
        <w:t>●</w:t>
      </w:r>
      <w:r>
        <w:rPr>
          <w:rFonts w:ascii="Times New Roman;Times;serif" w:hAnsi="Times New Roman;Times;serif"/>
          <w:sz w:val="20"/>
        </w:rPr>
        <w:t>If the FDA or other regulatory authorities revoke their approval of these other therapies or revoke their approval of, or if safety, efficacy, manufacturing or supply issues arise with, the therapies we choose to evaluate in combination with any product candidate we develop, we may be unable to obtain approval.</w:t>
      </w:r>
    </w:p>
    <w:p>
      <w:pPr>
        <w:pStyle w:val="TextBody"/>
        <w:bidi w:val="0"/>
        <w:spacing w:before="0" w:after="240"/>
        <w:ind w:left="360" w:right="0" w:hanging="0"/>
        <w:jc w:val="left"/>
        <w:rPr/>
      </w:pPr>
      <w:r>
        <w:rPr/>
        <w:t>●</w:t>
      </w:r>
      <w:r>
        <w:rPr>
          <w:rFonts w:ascii="Times New Roman;Times;serif" w:hAnsi="Times New Roman;Times;serif"/>
          <w:sz w:val="20"/>
        </w:rPr>
        <w:t>We depend on license agreements with Pfizer and Lilly to permit us to use certain patents, know-how and technology. Termination of these rights or the failure to comply with obligations under these agreements could materially harm our business and prevent us from developing or commercializing the ZB Assets.</w:t>
      </w:r>
    </w:p>
    <w:p>
      <w:pPr>
        <w:pStyle w:val="TextBody"/>
        <w:bidi w:val="0"/>
        <w:spacing w:before="0" w:after="240"/>
        <w:ind w:left="360" w:right="0" w:hanging="0"/>
        <w:jc w:val="left"/>
        <w:rPr/>
      </w:pPr>
      <w:r>
        <w:rPr/>
        <w:t>●</w:t>
      </w:r>
      <w:r>
        <w:rPr>
          <w:rFonts w:ascii="Times New Roman;Times;serif" w:hAnsi="Times New Roman;Times;serif"/>
          <w:sz w:val="20"/>
        </w:rPr>
        <w:t>Our ability to protect our patents and other proprietary rights is uncertain. We enjoy only limited geographical protection with respect to our licensed patents and may not be able to protect our intellectual property rights throughout the world. Patent terms may not protect our competitive position with respect to the ZB Assets for an adequate amount of time. If we do not obtain patent term extension in the United States under the Hatch-Waxman Act and in foreign countries under similar legislation, our business may be materially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pPr>
      <w:r>
        <w:rPr/>
        <w:t>●</w:t>
      </w:r>
      <w:r>
        <w:rPr>
          <w:rFonts w:ascii="Times New Roman;Times;serif" w:hAnsi="Times New Roman;Times;serif"/>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0" w:after="240"/>
        <w:ind w:left="360" w:right="0" w:hanging="0"/>
        <w:jc w:val="left"/>
        <w:rPr/>
      </w:pPr>
      <w:r>
        <w:rPr/>
        <w:t>●</w:t>
      </w:r>
      <w:r>
        <w:rPr>
          <w:rFonts w:ascii="Times New Roman;Times;serif" w:hAnsi="Times New Roman;Times;serif"/>
          <w:sz w:val="20"/>
        </w:rPr>
        <w:t xml:space="preserve">We may not be able to maintain or enforce trade secret protection for our product candidates. </w:t>
      </w:r>
    </w:p>
    <w:p>
      <w:pPr>
        <w:pStyle w:val="TextBody"/>
        <w:bidi w:val="0"/>
        <w:spacing w:before="0" w:after="240"/>
        <w:ind w:left="360" w:right="0" w:hanging="0"/>
        <w:jc w:val="left"/>
        <w:rPr/>
      </w:pPr>
      <w:r>
        <w:rPr/>
        <w:t>●</w:t>
      </w:r>
      <w:r>
        <w:rPr>
          <w:rFonts w:ascii="Times New Roman;Times;serif" w:hAnsi="Times New Roman;Times;serif"/>
          <w:sz w:val="20"/>
        </w:rPr>
        <w:t>Changes to patent laws in the United States and other jurisdictions could diminish the value of patents in general, thereby impairing our ability to protect the ZB Assets.</w:t>
      </w:r>
    </w:p>
    <w:p>
      <w:pPr>
        <w:pStyle w:val="TextBody"/>
        <w:bidi w:val="0"/>
        <w:spacing w:before="0" w:after="240"/>
        <w:ind w:left="360" w:right="0" w:hanging="0"/>
        <w:jc w:val="left"/>
        <w:rPr/>
      </w:pPr>
      <w:r>
        <w:rPr/>
        <w:t>●</w:t>
      </w:r>
      <w:r>
        <w:rPr>
          <w:rFonts w:ascii="Times New Roman;Times;serif" w:hAnsi="Times New Roman;Times;serif"/>
          <w:sz w:val="20"/>
        </w:rPr>
        <w:t xml:space="preserve">The regulatory approval processes of the FDA, EMA, and other foreign regulatory authorities are complex, time-consuming, and inherently unpredictable. Of the large number of products in development, only a small percentage successfully complete regulatory approval processes and are commercialized. </w:t>
      </w:r>
    </w:p>
    <w:p>
      <w:pPr>
        <w:pStyle w:val="TextBody"/>
        <w:bidi w:val="0"/>
        <w:spacing w:before="0" w:after="240"/>
        <w:ind w:left="360" w:right="0" w:hanging="0"/>
        <w:jc w:val="left"/>
        <w:rPr/>
      </w:pPr>
      <w:r>
        <w:rPr/>
        <w:t>●</w:t>
      </w:r>
      <w:r>
        <w:rPr>
          <w:rFonts w:ascii="Times New Roman;Times;serif" w:hAnsi="Times New Roman;Times;serif"/>
          <w:sz w:val="20"/>
        </w:rPr>
        <w:t>We will be subject to extensive ongoing regulatory obligations and continued regulatory review, which may result in significant additional expense and we may be subject to penalties if we fail to comply with regulatory requirements.</w:t>
      </w:r>
    </w:p>
    <w:p>
      <w:pPr>
        <w:pStyle w:val="TextBody"/>
        <w:bidi w:val="0"/>
        <w:spacing w:before="0" w:after="240"/>
        <w:ind w:left="360" w:right="0" w:hanging="0"/>
        <w:jc w:val="left"/>
        <w:rPr/>
      </w:pPr>
      <w:r>
        <w:rPr/>
        <w:t>●</w:t>
      </w:r>
      <w:r>
        <w:rPr>
          <w:rFonts w:ascii="Times New Roman;Times;serif" w:hAnsi="Times New Roman;Times;serif"/>
          <w:sz w:val="20"/>
        </w:rPr>
        <w:t>Our employees, independent contractors, consultants, commercial collaborators, principal investigators, CROs, suppliers and vendors may engage in misconduct or other improper activities, including noncompliance with regulatory standards and requirements. Our business operations and current and future arrangements with investigators, healthcare professionals, consultants, third-party payors, patient organizations and customers will be subject to applicable healthcare regulatory laws, which could expose us to penalties.</w:t>
      </w:r>
    </w:p>
    <w:p>
      <w:pPr>
        <w:pStyle w:val="TextBody"/>
        <w:bidi w:val="0"/>
        <w:spacing w:before="0" w:after="240"/>
        <w:ind w:left="360" w:right="0" w:hanging="0"/>
        <w:jc w:val="left"/>
        <w:rPr/>
      </w:pPr>
      <w:r>
        <w:rPr/>
        <w:t>●</w:t>
      </w:r>
      <w:r>
        <w:rPr>
          <w:rFonts w:ascii="Times New Roman;Times;serif" w:hAnsi="Times New Roman;Times;serif"/>
          <w:sz w:val="20"/>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business.Since its enactment, there have been numerous judicial, administrative, executive, and legislative challenges to certain aspects of the ACA. It is unclear how other healthcare reform measures of the Biden or future administrations or other efforts, if any, to amend or challenge the ACA, will impact our business.</w:t>
      </w:r>
    </w:p>
    <w:p>
      <w:pPr>
        <w:pStyle w:val="TextBody"/>
        <w:bidi w:val="0"/>
        <w:spacing w:before="0" w:after="240"/>
        <w:ind w:left="360" w:right="0" w:hanging="0"/>
        <w:jc w:val="left"/>
        <w:rPr/>
      </w:pPr>
      <w:r>
        <w:rPr/>
        <w:t>●</w:t>
      </w:r>
      <w:r>
        <w:rPr>
          <w:rFonts w:ascii="Times New Roman;Times;serif" w:hAnsi="Times New Roman;Times;serif"/>
          <w:sz w:val="20"/>
        </w:rPr>
        <w:t>We are dependent on our key personnel and anticipate hiring new key personnel. If we are not successful in attracting and retaining qualified personnel, including consultants, we may not be able to successfully implement our business strategy.</w:t>
      </w:r>
    </w:p>
    <w:p>
      <w:pPr>
        <w:pStyle w:val="TextBody"/>
        <w:bidi w:val="0"/>
        <w:spacing w:before="0" w:after="240"/>
        <w:ind w:left="360" w:right="0" w:hanging="0"/>
        <w:jc w:val="left"/>
        <w:rPr/>
      </w:pPr>
      <w:r>
        <w:rPr/>
        <w:t>●</w:t>
      </w:r>
      <w:r>
        <w:rPr>
          <w:rFonts w:ascii="Times New Roman;Times;serif" w:hAnsi="Times New Roman;Times;serif"/>
          <w:sz w:val="20"/>
        </w:rPr>
        <w:t>In order to successfully implement our plans and strategies, we will need to grow the size of our organization and we may experience difficulties in managing this growth.</w:t>
      </w:r>
    </w:p>
    <w:p>
      <w:pPr>
        <w:pStyle w:val="TextBody"/>
        <w:bidi w:val="0"/>
        <w:spacing w:before="0" w:after="240"/>
        <w:ind w:left="360" w:right="0" w:hanging="0"/>
        <w:jc w:val="left"/>
        <w:rPr/>
      </w:pPr>
      <w:r>
        <w:rPr/>
        <w:t>●</w:t>
      </w:r>
      <w:r>
        <w:rPr>
          <w:rFonts w:ascii="Times New Roman;Times;serif" w:hAnsi="Times New Roman;Times;serif"/>
          <w:sz w:val="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w:t>
      </w:r>
    </w:p>
    <w:p>
      <w:pPr>
        <w:pStyle w:val="TextBody"/>
        <w:bidi w:val="0"/>
        <w:spacing w:before="0" w:after="240"/>
        <w:ind w:left="360" w:right="0" w:hanging="0"/>
        <w:jc w:val="left"/>
        <w:rPr/>
      </w:pPr>
      <w:r>
        <w:rPr/>
        <w:t>●</w:t>
      </w:r>
      <w:r>
        <w:rPr>
          <w:rFonts w:ascii="Times New Roman;Times;serif" w:hAnsi="Times New Roman;Times;serif"/>
          <w:sz w:val="20"/>
        </w:rPr>
        <w:t>We may, in the future, form or seek collaborations or strategic alliances or enter into licensing arrangements, and we may not realize the benefits of such collaborations, alliances or licensing arrangements.</w:t>
      </w:r>
    </w:p>
    <w:p>
      <w:pPr>
        <w:pStyle w:val="TextBody"/>
        <w:bidi w:val="0"/>
        <w:spacing w:before="0" w:after="240"/>
        <w:ind w:left="360" w:right="0" w:hanging="0"/>
        <w:jc w:val="left"/>
        <w:rPr/>
      </w:pPr>
      <w:r>
        <w:rPr/>
        <w:t>●</w:t>
      </w:r>
      <w:r>
        <w:rPr>
          <w:rFonts w:ascii="Times New Roman;Times;serif" w:hAnsi="Times New Roman;Times;serif"/>
          <w:sz w:val="20"/>
        </w:rPr>
        <w:t>The market price of our securities may be volatile and may decline in the future. Our operating results may fluctuate significantly.</w:t>
      </w:r>
    </w:p>
    <w:p>
      <w:pPr>
        <w:pStyle w:val="TextBody"/>
        <w:bidi w:val="0"/>
        <w:spacing w:before="0" w:after="240"/>
        <w:ind w:left="360" w:right="0" w:hanging="0"/>
        <w:jc w:val="left"/>
        <w:rPr/>
      </w:pPr>
      <w:r>
        <w:rPr/>
        <w:t>●</w:t>
      </w:r>
      <w:r>
        <w:rPr>
          <w:rFonts w:ascii="Times New Roman;Times;serif" w:hAnsi="Times New Roman;Times;serif"/>
          <w:sz w:val="20"/>
        </w:rPr>
        <w:t>We have not paid cash dividends in the past and we do not expect to pay cash dividends in the foreseeable future. Any return on investment may be limited to the capital appreciation, if any, of Zura Class A Ordinary Shares.</w:t>
      </w:r>
    </w:p>
    <w:p>
      <w:pPr>
        <w:pStyle w:val="TextBody"/>
        <w:bidi w:val="0"/>
        <w:spacing w:before="0" w:after="240"/>
        <w:ind w:left="360" w:right="0" w:hanging="0"/>
        <w:jc w:val="left"/>
        <w:rPr/>
      </w:pPr>
      <w:r>
        <w:rPr/>
        <w:t>●</w:t>
      </w:r>
      <w:r>
        <w:rPr>
          <w:rFonts w:ascii="Times New Roman;Times;serif" w:hAnsi="Times New Roman;Times;serif"/>
          <w:sz w:val="20"/>
        </w:rPr>
        <w:t>Future sales of a substantial number of Zura Class A Ordinary Shares may cause the price of our ordinary shares to decline. Sales and issuances of our Class A Ordinary Shares and future exercise of warranats or registration rights, could result in additional dilution of the percentage ownership of our shareholders and could cause our share price to fall.</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holders of our Class A Ordinary Shares sell a significant portion of their securities, it may negatively impact the market price of the shares of our Class A Ordinary Shares and such holders still may receive significant proceeds.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 w:name="PARTI_325214"/>
      <w:bookmarkStart w:id="61" w:name="_42167407_85db_4c60_b88c_c618ef934cd1"/>
      <w:bookmarkStart w:id="62" w:name="_PART_I"/>
      <w:bookmarkEnd w:id="60"/>
      <w:bookmarkEnd w:id="61"/>
      <w:bookmarkEnd w:id="62"/>
      <w:r>
        <w:rPr>
          <w:rFonts w:ascii="Times New Roman;Times;serif" w:hAnsi="Times New Roman;Times;serif"/>
          <w:b/>
          <w:sz w:val="20"/>
        </w:rPr>
        <w:t>PART I</w:t>
      </w:r>
    </w:p>
    <w:p>
      <w:pPr>
        <w:pStyle w:val="TextBody"/>
        <w:bidi w:val="0"/>
        <w:spacing w:before="0" w:after="240"/>
        <w:ind w:left="0" w:right="0" w:hanging="0"/>
        <w:jc w:val="both"/>
        <w:rPr>
          <w:rFonts w:ascii="Times New Roman;Times;serif" w:hAnsi="Times New Roman;Times;serif"/>
          <w:b/>
          <w:sz w:val="20"/>
        </w:rPr>
      </w:pPr>
      <w:bookmarkStart w:id="63" w:name="ITEM1BUSINESS_124553"/>
      <w:bookmarkEnd w:id="63"/>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bookmarkStart w:id="64" w:name="Overview_4786"/>
      <w:bookmarkEnd w:id="64"/>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clinical stage, multi-asset immunology company dedicated to developing novel dual-pathway antibodies for a range of autoimmune and inflammatory diseases with unmet needs. Leveraging the extensive experience of our team, we identify relevant diseases and develop our differentiated assets in those diseases. Our strategic focus is to harness the power of dual-pathway biology to provide a broader and deeper level of clinical benefit to patients with autoimmune and inflammatory diseases.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developing three clinical-stage product candidates to address indications with high unmet needs and significant commercial opportunity.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Tibulizumab (ZB-106) is an IgG-scFv bispecific dual-antagonist antibody engineered by the fusion of TALTZ® (ixekizumab) and tabalumab that neutralizes IL-17A and BAFF. These cytokines play pivotal roles in various inflammatory and autoimmune disorders. By targeting IL-17A and BAFF, tibulizumab demonstrates potential in mitigating chronic inflammation while preserving immune system integrity. Three Phase 1/1b clinical studies have been completed with tibulizumab, including in participants with rheumatoid arthritis and Sjögren’s syndrome. We plan to initiate a Phase 2 study in systemic sclerosis (SSc) in the second half of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ZB-168 is a fully human, high affinity monoclonal antibody that binds and neutralizes the IL-7 receptor chain (IL-7R) alpha. IL-7Rα sits at the nexus of two key immune pathways, IL-7 and thymic stromal lymphopoietin (TSLP), thus IL-7Rα has the potential to block activation through either of these pathways. As a result, we believe ZB-168 could be therapeutically relevant in a broad set of indications where the IL-7 or TSLP pathways may be involved. Three Phase 1/1b clinical studies have been conducted to date. There</w:t>
            </w:r>
            <w:r>
              <w:rPr>
                <w:caps w:val="false"/>
                <w:smallCaps w:val="false"/>
              </w:rPr>
              <w:t xml:space="preserve"> </w:t>
            </w:r>
            <w:r>
              <w:rPr>
                <w:rFonts w:ascii="Times New Roman;Times;serif" w:hAnsi="Times New Roman;Times;serif"/>
                <w:b w:val="false"/>
                <w:i w:val="false"/>
                <w:caps w:val="false"/>
                <w:smallCaps w:val="false"/>
                <w:sz w:val="20"/>
              </w:rPr>
              <w:t>are additional IL-7Rα</w:t>
            </w:r>
            <w:r>
              <w:rPr>
                <w:caps w:val="false"/>
                <w:smallCaps w:val="false"/>
              </w:rPr>
              <w:t xml:space="preserve"> </w:t>
            </w:r>
            <w:r>
              <w:rPr>
                <w:rFonts w:ascii="Times New Roman;Times;serif" w:hAnsi="Times New Roman;Times;serif"/>
                <w:b w:val="false"/>
                <w:i w:val="false"/>
                <w:caps w:val="false"/>
                <w:smallCaps w:val="false"/>
                <w:sz w:val="20"/>
              </w:rPr>
              <w:t>inhibitors under development for conditions like alopecia areata, atopic dermatitis, and ulcerative colitis, with potential data in 2024. We</w:t>
            </w:r>
            <w:r>
              <w:rPr>
                <w:caps w:val="false"/>
                <w:smallCaps w:val="false"/>
              </w:rPr>
              <w:t xml:space="preserve"> </w:t>
            </w:r>
            <w:r>
              <w:rPr>
                <w:rFonts w:ascii="Times New Roman;Times;serif" w:hAnsi="Times New Roman;Times;serif"/>
                <w:b w:val="false"/>
                <w:i w:val="false"/>
                <w:caps w:val="false"/>
                <w:smallCaps w:val="false"/>
                <w:sz w:val="20"/>
              </w:rPr>
              <w:t>are actively assessing the competitive landscape and evaluating potential therapeutic indications to guide our future development efforts for ZB-168.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Torudokimab (ZB-880) is a fully human, high affinity monoclonal antibody that neutralizes IL-33, preventing ST2-dependent and ST2-independent (e.g., RAGE) inflammation. The IL-33/ST2 axis stands as a validated therapeutic target for conditions such as chronic obstructive pulmonary disease (COPD) and asthma. Three Phase 1/2 clinical studies have been conducted to date. We are actively assessing the competitive landscape and evaluating potential therapeutic indications to guide our future development efforts for torudokimab.</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Recent Developments</w:t>
        <w:br/>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Someit Sidhu, our Founder, Chief Executive Officer and Director, will resign from his position as the Chief Executive Officer on April 8, 2024, not as a result of any disagreement with the Company on any matter relating to the Company’s operations, policies, or practices. Mr. Sidhu will remain on the Board of Directors as a non-independent member. Robert Lisicki, our current President and Chief Operating Officer, will be promoted as the Company’s Chief Executive Officer on April 8, 2024.</w:t>
      </w:r>
    </w:p>
    <w:p>
      <w:pPr>
        <w:pStyle w:val="TextBody"/>
        <w:bidi w:val="0"/>
        <w:spacing w:before="0" w:after="240"/>
        <w:ind w:left="0" w:right="0" w:hanging="0"/>
        <w:jc w:val="left"/>
        <w:rPr>
          <w:rFonts w:ascii="Times New Roman;Times;serif" w:hAnsi="Times New Roman;Times;serif"/>
          <w:b/>
          <w:sz w:val="20"/>
        </w:rPr>
      </w:pPr>
      <w:bookmarkStart w:id="65" w:name="OurPipeline_579540"/>
      <w:bookmarkEnd w:id="65"/>
      <w:r>
        <w:rPr>
          <w:rFonts w:ascii="Times New Roman;Times;serif" w:hAnsi="Times New Roman;Times;serif"/>
          <w:b/>
          <w:sz w:val="20"/>
        </w:rPr>
        <w:t>Our Pipeline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our product candidates has dual-pathway biology, merging two validated mechanisms in disease indications where each has demonstrated individual efficacy. This innovative approach could signify a paradigm shift for patients suffering from severe and complex autoimmune conditions, whose needs remain unaddressed by conventional single-pathway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provide an overview of our product candidates and their status in our development pipeline:</w:t>
      </w:r>
    </w:p>
    <w:p>
      <w:pPr>
        <w:pStyle w:val="TextBody"/>
        <w:bidi w:val="0"/>
        <w:spacing w:before="0" w:after="240"/>
        <w:ind w:left="0" w:right="0" w:hanging="0"/>
        <w:jc w:val="center"/>
        <w:rPr/>
      </w:pPr>
      <w:r>
        <w:rPr/>
        <w:drawing>
          <wp:inline distT="0" distB="0" distL="0" distR="0">
            <wp:extent cx="5943600" cy="240919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43600" cy="240919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Table 1: Zura Development Pipeline</w:t>
      </w:r>
    </w:p>
    <w:p>
      <w:pPr>
        <w:pStyle w:val="TextBody"/>
        <w:bidi w:val="0"/>
        <w:spacing w:before="0" w:after="240"/>
        <w:ind w:left="0" w:right="0" w:hanging="0"/>
        <w:jc w:val="left"/>
        <w:rPr>
          <w:rFonts w:ascii="Times New Roman;Times;serif" w:hAnsi="Times New Roman;Times;serif"/>
          <w:b/>
          <w:sz w:val="20"/>
        </w:rPr>
      </w:pPr>
      <w:bookmarkStart w:id="66" w:name="OurCompanyHistoryandTeam_534165"/>
      <w:bookmarkEnd w:id="66"/>
      <w:r>
        <w:rPr>
          <w:rFonts w:ascii="Times New Roman;Times;serif" w:hAnsi="Times New Roman;Times;serif"/>
          <w:b/>
          <w:sz w:val="20"/>
        </w:rPr>
        <w:t>Our Company History and Team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Legacy Zura, a limited company incorporated under the laws of England and Wales, was founded in January 2022. On March 22, 2022, Legacy Zura entered into an agreement with Pfizer to license exclusive global rights to develop and commercialize ZB-168. On October 17, 2022, Legacy Zura incorporated Zura Bio Inc. in Delaware. On October 18, 2022, Legacy Zura incorporated Z33 Bio Inc. in Delaware. On December 8, 2022, Z33 Bio Inc. entered into an agreement with Eli Lilly and Company (“Lilly”) to license exclusive global rights to develop and commercialize torudokimab. ZB17 LLC was formed in Delaware on March 30, 2023. On April 26, 2023, ZB17 LLC entered into an agreement with Lilly to license exclusive global rights to develop and commercialize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16, 2022, Legacy Zura entered into a Business Combination Agreement, as amended on September 20, 2022, November 14, 2022 and January 13, 2023, by and among JATT, JATT Merger Sub, a Cayman Islands exempted company and wholly owned subsidiary of JATT, JATT Merger Sub 2, a Cayman Islands exempted company and wholly owned subsidiary of JATT (“Merger Sub 2”), Zura Bio Holdings Ltd, a Cayman Islands exempted company (“Holdco”) and Legacy Zura. On March 20, 2023 (the “Closing Date”), the parties to the BCA consummated the transactions contemplated by the BCA.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global team, headquartered in Henderson, Nevada, comprises highly experienced members who have actively participated in drug development, commercialization, business development, capital formation, and investor engagement across various industries. For detailed information and biographies of our management team, please refer to the "</w:t>
      </w:r>
      <w:r>
        <w:rPr>
          <w:rFonts w:ascii="Times New Roman;Times;serif" w:hAnsi="Times New Roman;Times;serif"/>
          <w:i/>
          <w:sz w:val="20"/>
        </w:rPr>
        <w:t>Directors, Executive Officers, and Corporate Governance</w:t>
      </w:r>
      <w:r>
        <w:rPr>
          <w:rFonts w:ascii="Times New Roman;Times;serif" w:hAnsi="Times New Roman;Times;serif"/>
          <w:sz w:val="20"/>
        </w:rPr>
        <w:t>" section.</w:t>
      </w:r>
    </w:p>
    <w:p>
      <w:pPr>
        <w:pStyle w:val="TextBody"/>
        <w:bidi w:val="0"/>
        <w:spacing w:before="0" w:after="240"/>
        <w:ind w:left="0" w:right="0" w:hanging="0"/>
        <w:jc w:val="left"/>
        <w:rPr>
          <w:rFonts w:ascii="Times New Roman;Times;serif" w:hAnsi="Times New Roman;Times;serif"/>
          <w:b/>
          <w:sz w:val="20"/>
        </w:rPr>
      </w:pPr>
      <w:bookmarkStart w:id="67" w:name="OurStrategy_610528"/>
      <w:bookmarkEnd w:id="67"/>
      <w:r>
        <w:rPr>
          <w:rFonts w:ascii="Times New Roman;Times;serif" w:hAnsi="Times New Roman;Times;serif"/>
          <w:b/>
          <w:sz w:val="20"/>
        </w:rPr>
        <w:t>Our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mission is to enhance the well-being of all stakeholders within the healthcare community, encompassing patients, healthcare providers, caregivers, and other involved parties. Our vision is to develop transformative therapies for patients suffering from serious immune system disorders. To achieve this goal, we are committed to the following strategic objectives:</w:t>
      </w:r>
    </w:p>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Maximizing the potential of tibulizumab through successful execution of our initial clinical study in SSc.</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Progressing ZB-168 and torudokimab in select inflammatory and autoimmune diseases.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our translational expertise and validating external clinical findings.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Cultivating and retaining skilled, experienced leaders within our organization.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our intellectual property portfolio. We aim to expand our global intellectual property portfolio to protect the ZB Assets and their 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Exploring strategic collaborations to maximize the value of our product candidates. This may involve forming strategic alliances, licensing agreements, or collaborations with third parties with the aim of strengthening and aiding our research, development, and commercialization of the ZB Assets and/or the company more broadly.</w:t>
            </w:r>
          </w:p>
        </w:tc>
      </w:tr>
    </w:tbl>
    <w:p>
      <w:pPr>
        <w:pStyle w:val="TextBody"/>
        <w:bidi w:val="0"/>
        <w:spacing w:before="0" w:after="240"/>
        <w:ind w:left="0" w:right="0" w:hanging="0"/>
        <w:jc w:val="left"/>
        <w:rPr>
          <w:rFonts w:ascii="Times New Roman;Times;serif" w:hAnsi="Times New Roman;Times;serif"/>
          <w:b/>
          <w:sz w:val="20"/>
        </w:rPr>
      </w:pPr>
      <w:bookmarkStart w:id="68" w:name="OurProductCandidates_189085"/>
      <w:bookmarkEnd w:id="68"/>
      <w:r>
        <w:rPr>
          <w:rFonts w:ascii="Times New Roman;Times;serif" w:hAnsi="Times New Roman;Times;serif"/>
          <w:b/>
          <w:sz w:val="20"/>
        </w:rPr>
        <w:t>Our Product Candidates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Overall Opportunity in Autoimmune and Inflammatory Diseases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Autoimmune diseases develop when the immune system inappropriately attacks the cells and/or tissues. While the mechanisms underlying the development of autoimmune diseases are not well understood, studies have demonstrated key roles for inflammatory cytokines, T cells, and B cells in driving disease pathogenesis.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Previous therapeutic approaches in autoimmunity focused initially on broad immunosuppression to block cytokine signaling and the subsequent activation of inflammatory cells. Additional therapeutic approaches focused on targeting key factors known to play a role in autoimmune conditions. Despite the growing armamentarium of therapies, autoimmune disease remains unresolved in millions of patients, further outlining the need for new therapies with improved efficacy and durability.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Tibulizumab (ZB-106)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Tibulizumab, a humanized bispecific dual antagonist antibody, has been engineered to bind to and neutralize both BAFF and IL-17A.</w:t>
      </w:r>
    </w:p>
    <w:p>
      <w:pPr>
        <w:pStyle w:val="TextBody"/>
        <w:bidi w:val="0"/>
        <w:spacing w:before="0" w:after="240"/>
        <w:ind w:left="0" w:right="0" w:hanging="0"/>
        <w:jc w:val="left"/>
        <w:rPr/>
      </w:pPr>
      <w:r>
        <w:rPr/>
        <w:drawing>
          <wp:inline distT="0" distB="0" distL="0" distR="0">
            <wp:extent cx="6400800" cy="290449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400800" cy="2904490"/>
                    </a:xfrm>
                    <a:prstGeom prst="rect">
                      <a:avLst/>
                    </a:prstGeom>
                  </pic:spPr>
                </pic:pic>
              </a:graphicData>
            </a:graphic>
          </wp:inline>
        </w:drawing>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sz w:val="20"/>
        </w:rPr>
        <w:t xml:space="preserve">Figure 2: </w:t>
      </w:r>
      <w:r>
        <w:rPr>
          <w:rFonts w:ascii="Times New Roman;Times;serif" w:hAnsi="Times New Roman;Times;serif"/>
          <w:sz w:val="20"/>
        </w:rPr>
        <w:t>Tibulizumab</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IL-17 is known to play a key role in the fibrotic process of various organs like lung, kidney, heart and skin. The IL-17 family of cytokines contains six structurally related isoforms with distinct abilities to form homo- or heterodimers, leading to differences in specificity and signaling potencies. These cytokines are important for the control of infections, especially by extracellular fungi. Conversely, if unrestrained, they can contribute to the pathology of autoimmune and chronic inflammatory conditions. The prototypic member of this family is IL17A, herein referred to as IL-17. T-helper cell 17 (Th17) are a subset of T cells, characterized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production of the cytokine IL-17. In recent years, studies have established the pathogenic involvement of Th17 cells and its cytokine IL-17 in autoimmune diseases.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BAFF is involved in multiple aspects of immune system regulation but is best known for its central role in B lymphocyte development and proliferation. Initially expressed as a membrane-bound form on various cell types, BAFF is subsequently cleaved, generating a soluble protein fragment. Dysregulated BAFF expression is thought to contribute to autoimmune diseases via effects on abnormal B-lymphocyte activation, proliferation, survival, and immunoglobulin secretion. Overexpression of BAFF in mouse models induces autoimmune disease mimicking rheumatoid arthritis (RA), systemic lupus erythematosus (SLE) and primary Sjögren’s syndrome (pSS). Likewise in humans, elevated serum BAFF levels are reported in SLE, RA, pSS, IgA nephropathy, and SSc patient serum.</w:t>
      </w:r>
    </w:p>
    <w:p>
      <w:pPr>
        <w:pStyle w:val="TextBody"/>
        <w:bidi w:val="0"/>
        <w:spacing w:before="0" w:after="240"/>
        <w:ind w:left="0" w:right="0" w:firstLine="720"/>
        <w:jc w:val="both"/>
        <w:rPr/>
      </w:pPr>
      <w:r>
        <w:rPr/>
        <w:drawing>
          <wp:inline distT="0" distB="0" distL="0" distR="0">
            <wp:extent cx="3943985" cy="275463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943985" cy="2754630"/>
                    </a:xfrm>
                    <a:prstGeom prst="rect">
                      <a:avLst/>
                    </a:prstGeom>
                  </pic:spPr>
                </pic:pic>
              </a:graphicData>
            </a:graphic>
          </wp:inline>
        </w:drawing>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Figure 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BAFF cytokine is a potent B-cell activator and promotes the survival and differentiation of B cells. Similarly, IL-17A is a pro-inflammatory cytokine produced by epithelial cells and lymphocytes. In patients with SSc, levels of BAFF and IL-17A are increased, exhibiting a direct correlation with the severity of the disease. Tibulizumab has potential in immune-mediated diseases by addressing both the B- and T-cell components implicated in SSc pathology.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initiate a Phase 2 study in the second half of 2024 exploring the therapeutic potential of tibulizumab in SSc.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Background on systemic sclerosis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SSc is an orphan autoimmune disease affecting approximately 200,000 people in the US, EU, and Japan. Statistics suggest that SSc is more common in women, with an average female to male ratio of 3:1. The onset of the disease typically occurs between the ages of 30 to 50, and the United States has the highest incidence and prevalence globally.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SSc is characterized by progressive fibrosis of the skin and visceral organs that can result in life-threatening complications. Although skin fibrosis is the distinguishing hallmark of SSc, the pathological changes in the lungs, gastrointestinal tract, kidney, and heart determine clinical outcomes. Prevalence is low, but the burden of disease is substantial with the highest mortality (~75% survival rate at 5 years) across all rheumatic diseases. Treatment has traditionally been a combination of immunosuppressants, particularly mycophenolate mofetil or cyclophosphamide, and additional therapeutics used to target organ-specific complications. These agents are used off-label in most countries. In the US, there are two agents approved to slow the decline of SSc-associated ILD but there are no licensed therapies that treat the totality of disease in SSc.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SSc is traditionally classified by the extent of skin involvement, accompanying internal organ disease and the presence of overlapping systemic autoimmune disease.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Limited Cutaneous SSc (lcSSc)</w:t>
      </w:r>
      <w:r>
        <w:rPr>
          <w:rFonts w:ascii="Times New Roman;Times;serif" w:hAnsi="Times New Roman;Times;serif"/>
          <w:sz w:val="20"/>
        </w:rPr>
        <w:t xml:space="preserve"> involves the distal skin of the extremities and the face. Patients with lcSSc are less likely to have internal organ involvement, though they are at risk of pulmonary hypertension. </w:t>
      </w:r>
      <w:r>
        <w:rPr>
          <w:rFonts w:ascii="Times New Roman;Times;serif" w:hAnsi="Times New Roman;Times;serif"/>
          <w:i/>
          <w:sz w:val="20"/>
        </w:rPr>
        <w:t xml:space="preserve">Diffuse cutaneous SSc (dcSSc) </w:t>
      </w:r>
      <w:r>
        <w:rPr>
          <w:rFonts w:ascii="Times New Roman;Times;serif" w:hAnsi="Times New Roman;Times;serif"/>
          <w:sz w:val="20"/>
        </w:rPr>
        <w:t xml:space="preserve">involves large areas of skin in the proximal aspect of the extremities. Patients with dcSSc have rapid disease progression with extensive skin changes and early development of visceral organ complications. Organ damage can occur secondary to fibrosis or blood vessel abnormalities called vasculopathy. Severe complications of SSc include abrupt hypertension and renal failure, called renal crises, interstitial lung disease, cardiac failure, pulmonary hypertension, and digital ischaemia. </w:t>
      </w:r>
      <w:r>
        <w:rPr>
          <w:rFonts w:ascii="Times New Roman;Times;serif" w:hAnsi="Times New Roman;Times;serif"/>
          <w:i/>
          <w:sz w:val="20"/>
        </w:rPr>
        <w:t>Overlap syndrome</w:t>
      </w:r>
      <w:r>
        <w:rPr>
          <w:rFonts w:ascii="Times New Roman;Times;serif" w:hAnsi="Times New Roman;Times;serif"/>
          <w:sz w:val="20"/>
        </w:rPr>
        <w:t xml:space="preserve"> involves features of another connective tissue disease most commonly autoimmune diseases such as rheumatoid arthritis or dermatomyositis, together with clinical features of SSc.</w:t>
      </w:r>
    </w:p>
    <w:p>
      <w:pPr>
        <w:pStyle w:val="TextBody"/>
        <w:bidi w:val="0"/>
        <w:spacing w:before="0" w:after="240"/>
        <w:ind w:left="0" w:right="0" w:hanging="0"/>
        <w:jc w:val="left"/>
        <w:rPr/>
      </w:pPr>
      <w:r>
        <w:rPr/>
        <w:drawing>
          <wp:inline distT="0" distB="0" distL="0" distR="0">
            <wp:extent cx="1614805" cy="156591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614805" cy="156591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Figure 4:</w:t>
      </w:r>
      <w:r>
        <w:rPr>
          <w:rFonts w:ascii="Times New Roman;Times;serif" w:hAnsi="Times New Roman;Times;serif"/>
          <w:sz w:val="20"/>
        </w:rPr>
        <w:t xml:space="preserve"> Systemic sclerosis subtypes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Pathogenesis of SSc and Therapeutic Targeting: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Patients with SSc exhibit increased levels of BAFF which correlates with disease progression (</w:t>
      </w:r>
      <w:r>
        <w:rPr>
          <w:rFonts w:ascii="Times New Roman;Times;serif" w:hAnsi="Times New Roman;Times;serif"/>
          <w:i/>
          <w:sz w:val="20"/>
        </w:rPr>
        <w:t>Matsushita et al, 2006</w:t>
      </w:r>
      <w:r>
        <w:rPr>
          <w:rFonts w:ascii="Times New Roman;Times;serif" w:hAnsi="Times New Roman;Times;serif"/>
          <w:sz w:val="20"/>
        </w:rPr>
        <w:t>). Additional studies have demonstrated that BAFF induces collagen secretion in dermal fibroblasts (</w:t>
      </w:r>
      <w:r>
        <w:rPr>
          <w:rFonts w:ascii="Times New Roman;Times;serif" w:hAnsi="Times New Roman;Times;serif"/>
          <w:i/>
          <w:sz w:val="20"/>
        </w:rPr>
        <w:t>François et al, 2013</w:t>
      </w:r>
      <w:r>
        <w:rPr>
          <w:rFonts w:ascii="Times New Roman;Times;serif" w:hAnsi="Times New Roman;Times;serif"/>
          <w:sz w:val="20"/>
        </w:rPr>
        <w:t>), and treatment of diffuse SSc with belimumab (anti-BAFF) was associated with a decrease in B-cell signaling and fibrosis-related gene expression in patients with early diffuse SSc (</w:t>
      </w:r>
      <w:r>
        <w:rPr>
          <w:rFonts w:ascii="Times New Roman;Times;serif" w:hAnsi="Times New Roman;Times;serif"/>
          <w:i/>
          <w:sz w:val="20"/>
        </w:rPr>
        <w:t>Gordon et al, 2018</w:t>
      </w:r>
      <w:r>
        <w:rPr>
          <w:rFonts w:ascii="Times New Roman;Times;serif" w:hAnsi="Times New Roman;Times;serif"/>
          <w:sz w:val="20"/>
        </w:rPr>
        <w:t>). Finally, belimumab treatment showed a trend towards improvement in modified Rodnan skin score (mRSS) and lung function in a small study of patients with SSc (</w:t>
      </w:r>
      <w:r>
        <w:rPr>
          <w:rFonts w:ascii="Times New Roman;Times;serif" w:hAnsi="Times New Roman;Times;serif"/>
          <w:i/>
          <w:sz w:val="20"/>
        </w:rPr>
        <w:t>Gordon et al, 2018</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Expression of Th17 and IL-17 is increased in patients with SSc, which is believed to play a key role in the progression of the disease (</w:t>
      </w:r>
      <w:r>
        <w:rPr>
          <w:rFonts w:ascii="Times New Roman;Times;serif" w:hAnsi="Times New Roman;Times;serif"/>
          <w:i/>
          <w:sz w:val="20"/>
        </w:rPr>
        <w:t>Radstake et al, 2009; Rodríguez-Reyna et al, 2012; Truchetet et al, 2011</w:t>
      </w:r>
      <w:r>
        <w:rPr>
          <w:rFonts w:ascii="Times New Roman;Times;serif" w:hAnsi="Times New Roman;Times;serif"/>
          <w:sz w:val="20"/>
        </w:rPr>
        <w:t>). Infiltration of IL-17-positive lymphocytes into the skin lesions has been observed (</w:t>
      </w:r>
      <w:r>
        <w:rPr>
          <w:rFonts w:ascii="Times New Roman;Times;serif" w:hAnsi="Times New Roman;Times;serif"/>
          <w:i/>
          <w:sz w:val="20"/>
        </w:rPr>
        <w:t>Yang et al, 2014; Zhou et al, 2015</w:t>
      </w:r>
      <w:r>
        <w:rPr>
          <w:rFonts w:ascii="Times New Roman;Times;serif" w:hAnsi="Times New Roman;Times;serif"/>
          <w:sz w:val="20"/>
        </w:rPr>
        <w:t>). Increased IL-17 levels were associated with worse disease severity (</w:t>
      </w:r>
      <w:r>
        <w:rPr>
          <w:rFonts w:ascii="Times New Roman;Times;serif" w:hAnsi="Times New Roman;Times;serif"/>
          <w:i/>
          <w:sz w:val="20"/>
        </w:rPr>
        <w:t>Zhou et al, 2015</w:t>
      </w:r>
      <w:r>
        <w:rPr>
          <w:rFonts w:ascii="Times New Roman;Times;serif" w:hAnsi="Times New Roman;Times;serif"/>
          <w:sz w:val="20"/>
        </w:rPr>
        <w:t>) and promoted fibroblast growth and collagen production (</w:t>
      </w:r>
      <w:r>
        <w:rPr>
          <w:rFonts w:ascii="Times New Roman;Times;serif" w:hAnsi="Times New Roman;Times;serif"/>
          <w:i/>
          <w:sz w:val="20"/>
        </w:rPr>
        <w:t>Yang et al, 2014</w:t>
      </w:r>
      <w:r>
        <w:rPr>
          <w:rFonts w:ascii="Times New Roman;Times;serif" w:hAnsi="Times New Roman;Times;serif"/>
          <w:sz w:val="20"/>
        </w:rPr>
        <w:t>). Importantly, neutralizing IL-17 prevented collagen production (</w:t>
      </w:r>
      <w:r>
        <w:rPr>
          <w:rFonts w:ascii="Times New Roman;Times;serif" w:hAnsi="Times New Roman;Times;serif"/>
          <w:i/>
          <w:sz w:val="20"/>
        </w:rPr>
        <w:t>Yang et al, 2014</w:t>
      </w:r>
      <w:r>
        <w:rPr>
          <w:rFonts w:ascii="Times New Roman;Times;serif" w:hAnsi="Times New Roman;Times;serif"/>
          <w:sz w:val="20"/>
        </w:rPr>
        <w:t>) and blockade of IL-17R led to significant improvements of mRSS and FVC in patients with SSc in a Phase 3 trial (</w:t>
      </w:r>
      <w:r>
        <w:rPr>
          <w:rFonts w:ascii="Times New Roman;Times;serif" w:hAnsi="Times New Roman;Times;serif"/>
          <w:i/>
          <w:sz w:val="20"/>
        </w:rPr>
        <w:t>Fukasawa et al, 2022; abstract</w:t>
      </w:r>
      <w:r>
        <w:rPr>
          <w:rFonts w:ascii="Times New Roman;Times;serif" w:hAnsi="Times New Roman;Times;serif"/>
          <w:sz w:val="20"/>
        </w:rPr>
        <w:t>).</w:t>
      </w:r>
    </w:p>
    <w:p>
      <w:pPr>
        <w:pStyle w:val="TextBody"/>
        <w:bidi w:val="0"/>
        <w:spacing w:before="0" w:after="240"/>
        <w:ind w:left="0" w:right="0" w:hanging="0"/>
        <w:jc w:val="left"/>
        <w:rPr/>
      </w:pPr>
      <w:r>
        <w:rPr/>
        <w:drawing>
          <wp:inline distT="0" distB="0" distL="0" distR="0">
            <wp:extent cx="5083175" cy="181038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083175" cy="181038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Figure 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Unmet medical need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SSc is a progressive and debilitating disease with limited treatment options, leading to a significant demand for new and novel treatments among physicians and patients. Ten-year mortality rates in SSc range between 40% and 60%. Diagnosis for patients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take more than five years and patients can experience clinical symptoms across multiple organs with great daily impact to their lives. Patients with dcSSc have rapid disease progression with extensive skin changes and early development of visceral organ complications. An unmet need exists in dcSSc patients to slow progression of fibrosis in skin and visceral organs, slow the decline in lung disease, and decrease mortality. There are no approved therapies for dcSSc, with only off-label use of marketed products.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Tibulizumab inhibits both IL-17 and BAFF which have separately shown efficacy in placebo-controlled trials in SSc. Our approach with tibulizumab is to inhibit both pathways with a single agent, potentially providing clinical benefits to a broader range of patients, as well as a greater level of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Durability of treatment to antibodies may diminish over time, dual inhibition of IL17 and BAFF could result in patients maintaining an adequate clinical benefit for a longer period of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half-life of tibulizumab is 26.9 days, offering the possibility of monthly dosing. Currently, approved agents in SSc-ILD are administered as a per oral BID or a SC on a weekly basis. Monthly dosing could offer patients more convenient dosing and result in better adherence to prescribed medication.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Tibulizumb combines elements from two compounds, tabalumab (an anti-BAFF with demonstrated effect in phase 3 trials) and ixekizumab (an approved anti-IL-17 therapy with more than 140,000 patients treated and efficacy in multiple indications).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List of Completed Studies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Statements included herein concerning clinical trials of tibulizumab have not been reviewed, furnished or endorsed by Lilly, and Lilly has not certified and does not certify any information included herein.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Tibulizumab has been studied in three clinical trials to date conducted by Lilly: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Phase 1 single ascending dose (SAD) trial.</w:t>
            </w:r>
            <w:r>
              <w:rPr>
                <w:caps w:val="false"/>
                <w:smallCaps w:val="false"/>
              </w:rPr>
              <w:t xml:space="preserve"> </w:t>
            </w:r>
            <w:r>
              <w:rPr>
                <w:rFonts w:ascii="Times New Roman;Times;serif" w:hAnsi="Times New Roman;Times;serif"/>
                <w:b w:val="false"/>
                <w:i w:val="false"/>
                <w:caps w:val="false"/>
                <w:smallCaps w:val="false"/>
                <w:sz w:val="20"/>
              </w:rPr>
              <w:t>This was a first-in-human study in healthy subjects to evaluate the safety, tolerability, pharmacokinetics, immunogenicity, and target engagement of tibulizumab in healthy volunteers and participants with rheumatoid arthritis (RA).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Phase 1 SAD trial in healthy Japanese and Caucasian participants.</w:t>
            </w:r>
            <w:r>
              <w:rPr>
                <w:caps w:val="false"/>
                <w:smallCaps w:val="false"/>
              </w:rPr>
              <w:t xml:space="preserve"> </w:t>
            </w:r>
            <w:r>
              <w:rPr>
                <w:rFonts w:ascii="Times New Roman;Times;serif" w:hAnsi="Times New Roman;Times;serif"/>
                <w:b w:val="false"/>
                <w:i w:val="false"/>
                <w:caps w:val="false"/>
                <w:smallCaps w:val="false"/>
                <w:sz w:val="20"/>
              </w:rPr>
              <w:t>This was a single-site, randomized, Investigator and participant blinded, placebo-controlled, SC single-dose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Phase 1b multiple ascending dose (MAD) trial in participants with Sjögren’s syndrome (SS)</w:t>
            </w:r>
            <w:r>
              <w:rPr>
                <w:rFonts w:ascii="Times New Roman;Times;serif" w:hAnsi="Times New Roman;Times;serif"/>
                <w:b w:val="false"/>
                <w:i w:val="false"/>
                <w:caps w:val="false"/>
                <w:smallCaps w:val="false"/>
                <w:sz w:val="20"/>
              </w:rPr>
              <w:t>. This was a multicenter, parallel-group, randomized, Investigator and participant blinded, placebo-controlled, MAD study to evaluate the safety, tolerability, PK, and PD of tibulizumab administered Q4W or Q2W for 16 weeks in participants with 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phase 1 clinical trials, the pharmacokinetic profile supported subcutaneous phase 2 dosing at an interval of Q4W. The pharmacodynamic profiles confirmed impact on human biology consistent with the drug’s mechanism of action, showing impact on key parameters such as CD20+ B-cells and high sensitivity-CRP in the RA patient population. The safety profiles from these studies support further development. (Data on file: Clinical Study Reports)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Phase 2 Clinical Trials, Ongoing Clinical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initiate a Phase 2 study in SSc in the second half of 2024. This involves the thoughtful selection of a contract research organization, effective management of our manufacturing partners to enable on-time delivery, and ongoing communications with regulatory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ZB-168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IL-7 was initially discovered by its growth and survival effects on B cells, but it has now been established that it regulates the development and homeostasis of immune cells, including B and T lymphocytes, innate lymphoid cell (“ILC”) and natural killer (“NK”) cells, monocytes/macrophages, dendritic cells, neutrophils and eosinophils. IL-7 is produced by stromal cells in the bone marrow, thymus and other epithelial cells in the skin, lung and intestine. IL-7-mediated signaling is important for the expression of many genes controlling apoptosis, survival, development and differentiation of immune cells. An abnormally high or upregulated IL-7/IL-7R axis can lead to high disease activity and immunopathology. Several studies have shown that IL-7R gene polymorphisms or chromosomes regions have been associated with many autoimmune diseases, including MS, pSS, RA and T1D. ZB-168 is a fully human-IgG1 monoclonal antibody targeted against the IL-7 receptor a (IL-7Rα), which plays a key role in the development, function and homeostasis of T cells. We believe ZB-168 may be a therapeutic option for autoimmune diseases where IL-7 or TSLP signaling has been implicated.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Benefits of ZB-168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ZB-168 possess several important characteristics applicable to the treatment of autoimmune diseases: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ZB-168 is a high affinity antibody. </w:t>
            </w:r>
            <w:r>
              <w:rPr>
                <w:caps w:val="false"/>
                <w:smallCaps w:val="false"/>
              </w:rPr>
              <w:t> </w:t>
            </w:r>
            <w:r>
              <w:rPr>
                <w:rFonts w:ascii="Times New Roman;Times;serif" w:hAnsi="Times New Roman;Times;serif"/>
                <w:b w:val="false"/>
                <w:i w:val="false"/>
                <w:caps w:val="false"/>
                <w:smallCaps w:val="false"/>
                <w:sz w:val="20"/>
              </w:rPr>
              <w:t>ZB-168 binds with high affinity to both purified recombinant human and cynomolgus monkey IL-7Rα proteins, with apparent Kd values of approximately 20 pM and 9 pM, respectively. ZB-168 also binds to unpurified native soluble IL-7Rα, in human serum from healthy donors, with an apparent Kd value of 20 pM, thereby confirming that ZB-168 binds to a native epitope.</w:t>
            </w:r>
          </w:p>
        </w:tc>
      </w:tr>
    </w:tbl>
    <w:p>
      <w:pPr>
        <w:pStyle w:val="TextBody"/>
        <w:bidi w:val="0"/>
        <w:spacing w:before="0" w:after="240"/>
        <w:ind w:left="0" w:right="0" w:hanging="0"/>
        <w:jc w:val="left"/>
        <w:rPr/>
      </w:pPr>
      <w:r>
        <w:rPr/>
        <w:drawing>
          <wp:inline distT="0" distB="0" distL="0" distR="0">
            <wp:extent cx="5943600" cy="26892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943600" cy="26892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ZB-168 has already demonstrated significant clinically relevant biologic effects that may lead to a therapeutic benefit. </w:t>
            </w:r>
            <w:r>
              <w:rPr>
                <w:caps w:val="false"/>
                <w:smallCaps w:val="false"/>
              </w:rPr>
              <w:t> </w:t>
            </w:r>
            <w:r>
              <w:rPr>
                <w:rFonts w:ascii="Times New Roman;Times;serif" w:hAnsi="Times New Roman;Times;serif"/>
                <w:b w:val="false"/>
                <w:i w:val="false"/>
                <w:caps w:val="false"/>
                <w:smallCaps w:val="false"/>
                <w:sz w:val="20"/>
              </w:rPr>
              <w:t>In phase 1b clinical testing, administration of escalating doses of ZB-168 resulted in significant reductions in effector and memory T cell populations (up to 70%), while sparing regulatory T-cell populations. In addition, blocking IL-7Rα with ZB-168 significantly changed the gene expression in CD4+ and CD8+ T cells with gene switches associated to T cell activation, T cell trafficking and T cell differentiation being the most relevant.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ZB-168 has been well tolerated to date</w:t>
            </w:r>
            <w:r>
              <w:rPr>
                <w:rFonts w:ascii="Times New Roman;Times;serif" w:hAnsi="Times New Roman;Times;serif"/>
                <w:b w:val="false"/>
                <w:i w:val="false"/>
                <w:caps w:val="false"/>
                <w:smallCaps w:val="false"/>
                <w:sz w:val="20"/>
              </w:rPr>
              <w:t>. In 93 subjects dosed with ZB-168 to date, the majority of adverse events (“AEs”) were categorized as grade 1 or grade 2. There were no deaths or permanent discontinuations due to AEs.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ZB-168 can be given by intravenous (“IV”) infusion or subcutaneous (“SC”) injection.</w:t>
            </w:r>
            <w:r>
              <w:rPr>
                <w:caps w:val="false"/>
                <w:smallCaps w:val="false"/>
              </w:rPr>
              <w:t xml:space="preserve">  </w:t>
            </w:r>
            <w:r>
              <w:rPr>
                <w:rFonts w:ascii="Times New Roman;Times;serif" w:hAnsi="Times New Roman;Times;serif"/>
                <w:b w:val="false"/>
                <w:i w:val="false"/>
                <w:caps w:val="false"/>
                <w:smallCaps w:val="false"/>
                <w:sz w:val="20"/>
              </w:rPr>
              <w:t>In clinical studies ZB-168 has been dosed in healthy volunteers using an IV and SC formulation and in patients using a SC formulation. In many autoimmune diseases, patients tend to prefer treatments that they can deliver at home by a simple SC injection, however the IV route can be developed to provide a flexible alternative for physicians and patients.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List of Completed Studies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Statements included herein concerning clinical trials of ZB-168 have not been reviewed, furnished or endorsed by Pfizer, and Pfizer has not certified and does not certify any information included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ZB-168 has been studied in three clinical trials to date conducted by Pfizer: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Phase 1a single ascending dose (“SAD”) trial. </w:t>
            </w:r>
            <w:r>
              <w:rPr>
                <w:caps w:val="false"/>
                <w:smallCaps w:val="false"/>
              </w:rPr>
              <w:t> </w:t>
            </w:r>
            <w:r>
              <w:rPr>
                <w:rFonts w:ascii="Times New Roman;Times;serif" w:hAnsi="Times New Roman;Times;serif"/>
                <w:b w:val="false"/>
                <w:i w:val="false"/>
                <w:caps w:val="false"/>
                <w:smallCaps w:val="false"/>
                <w:sz w:val="20"/>
              </w:rPr>
              <w:t>This was a first-in-human study to evaluate ascending doses of ZB-168 in adult healthy volunteers.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Phase 1b trial in patients with established T1D</w:t>
            </w:r>
            <w:r>
              <w:rPr>
                <w:rFonts w:ascii="Times New Roman;Times;serif" w:hAnsi="Times New Roman;Times;serif"/>
                <w:b w:val="false"/>
                <w:i w:val="false"/>
                <w:caps w:val="false"/>
                <w:smallCaps w:val="false"/>
                <w:sz w:val="20"/>
              </w:rPr>
              <w:t>.  This was a multi-center, randomized, double-blind, sponsor-open, and placebo-controlled study to evaluate multiple ascending doses of ZB-168 in adult subjects with T1D diagnosed within the preceding 2 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sz w:val="20"/>
              </w:rPr>
              <w:t>Phase 1b trial in patients with MS. </w:t>
            </w:r>
            <w:r>
              <w:rPr>
                <w:caps w:val="false"/>
                <w:smallCaps w:val="false"/>
              </w:rPr>
              <w:t> </w:t>
            </w:r>
            <w:r>
              <w:rPr>
                <w:rFonts w:ascii="Times New Roman;Times;serif" w:hAnsi="Times New Roman;Times;serif"/>
                <w:b w:val="false"/>
                <w:i w:val="false"/>
                <w:caps w:val="false"/>
                <w:smallCaps w:val="false"/>
                <w:sz w:val="20"/>
              </w:rPr>
              <w:t>This was a randomized, multi-centre, double- blind, sponsor-open, placebo-controlled study to evaluate multiple ascending doses of ZB-168 in adult subjects with MS. The study was terminated on 1</w:t>
            </w:r>
            <w:r>
              <w:rPr>
                <w:rFonts w:ascii="Times New Roman;Times;serif" w:hAnsi="Times New Roman;Times;serif"/>
                <w:b w:val="false"/>
                <w:i w:val="false"/>
                <w:caps w:val="false"/>
                <w:smallCaps w:val="false"/>
                <w:sz w:val="15"/>
              </w:rPr>
              <w:t>st</w:t>
            </w:r>
            <w:r>
              <w:rPr>
                <w:caps w:val="false"/>
                <w:smallCaps w:val="false"/>
              </w:rPr>
              <w:t xml:space="preserve"> </w:t>
            </w:r>
            <w:r>
              <w:rPr>
                <w:rFonts w:ascii="Times New Roman;Times;serif" w:hAnsi="Times New Roman;Times;serif"/>
                <w:b w:val="false"/>
                <w:i w:val="false"/>
                <w:caps w:val="false"/>
                <w:smallCaps w:val="false"/>
                <w:sz w:val="20"/>
              </w:rPr>
              <w:t>April 2015 by the sponsor for reasons other than subject safety and had only 4 subjects enrolled.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Phase 1 Completed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Phase 1/1b clinical studies of ZB-168, safety and pharmacokinetics were evaluated (Data on file: Clinical Study Reports). In a Phase 1b clinical study in type 1 diabetes, ZB-168 demonstrated clinically relevant biologic effects resulting in significant reductions in effector and memory T cell populations, while sparing regulatory T-cell populations (Herold KC 2019 JCI Insights). The safety profiles from these studies support further development. (Data on file: Clinical Study Reports)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Phase 2 Clinical Trials, Ongoing Clinical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conduct necessary CMC and regulatory activities to prepare ZB-168 for Phase 2 readiness. Additionally, we are actively monitoring Phase 2 IL-7R external catalysts in ulcerative colitis, atopic dermatitis, and alopecia areata, along with additional TSLP-driven catalysts.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Torudokimab (ZB-880)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Torudokimab is a human immunoglobulin (Ig) G4-variant monoclonal antibody that binds and neutralizes soluble human IL-33. IL-33 is a member of the IL-1 cytokine superfamily, and it activates several types of innate and acquired immune cells causing the production of other pro-inflammatory mediators and it is most frequently characterized as an epithelial cytokine that promotes type 2 or T-helper 2 (Th2) immune responses. We believe torudokimab may be a therapeutic option for autoimmune diseases where IL-33 signaling has been implicated.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Benefits of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torudokimab possesses several important characteristics that may enable it to be a successful treatment for multiple autoimmune diseases: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Torudokimab has been well tolerated to date</w:t>
            </w:r>
            <w:r>
              <w:rPr>
                <w:rFonts w:ascii="Times New Roman;Times;serif" w:hAnsi="Times New Roman;Times;serif"/>
                <w:b w:val="false"/>
                <w:i w:val="false"/>
                <w:caps w:val="false"/>
                <w:smallCaps w:val="false"/>
                <w:sz w:val="20"/>
              </w:rPr>
              <w:t>. In 244 subjects dosed with torudokimab to date, the majority of adverse events (“AEs”) were categorized as grade 1 or grade 2. There were no deaths to date, or any serious AEs causally related to torudokimab.</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Torudokimab can be administered by subcutaneous (“SC”) injection or intravenous (“IV”) infusion. </w:t>
            </w:r>
            <w:r>
              <w:rPr>
                <w:rFonts w:ascii="Times New Roman;Times;serif" w:hAnsi="Times New Roman;Times;serif"/>
                <w:b w:val="false"/>
                <w:i w:val="false"/>
                <w:caps w:val="false"/>
                <w:smallCaps w:val="false"/>
                <w:sz w:val="20"/>
              </w:rPr>
              <w:t>In clinical studies, torudokimab has been dosed in healthy volunteers using an SC and IV formulation and in patients using a SC formulation.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List of Completed Studies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Statements included herein concerning clinical trials of torudokimab have not been reviewed, furnished or endorsed by Lilly, and Lilly has not certified and does not certify any information included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Torudokimab has been studied in three clinical trials to date conducted by Lilly: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Phase 1 single ascending dose (SAD) and multiple ascending dose (MAD) trial. </w:t>
            </w:r>
            <w:r>
              <w:rPr>
                <w:rFonts w:ascii="Times New Roman;Times;serif" w:hAnsi="Times New Roman;Times;serif"/>
                <w:b w:val="false"/>
                <w:i w:val="false"/>
                <w:caps w:val="false"/>
                <w:smallCaps w:val="false"/>
                <w:sz w:val="20"/>
              </w:rPr>
              <w:t>This was a first-in-human study in healthy subjects to evaluate the safety, tolerability, pharmacokinetics, immunogenicity, and target engagement of torudokimab administered as single and multiple doses.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Phase 1 trial. </w:t>
            </w:r>
            <w:r>
              <w:rPr>
                <w:rFonts w:ascii="Times New Roman;Times;serif" w:hAnsi="Times New Roman;Times;serif"/>
                <w:b w:val="false"/>
                <w:i w:val="false"/>
                <w:caps w:val="false"/>
                <w:smallCaps w:val="false"/>
                <w:sz w:val="20"/>
              </w:rPr>
              <w:t>This was a safety, tolerability, and pharmacokinetic trial of different solution formulations and injection number of torudokimab using investigational injection devices in healthy subjects.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Phase 2 trial in patients with atopic dermatitis (AD)</w:t>
            </w:r>
            <w:r>
              <w:rPr>
                <w:rFonts w:ascii="Times New Roman;Times;serif" w:hAnsi="Times New Roman;Times;serif"/>
                <w:b w:val="false"/>
                <w:i w:val="false"/>
                <w:caps w:val="false"/>
                <w:smallCaps w:val="false"/>
                <w:sz w:val="20"/>
              </w:rPr>
              <w:t>. This was a multicenter, randomized, double-blind, placebo-controlled, parallel group clinical trial evaluating the efficacy and safety of torudokimab in adult subjects with moderate-to-severe AD.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Phase 1 and Phase 2 Completed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Phase 1 clinical studies of torudokimab, safety and pharmacokinetics were evaluated (Data on file: Clinical Study Reports).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Phase 2 clinical study in adult subjects with moderate to severe atopic dermatitis was terminated early due to a lack of efficacy following the planned interim analysis. Safety findings did not contribute to the study termination, and torudokimab was well-tolerated overall with a safety profile supporting further development. The pharmacokinetics were similar to other monoclonal antibodies, with an average half-life of 20 days. There was no apparent clinical impact of anti-drug antibodies. (Laquer V 2022 Br J Dermatol)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Phase 2 Clinical Trials, Ongoing Clinical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conduct necessary CMC and regulatory activities to prepare torudokimab for Phase 2 readiness in allergy or respiratory-related indications. Additionally, we are monitoring Phase 2 and Phase 3 external catalysts, particularly in asthma and chronic obstructive pulmonary disease.</w:t>
      </w:r>
    </w:p>
    <w:p>
      <w:pPr>
        <w:pStyle w:val="TextBody"/>
        <w:bidi w:val="0"/>
        <w:spacing w:before="0" w:after="240"/>
        <w:ind w:left="0" w:right="0" w:hanging="0"/>
        <w:jc w:val="left"/>
        <w:rPr>
          <w:rFonts w:ascii="Times New Roman;Times;serif" w:hAnsi="Times New Roman;Times;serif"/>
          <w:b/>
          <w:sz w:val="20"/>
        </w:rPr>
      </w:pPr>
      <w:bookmarkStart w:id="69" w:name="Manufacturing_641"/>
      <w:bookmarkEnd w:id="69"/>
      <w:r>
        <w:rPr>
          <w:rFonts w:ascii="Times New Roman;Times;serif" w:hAnsi="Times New Roman;Times;serif"/>
          <w:b/>
          <w:sz w:val="20"/>
        </w:rPr>
        <w:t>Manufacturing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own or operate, and currently have no plans to establish, any manufacturing facilities. Our current and future requirements for producing bulk drug substance and finished drug product are met through third-party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Tibulizumab drug substance was previously manufactured by Lilly. Following the in-licensing of this asset, we transferred the drug substance manufacturing process and associated analytical testing to Patheon (Groningen, The Netherlands) to perform the future GMP manufacturing of the drug substance. The tibulizumab drug product was previously manufactured by Patheon (Ferentino, Italy) and it is the intention to retain the same manufacturing capability for future GMP batches of drug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Torudokimab drug substance is stored at WuXi Biologics (Shanghai) and this has been QC tested and released for forward processing into drug product. Using this drug substance, a GMP batch of drug product has been successfully manufactured, QC tested and released for use in the next clinical studies. The People's Republic of China (“PRC”), and WuXi specifically, have faced increased scrutiny by the U.S. government, which could impact our ability to supply torudokimab as needed to meet our forecasted future demand.  This risk is discussed in greater detail under the heading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ZB-168, we transferred the GMP drug substance manufacturing process and associated analytical testing to Patheon (Groningen, The Netherlands). Patheon manufactured a batch of drug substance to GMP and this material is awaiting release. Similarly, the GMP drug product manufacturing process was transferred to Patheon (Ferentino, Italy) and a batch of GMP drug product has been manufactured. This drug product is undergoing QC testing before it is released for utilization in the next clinical studies for ZB-168.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Both WuXi Biologics and Patheon have the capability to manufacture products for use in clinical development and commercial use. We do not intend to build our own manufacturing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 w:name="IntellectualProperty_100228"/>
      <w:bookmarkEnd w:id="70"/>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commercial success depends in large part on our ability: to obtain and maintain patent protection for the ZB Assets (including but not limited to their components, formulations, methods of manufacturing, and methods of treatment in the U.S. and other countries); to operate without infringing valid and enforceable patents and proprietary rights of others; and to prevent others from infringing on our proprietary or intellectual property rights.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Tibulizumab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February 2024, we held a license to issued patents that cover the composition of matter for tibulizumab in several major pharmaceutical markets, including the United States, China, Japan, Germany, France, Italy, the United Kingdom, and Spain. The earliest priority date for these patents is 2012. The terms of these patents are capable of continuing into 2033 in most jurisdictions without taking into account any patent term adjustment or extension regime of any country.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ZB-168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February 2024, we held a license to issued patents that cover the composition of matter for ZB-168 in several major pharmaceutical markets, including the United States, Japan, Germany, France, Italy, the United Kingdom, and Spain. The earliest priority date for these patents is 2010. The terms of these patents are capable of continuing into 2031 in most jurisdictions without taking into account any patent term adjustment or extension regime of any country.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take advantage of regulatory protection afforded through data exclusivity, market exclusivity and patent term extensions, where available. We may also seek to rely on regulatory protection afforded through Orphan Drug Designation, if appropriate. We may also rely on trade secrets and know-how to protect aspects of our business that are not amenable to, or that we do not consider appropriate or timely for, patent protection.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Torudokimab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February 2024, we held a license to issued patents that cover the composition of matter for torudokimab in several major pharmaceutical markets, including the United States, China, Japan, Germany, France, Italy, the United Kingdom, and Spain. The earliest priority date for these patents is 2016. The terms of these patents are capable of continuing into 2037 in most jurisdictions without taking into account any patent term adjustment or extension regime of any country.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party to certain licenses that provide rights that are necessary or useful for developing and commercializing the ZB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Pfizer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22, 2022, the Company entered into a license agreement and a Series A-1 Subscription and Shareholder’s Agreement (collectively, the “Pfizer Agreement”) with Pfizer. Under the Pfizer Agreement, the Company acquired a license for a compound initially developed by Pfizer, in exchange for $5.0 million in cash and 2,702,083 shares (as adjusted by the exchange ratio established in the Business Combination Agreement) of the Company’s Series A-1 convertible preferred shares, representing a 20% interest in the Company. In accordance with ASC 805, the Pfizer Agreement is accounted for as an asset acquisition, as substantially all of the $7.5 million value transferred to the Company was allocated to in-process research and development. On the acquisition date, the compound licensed had not yet received regulatory approval and the in-process research and development did not have an alternative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on March 22, 2022, the Company is obligated to make 12 development and regulatory milestone payments aggregating up to $70.0 million and sales milestone payments up to an aggregate of $525.0 million based on respective thresholds of net sales of products (developed from the licensed compound) (the “Products”). In further consideration for the license, the Company will also pay an annual earned royalty at a marginal royalty rate in the mid-single digits to low double digits (less than 20%), based on thresholds of nets sales of Products. Royalties are payable on a country-by-country basis for a certain period of years or upon the later expiration of regulatory exclusivity of the Company’s Products in a country.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also subject to a potential multi-million dollar transaction payment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Pfizer Agreement also has an anti-dilution provision to allow Pfizer to maintain an 18% interest in the Company. Immediately prior to the Closing Date of the Business Combination, additional share options and restricted share units were issued to certain employees, executives, and directors that would result in the dilution of Pfizer’s ownership in the Company. In accordance with the anti-dilution provision of the Pfizer Agreement, Pfizer was issued additional Series A-1 convertible preferred shares upon the closing of the Business Combination that were immediately converted to 267,939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first $1.0 million development milestone became due during the year ended December 31, 2023. The Company does not owe any other amounts under the Pfizer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Lonza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October 2023, the Company began drug substance manufacturing with a third party. As a result of manufacturing with a third party other than Lonza, under the terms of the Lonza License the first annual milestone payment of $0.4 million became due and payable which is included in accounts payable and accrued expenses on the consolidated balance sheet as of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more information, see the factors regarding third parties and manufacturing described under the heading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2022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consideration, the Company paid Lilly an upfront fee of $7.0 million. As consideration for the 2022 Lilly License, Lilly agreed to receive either 550,000 Class A Ordinary Shares upon the closing of the Business Combination (subject to certain lock-up provisions) or 4,702,867 shares of Z33 Series Seed Preferred Shares (the subsidiary redeemable preferred shares) if the Business Combination was not consummated. The obligation to issue shares represents contingent consideration and is classified as a liability on the consolidated balance sheet (research and development license consideration liability) as of December 31, 2022. The liability is measured at fair value on the acquisition date and remeasured to fair value at each reporting date. Upon the Closing Date of the Business Combination, the Company issued Lilly 550,000 Class A Ordinary Shares at an aggregate fair value of $4.5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2022 Lilly License as a component of research and development in the consolidated statement of operations during the period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Stone Peach has the right, but not the obligation, to sell up to 50% of the Series Seed Preferred Shares issued to Stone Peach to Zura for a price per share of $2.040724.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See Note 13 for further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on December 8, 2022, the Company is obligated to pay $3.0 million to Lilly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none of the contingent payments were due.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2023 Lilly License as a component of research and development in the consolidated statement of operations during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Company recognized the Stone Peach Call Right at a grant-date fair value of $1.5 million as a component of research and development in the consolidated statement of operations during the year ended December 31, 2023. The Stone Peach Call Right represents noncontrolling interest in the Company’s subsidiary, ZB17.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and December 31, 2022, the noncontrolling interest balance was $1.5 million and $0,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additional consideration, Stone Peach will receive annual payments first of $0.6 million, and increasing by 10% annually, so long as the Company maintains its license for ZB-106 and beginning on May 1, 2023. The Company will account for these annual payments when they become due. The Company recognized the first $0.6 million annual payment as a component of research and development in the consolidated statement of operations during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24th of each year. As the Company’s fully diluted shares outstanding exceeded 52,500,000 shares prior to December 31, 2023, the $5.0 million fee was recorded in accounts payable and accrued expenses in the consolidated balance sheet as of December 31, 2023 and within research and development in the consolidated statement of operations for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during the year ended December 31,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The Company will account for these contingent payments when they become 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none of the contingent payments were due.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WuXi Biologics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2023, the Company entered into a cell line license agreement (the "Cell Line License Agreement") with WuXi Biologics and its Affiliates ("WuXi Biologics"). The Cell Line License Agreement provides the Company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the Company agreed to pay WuXi Biologics a non-refundable license fee of $150,000. Additionally, if the Company manufactures all of its commercial supplies of bulk drug product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Approval and Regulation of Drugs and Biologics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 The steps required before a biologic may be marketed in the United States generally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animal studies and formulation studies, performed in accordance with the FDA’s good laboratory practices (“GLP”) requirements, and applicable requirements for the humane use of laboratory animals or other applicable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application for an investigational new drug application (“IND”), which must become effective before human clinical trials may commence;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protocol and related documentation by an independent IRB or ethics committee at each clinical trial site before each trial may be initiated;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accept and file the application;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FDA audit of the preclinical study and clinical trial sites that generated the data in support of the BLA in accordance with any applicable expedited programs or designations;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user fees for FDA review of the BLA (unless a fee waiver applies);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or licensure, of the BLA to permit commercial marketing of the product for particular indications for use in the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facilities at which the biologic is produced to assess compliance with current Good Manufacturing Practices (“cGMP”) and to assure that the facilities, methods and controls are adequate; and</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BLA.</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Preclinical Studies and the IND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clinical trial program for a product candidate is generally divided into three phases. Although the phases are usually conducted sequentially, they may overlap or be combined. The three phases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w:t>
            </w:r>
            <w:r>
              <w:rPr>
                <w:caps w:val="false"/>
                <w:smallCaps w:val="false"/>
              </w:rPr>
              <w:t xml:space="preserve"> </w:t>
            </w:r>
            <w:r>
              <w:rPr>
                <w:rFonts w:ascii="Times New Roman;Times;serif" w:hAnsi="Times New Roman;Times;serif"/>
                <w:b w:val="false"/>
                <w:i w:val="false"/>
                <w:caps w:val="false"/>
                <w:smallCaps w:val="false"/>
                <w:sz w:val="20"/>
              </w:rPr>
              <w:t>Phase 1 involves the initial introduction of a product candidate into humans. Phase 1 clinical trials are typically conducted in healthy 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2.</w:t>
            </w:r>
            <w:r>
              <w:rPr>
                <w:caps w:val="false"/>
                <w:smallCaps w:val="false"/>
              </w:rPr>
              <w:t xml:space="preserve"> </w:t>
            </w:r>
            <w:r>
              <w:rPr>
                <w:rFonts w:ascii="Times New Roman;Times;serif" w:hAnsi="Times New Roman;Times;serif"/>
                <w:b w:val="false"/>
                <w:i w:val="false"/>
                <w:caps w:val="false"/>
                <w:smallCaps w:val="false"/>
                <w:sz w:val="20"/>
              </w:rPr>
              <w:t>Phase 2 includes the controlled clinical trials conducted to obtain initial evidence of effectiveness of the product candidate for a particular 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3.</w:t>
            </w:r>
            <w:r>
              <w:rPr>
                <w:caps w:val="false"/>
                <w:smallCaps w:val="false"/>
              </w:rPr>
              <w:t xml:space="preserve"> </w:t>
            </w:r>
            <w:r>
              <w:rPr>
                <w:rFonts w:ascii="Times New Roman;Times;serif" w:hAnsi="Times New Roman;Times;serif"/>
                <w:b w:val="false"/>
                <w:i w:val="false"/>
                <w:caps w:val="false"/>
                <w:smallCaps w:val="false"/>
                <w:sz w:val="20"/>
              </w:rPr>
              <w:t xml:space="preserve">Phase 3 clinical trials are clinical trials conducted in an expanded patient population at geographically dispersed clinical trial 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 In some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 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r>
              <w:rPr>
                <w:rFonts w:ascii="Times New Roman;Times;serif" w:hAnsi="Times New Roman;Times;serif"/>
                <w:b w:val="false"/>
                <w:i w:val="false"/>
                <w:caps w:val="false"/>
                <w:smallCaps w:val="false"/>
                <w:sz w:val="24"/>
              </w:rPr>
              <w:t xml:space="preserve">s </w:t>
            </w:r>
            <w:r>
              <w:rPr>
                <w:rFonts w:ascii="Times New Roman;Times;serif" w:hAnsi="Times New Roman;Times;serif"/>
                <w:b w:val="false"/>
                <w:i w:val="false"/>
                <w:caps w:val="false"/>
                <w:smallCaps w:val="false"/>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 In addition, there are requirements for the registration of certain clinical trials of product candidates on public registries, such as www.clinicaltrials.gov, and the submission of certain information pertaining to these trials, including clinical trial results, after trial completion.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Biologics License Applications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 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w:t>
      </w:r>
      <w:r>
        <w:rPr>
          <w:rFonts w:ascii="Times New Roman;Times;serif" w:hAnsi="Times New Roman;Times;serif"/>
          <w:sz w:val="24"/>
        </w:rPr>
        <w:t>e</w:t>
      </w:r>
      <w:r>
        <w:rPr>
          <w:rFonts w:ascii="Times New Roman;Times;serif" w:hAnsi="Times New Roman;Times;serif"/>
          <w:sz w:val="20"/>
        </w:rPr>
        <w:t>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 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 market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Post-approval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w:t>
      </w:r>
      <w:r>
        <w:rPr>
          <w:rFonts w:ascii="Times New Roman;Times;serif" w:hAnsi="Times New Roman;Times;serif"/>
          <w:sz w:val="24"/>
        </w:rPr>
        <w:t>o</w:t>
      </w:r>
      <w:r>
        <w:rPr>
          <w:rFonts w:ascii="Times New Roman;Times;serif" w:hAnsi="Times New Roman;Times;serif"/>
          <w:sz w:val="20"/>
        </w:rPr>
        <w:t>n and quality control to maintain compliance with cGMP and other aspects of regulatory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Health Care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Health care providers, including physicians,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HIPAA, as amended by the Health Information Technology for Economic and Clinical Health Act, and their respective implementing regulations, including the Final Omnibus Rule published in January 2013, which impose obligations,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statements statute, which prohibits knowingly and willfully falsifying, concealing or covering up a material fact or making any materially false statement in connection with the delivery of or payment for health care benefits, items or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FCPA which prohibits companies and their intermediaries from making, or offering or promising to make improper payments to non-U.S. officials for the purpose of obtaining or retaining business or otherwise seeking favorable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health care items or services that are reimbursed by non-government third-party payors, including private insurers.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Pharmaceutical Insurance Coverage and Health Care Reform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an annual, nondeductible fee on any entity that manufactures or imports specified branded prescription drugs and biologic agents, apportioned among these entities according to their market share in certain government healthcare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addressed a new methodology by which rebates owed by manufacturers under the Medicaid Drug Rebate Program are calculated for drugs that are inhaled, infused, instilled, implanted or injected;</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types of entities eligible for the 340B drug discount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 new Patient-Centered Outcomes Research Institute to oversee, identify priorities in, and conduct comparative clinical effectiveness research, along with funding for such research.</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 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 patent term restoration and marketing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composed of a “testing phase” and a “review phase” (also referred to as an “approval phase”). The testing phase begins on the effective date of an IND and ends on the date a BLA or a New Drug Application (“NDA”) is initially submitted to FDA. The review phase is the period between the initial submission of the BLA or NDA and approval. The term of a patent may be extended for a period of time that is the sum of one-half of the time in the testing phase, plus all the time in the review phase, and minus any of the regulatory review period that occurs prior to the patent grant or where the sponsor did not act with due diligence. Only one patent applicable to an approved biological product is eligible for the extension and the application for the extension must be submitted prior to the expiration of the patent. In addition, a patent can only be extended once and only for a single product. The USPTO, in consultation with the FDA, reviews and approves the application for any patent term extension or restoration. In the future, where possible we intend to apply for restoration of patent term for a patent covering the ZB Assets to add, if possible, patent life beyond its current expiration date. The ability to do this will depend on the length of the clinical trials and other factors involved in the filing of the relevant BLA.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 provisions for supplementary protection to compensate applicants for regulatory delays also exist in a number of territories, including Europe and Japan. Where possible we intend to apply for supplementary protection for the ZB Assets.</w:t>
      </w:r>
    </w:p>
    <w:p>
      <w:pPr>
        <w:pStyle w:val="TextBody"/>
        <w:bidi w:val="0"/>
        <w:spacing w:before="0" w:after="240"/>
        <w:ind w:left="0" w:right="0" w:hanging="0"/>
        <w:jc w:val="left"/>
        <w:rPr>
          <w:rFonts w:ascii="Times New Roman;Times;serif" w:hAnsi="Times New Roman;Times;serif"/>
          <w:b/>
          <w:sz w:val="20"/>
        </w:rPr>
      </w:pPr>
      <w:bookmarkStart w:id="71" w:name="DataandMarketExclusivity_890137"/>
      <w:bookmarkEnd w:id="71"/>
      <w:r>
        <w:rPr>
          <w:rFonts w:ascii="Times New Roman;Times;serif" w:hAnsi="Times New Roman;Times;serif"/>
          <w:b/>
          <w:sz w:val="20"/>
        </w:rPr>
        <w:t>Data and Market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shown to be biosimilar to, or interchangeable with, an FDA-licensed reference biological product.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present time, the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w:t>
      </w:r>
    </w:p>
    <w:p>
      <w:pPr>
        <w:pStyle w:val="TextBody"/>
        <w:bidi w:val="0"/>
        <w:spacing w:before="0" w:after="240"/>
        <w:ind w:left="0" w:right="0" w:firstLine="720"/>
        <w:jc w:val="both"/>
        <w:rPr/>
      </w:pPr>
      <w:r>
        <w:rPr/>
        <w:t>“</w:t>
      </w:r>
      <w:r>
        <w:rPr>
          <w:rFonts w:ascii="Times New Roman;Times;serif" w:hAnsi="Times New Roman;Times;serif"/>
          <w:sz w:val="20"/>
        </w:rPr>
        <w:t>First licensure” typically means the initial date the particular product at issue was licensed in the U.S. The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EEA,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EEA, during a period of eight years from the date on which the reference product was first authorized in the EEA.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There is no guarantee that a product will be considered by the EMA to be an innovative medicinal product, and products may not qualify for data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Another company may market another version of the product if such company obtained a marketing authorization based on a MAA with a completely independent data package of pharmaceutical tests, preclinical tests and clinical trials.</w:t>
      </w:r>
    </w:p>
    <w:p>
      <w:pPr>
        <w:pStyle w:val="TextBody"/>
        <w:bidi w:val="0"/>
        <w:spacing w:before="0" w:after="240"/>
        <w:ind w:left="0" w:right="0" w:hanging="0"/>
        <w:jc w:val="left"/>
        <w:rPr>
          <w:rFonts w:ascii="Times New Roman;Times;serif" w:hAnsi="Times New Roman;Times;serif"/>
          <w:b/>
          <w:sz w:val="20"/>
        </w:rPr>
      </w:pPr>
      <w:bookmarkStart w:id="72" w:name="PediatricDevelopment_340202"/>
      <w:bookmarkEnd w:id="72"/>
      <w:r>
        <w:rPr>
          <w:rFonts w:ascii="Times New Roman;Times;serif" w:hAnsi="Times New Roman;Times;serif"/>
          <w:b/>
          <w:sz w:val="20"/>
        </w:rPr>
        <w:t>Pediatric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biological product can obtain pediatric market exclusivity in the U.S. Pediatric exclusivity, if granted, adds six months to existing exclusivity periods, including some regulatory exclusivity periods. This six-month exclusivity, which runs from the end of other exclusivity protection or patent term, may be granted based on the voluntary completion of a pediatric study in accordance with an FDA-issued “Written Request” for such a study. Similar provisions are also available in other territories, such as Europe.In the EEA, companies developing a new medicinal product must agree upon a Pediatric Investigation Plan, or PIP, with the EMA’s pediatric committee, or PDCO, and must conduct pediatric clinical trials in accordance with that PIP, unless a waiver applies (e.g., because the relevant disease or condition occurs only in adults).The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Products that are granted a marketing authorization with the results of the pediatric clinical trials conducted in accordance with the PIP are eligible for a six-month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0" w:after="240"/>
        <w:ind w:left="0" w:right="0" w:hanging="0"/>
        <w:jc w:val="left"/>
        <w:rPr>
          <w:rFonts w:ascii="Times New Roman;Times;serif" w:hAnsi="Times New Roman;Times;serif"/>
          <w:b/>
          <w:sz w:val="20"/>
        </w:rPr>
      </w:pPr>
      <w:bookmarkStart w:id="73" w:name="Competition_966112"/>
      <w:bookmarkEnd w:id="73"/>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development and commercialization of new product candidates in the biopharmaceutical industry is highly competitive and is subject to technological advancements resulting in numerous assets within drug classes. The immunology market field is characterized by strong and increasing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competitive landscape encompasses a spectrum of entities, ranging from startups to large-cap biopharmaceutical, specialty pharmaceutical, and biotechnology companies. These competitors are dedicated to developing diverse therapeutic modalities tailored for autoimmune diseases, including small molecules, antibodies, and cytotherapy. We believe the key competitive factors that will affect the development and commercial success of the ZB Assets and any future product candidates include safety and efficacy, reliability, dosing and administration convenience, scope of marketing approval, successful protection of intellectual property, reimbursement, and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 number of large companies that currently market products or are pursuing the development of product candidates for the treatment of the indications that we are pursuing. More established companies may have a competitive advantage over us due to their greater size, resources, and institutional experience. These companies have greater experience and expertise in securing reimbursement, government contracts, relationships with key opinion leaders, conducting testing and clinical trials, obtaining and maintaining regulatory approvals and distribution relationships to market products, and marketing approved drugs. These companies also have significantly greater research and marketing capabilities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these companies also have greater financial resources, and greater research, development and marketing capabilities than we do and may also have products that are in similar product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Tibulizumab</w:t>
      </w:r>
      <w:r>
        <w:rPr>
          <w:rFonts w:ascii="Times New Roman;Times;serif" w:hAnsi="Times New Roman;Times;serif"/>
          <w:sz w:val="20"/>
        </w:rPr>
        <w:t>. If tibulizumab is approved, competition may arise from approved and non-approved generic immunosuppressive agents. There may be competition from newly approved or non-approved advance line agents in. Currently a variety of therapies are used, including but not limited to, methotrexate, mycophenalate, OFEV® (nintedanib), ACTEMRA® (tocilizumab), brodalumab, BENLYSTA® (belimumab), UPLINZA® (inebilizumab-cdon), and RITUXAN® (rituximab).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Currently, there are two advanced line drugs have FDA approved for the treatment of SSc-ILD: OFEV® (nintedanib) and ACTEMRA® (tocilizumab). There are multiple additional product candidates in development for SSc and/or SSc-ILD. </w:t>
      </w:r>
      <w:r>
        <w:rPr>
          <w:rFonts w:ascii="Times New Roman;Times;serif" w:hAnsi="Times New Roman;Times;serif"/>
          <w:i/>
          <w:sz w:val="20"/>
        </w:rPr>
        <w:t>ZB-168</w:t>
      </w:r>
      <w:r>
        <w:rPr>
          <w:rFonts w:ascii="Times New Roman;Times;serif" w:hAnsi="Times New Roman;Times;serif"/>
          <w:sz w:val="20"/>
        </w:rPr>
        <w:t>. If ZB-168 is approved, competition may arise from various companies and partnerships currently engaged in clinical studies. There are multiple assets in active clinical development targeting the IL-7 or TSLP pathways, including but not limited to: lusvertikimab, bempikibart, verekitug, SAR443765, BSI-045B, and tezepelumab.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Torudokimab.</w:t>
      </w:r>
      <w:r>
        <w:rPr>
          <w:rFonts w:ascii="Times New Roman;Times;serif" w:hAnsi="Times New Roman;Times;serif"/>
          <w:sz w:val="20"/>
        </w:rPr>
        <w:t xml:space="preserve"> If torudokimab is approved, competition may arise from various companies and partnerships actively engaged in clinical studies targeting IL-33, including but not limited to itepekimab, tozorakimab, astegolimab, MT-2990, 9MW-1911, SSGJ-621, FB-918, QX-007-N and QX-008-N. Other potential competitors include academic institutions, government agencies, and other public and private entities that conduct research, seek patent protection, and establish collaborative arrangements for research development, manufacturing, and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drugs, non-pharmaceutical therapies, and alternative approaches to indications we may pursue for our drug candidates will compete with us both in the U.S. and elsewhere in the world.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numerous other drugs and product candidates in development for indications for which we might develop our product candidates. Competition may also arise from off-label use of products approved for other indications, products accessed through gray markets, or product candidates available through clinical trials or expanded access.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 w:name="CorporateHistory_250096"/>
      <w:bookmarkEnd w:id="74"/>
      <w:r>
        <w:rPr>
          <w:rFonts w:ascii="Times New Roman;Times;serif" w:hAnsi="Times New Roman;Times;serif"/>
          <w:b/>
          <w:sz w:val="20"/>
        </w:rPr>
        <w:t>Corporate History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originally known as JATT Acquisition Corp., a Cayman Islands exempted company (“JATT”). On March 20, 2023 (the “Closing Date”), we consummated the previously-announced transactions contemplated by certain Business Combination Agreement, dated June 16, 2022, as amended on September 20, 2022, November 14, 2022, and January 13, 2023 by and among Zura Bio Limited, a limited company incorporated under the laws of England and Wales (“Zura Bio UK”),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Business Combination Agreement, (a) before the closing of the Business Combination, Holdco was established as our new holding company and became a party to the Business Combination Agreement; and (b) on the closing date, in sequential order: (i) Merger Sub merged with and into Holdco, with Holdco continuing as the surviving company and a wholly owned subsidiary of JATT (the “Merger”); (ii) immediately following the Merger, Holdco merged with and into Merger Sub 2, with Merger Sub 2 continuing as the surviving company and a wholly owned subsidiary of JATT (the “Subsequent Merger”); and (iii) JATT changed its name to “Zura Bio Limited” (“Zura Bio”).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 and Culture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15 employees, 14 of whom were full-time, consisting of clinical development, general and administrative, and technical operations. None of our employees is represented by a labor union, and we believe that our relationships with them are good.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future success depends upon our continued ability to attract and retain highly skilled employees. We provide competitive salaries and bonuses, opportunities for equity ownership, and an employment package that promotes well-being across all aspects of their lives, including health care and retirement planning. As part of our promotion and retention efforts, we also invest in ongoing employee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focus on the diversity of our team members and our commitment to inclusion. We value diversity at all levels and continue to extend our diversity and inclusion initiatives across our entire workforce, from working with managers to develop strategies for building diverse teams to promoting the advancement of leaders from different backgrounds.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any material legal proceedings. In the ordinary course of business, we may be subject to legal proceedings, claims, and litigation.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Implications of Being an Emerging Growth Company and a Smaller Reporting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“emerging growth company” as defined in Section 2(a)(19) of the Securities Act of 1933, as amended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of 2002 (the “Sarbanes-Oxley Act”), (ii) the exemptions from say-on-pay, say-on- frequency and say-on-golden parachute voting requirements and (iii) reduced disclosure obligations regarding executive compensation in our periodic reports and proxy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remain an emerging growth company until the earlier of: (i) the last day of the fiscal year (a) following the fifth anniversary of the closing of our initial public offering (“IPO”), (b) in which we have total annual gross revenue of at least $1.07 billion, or (c) in which we are deemed to be a “large accelerated filer” under the Securities Exchange Act of 1934, as amended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file annual reports on Form 10-K, Quarterly Reports on Form 10-Q, Current Reports on Form 8-K, proxy statements and other information with the SEC. Our filings with the SEC are available on the SEC’s website at www.sec.gov. We also maintain a website at http://www.zurabio.com. We make available, free of charge, in the Investor Relations section of our website, documents we file with or furnish to the SEC, including our annual reports on Form 10-K, Quarterly Reports on Form 10-Q, Current Reports on Form 8-K and any exhibits and amendments to those reports. We make this information available as soon as reasonably practicable after we electronically file such materials with, or furnish such information to, the SEC. The other information found on our website is not part of this or any other report we file with, or furnish to, the SEC.</w:t>
      </w:r>
    </w:p>
    <w:p>
      <w:pPr>
        <w:pStyle w:val="TextBody"/>
        <w:bidi w:val="0"/>
        <w:spacing w:before="0" w:after="240"/>
        <w:ind w:left="0" w:right="0" w:hanging="0"/>
        <w:jc w:val="left"/>
        <w:rPr>
          <w:rFonts w:ascii="Times New Roman;Times;serif" w:hAnsi="Times New Roman;Times;serif"/>
          <w:b/>
          <w:sz w:val="20"/>
        </w:rPr>
      </w:pPr>
      <w:bookmarkStart w:id="75" w:name="ITEM1ARISKFACTORS_657310"/>
      <w:bookmarkStart w:id="76" w:name="_017378da_9b6b_45a6_8551_9ae9c50c0522"/>
      <w:bookmarkEnd w:id="75"/>
      <w:bookmarkEnd w:id="76"/>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Careful consideration should be given to the following risk factors, in addition to the other information set forth in this Annual Report and in other documents that we file with the SEC, in evaluating the Company and our business. Investing in our Class A Ordinary Shares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77" w:name="RisksRelatedtoOurLimitedOperatingHistory"/>
      <w:bookmarkEnd w:id="77"/>
      <w:r>
        <w:rPr>
          <w:rFonts w:ascii="Times New Roman;Times;serif" w:hAnsi="Times New Roman;Times;serif"/>
          <w:b/>
          <w:sz w:val="20"/>
        </w:rPr>
        <w:t>Risks Related to Our Limited Operating History, Financial Position, and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 limited operating history, have not initiated, conducted, or completed any clinical trials, and have not taken a product through to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clinical-stage company with limited operating history. To be cash flow positive and viable, we must develop (alone or in partnership(s)) and eventually commercialize (alone or in partnership(s)) a product or products with significant market potential. This will require us to be successful in a range of challenging activities, including establishing our business model and key third-party relationships; completing preclinical studies and clinical trials of our product candidates; obtaining marketing approval for product candidates; manufacturing, marketing and selling those products for which we (either alone or in partnership(s)) may obtain marketing approval; satisfying any post-marketing requirements; and otherwise monetizing products, for example by licensing or selling assets or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products are not approved for commercial sale. Since our inception in January 2022, we have incurred significant operating losses and have utilized substantial resources to in-license and plan for development of the ZB Assets, organize and staff our company, and provide other general and administrative support. We have not conducted or completed clinical trials, including global late-stage clinical trials. As is widespread practice in the life sciences industry, we will engage third-party clinical trial organizations to conduct preclinical and clinical trials. We cannot be certain that our planned preclinical and clinical trials will begin or be completed on time or at all. Furthermore, we cannot be certain whether our planned preclinical studies and clinical trials will be on budget or have significant cost overruns. We cannot predict whether product candidates will have the desired activity in the clinical trials or whether any side effects will be tolerable. In addition, we have not yet demonstrated an ability to obtain marketing approvals, manufacture a product to commercial scale, or arrange for a third party to do so on our behalf, or conduct sales, marketing and distribution activities necessary for successful product commercialization.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generate revenue depends on a number of factors, including, but not limited to, our ability to arrange for third-party contractors to, do the following with respect to our product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file and gain acceptance of investigational new drug applications to commence planned clinical trials or future clinical trials;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initiate preclinical studies and clinical trials;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enroll patients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complete all safety and efficacy studies (preclinical and clinical) required to obtain U.S. and foreign regulatory approva;</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 additional clinical trials or other studies beyond those planned to support the approval and commercialization;</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appropriate human doses for clinical trials and commercial products;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manage the prevalence, duration, and severity of potential side effects or other safety issues, if any;</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positive readout from the clinical trials regarding therapeutic activity;</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demonstrate safety and efficacy to the satisfaction of the FDA, EMA, or similar foreign regulatory;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the timely receipt of necessary marketing approvals from the FDA, EMA, and similar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sufficient volume and quality of clinical trial materials to enable the completion of our planned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manufacturing capabilities or make arrangements with third-party manufacturers for future clinical supply and commercial manufacturing;</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products, if and when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acceptance of the products, if and when approved, by patients, the medical community, and third-party payors;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our products to effectively compete with other therapies;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coverage and reimbursement for our products;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continued acceptable safety profile following approval;</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regulatory exclusivity;</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patent and trade secret protection;</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 and defend our intellectual property rights and claims.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third parties may allege that they have intellectual property rights that would block our commercial activities and we may need to seek a license, which may not be available or may not be available at a reasonable price. We may also have a contractual dispute, such as a dispute related to patent inventorship or ownership, which may take significant resources, including the management team’s time, to resolve.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 uncertainties and risks associated with these activities, we are unable to accurately and precisely predict the timing and amount of revenues, if any, the extent of any further losses or if or when we might achieve profitability. Consequently, any predictions we make about our future success or viability may not be as accurate as they could be if we had a longer operating history or track record of relative success. We may never succeed in these activities and, even if we succeed in commercializing the ZB Assets, we may never generate revenue that is significant enough to justify the investment in development, achieve profitability or otherwise successfully monetize product candidates. If we do achieve profitability, we may not be able to sustain or increase profitability on a quarterly or annual basis and we may continue to incur substantial research and development and other expenditures to develop and market additional product candidates. Our failure to become and remain profitable or otherwise successfully monetize the products could decrease the value of our shares and impair our ability to raise capital, reduce or eliminate our research and development efforts, or prevent the expansion of our business, or discontinue our operations. Further, we may encounter unexpected expenses, challenges and complications from known and unknown factors such as a global pandemic.</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losses since inception, and we expect to incur significant losses for the foreseeable future and may not be able to achieve or sustain profitability in the future. We have not generated any revenue from the ZB Assets and may never generate revenue or become profitable.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 in biopharmaceutical product development is a highly speculative undertaking and entails substantial upfront costs and capital expenditures over a multi-year timeframe, and ultimately involve a risk that any product candidate will fail to demonstrate adequate efficacy or an acceptable safety profile, gain regulatory approval or become commercially viable. We have no products approved for commercial sale, we have not generated any revenue to date, and we continue to incur research and development and other expenses related to our ongoing operations. We do not expect to generate product revenue unless or until we successfully complete clinical development and obtain regulatory approval from the FDA, EMA and similar foreign regulatory authorities of, and then successfully commercialize, the ZB Assets in one or more indications in one or more territories. We may never succeed in these activities and, even if we do, may never generate revenues that are significant enough to achieve profitability. If we are unable to raise further capital in the near-term, or partner with third parties that fund all or the vast majority of our costs and capital expenditures, then we may be unable to continue operations. We do not expect to generate sufficient revenue through any means to fully fund our operations in the near-term. We cannot assure you that any additional financing that we are able to raise would not have a dilutive impact on your ownership interest in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net loss of $60.4 million for the fiscal year ended December 31, 2023. We expect to continue to incur significant losses for the foreseeable future. Even after finding a means to fund the foreseeable, and unforeseeable, costs to develop our product candidates, thereafter, the progress of our development, and the clinical results achieved, will affect, positively or negatively, the value of our company and accordingly our ability to raise capital. Favorable results may increase the value of the company, increasing our ability to raise capital. Unfavorable results are likely to decrease the value of the company and could impair our ability to raise more capital, which is necessary to maintain our research and development efforts, expand our business and/or continue our operations. A decline in the value of our company could also cause you to lose all or part of your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recurring losses from operations and financial condition could raise substantial doubt about our ability to continue.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fund our operations from existing proceeds as well as through the future sale of equity, debt, borrowing under credit facilities or through potential collaborations with other companies or other strategic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need to raise additional capital and are unable to do so, we could be forced to delay, reduce, suspend or cease our research and development programs or any future commercialization efforts, which would have a negative impact on our business, prospects, operating results and financial condition. In the future, in our own required quarterly assessments, we may conclude that there is a going concern, and future reports from our independent registered public accounting firm may also contain statements expressing substantial doubt about our ability to continue.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raise capital when needed, or on acceptable terms, we may be forced to delay, reduce and/or eliminate one or more of our development programs or future commercialization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expenses to increase in connection with our ongoing activities, particularly as we conduct clinical trials of, and seek marketing approval from the FDA, EMA, and similar foreign regulatory authorities for, the ZB Assets. Even if one or more of the ZB Assets are approved for commercial sale, we anticipate incurring costs associated with sales, marketing, manufacturing and distribution activities to launch the ZB Assets. Our expenses could increase beyond expectations if we are required by the FDA, EMA or other regulatory agencies to perform preclinical studies or clinical trials in addition to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the ZB Assets. Our future capital requirements depend on many factors, including factors that are not within our control. Based on our current operating plan, we believe our existing cash, cash equivalents and short-term marketable securities, will be sufficient to fund our operations through 2026. This estimate is based on assumptions that may prove to be wrong, and we could use our available capital resources sooner than we currently expect.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any committed external sources of funds and adequate additional financing may not be available to us on acceptable terms, or at all. We may be required to seek additional funds sooner than planned through public or private equity offerings, debt financing, collaborations and licensing arrangements or other sources. Such financing may dilute our shareholders or the failure to obtain such financing may restrict our operating activities. To the extent that we raise additional capital through the sale of equity or convertible debt securities, your ownership interest will be diluted, and the terms may include liquidation or other preferences and anti-dilution protections that adversely affect your rights as a shareholder. Debt financing may result in the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the ZB Assets, or grant licenses on terms that are not favorable to us. Our ability to raise additional capital may be adversely impacted by potential worsening global economic and political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rights licensed from Pfizer and Lilly that can be terminated in certain circumstances. If we breach the agreements, or if we are unable to satisfy our obligations under which we license rights to the ZB Assets, we could lose the ability to develop and commercialize one or more of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develop and commercialize the ZB Assets is dependent on the use of certain intellectual property and regulatory rights licensed to us from Pfizer (for ZB- 168) and Lilly (for torudokimab and tibulizumab). The licenses set forth certain terms and conditions for maintaining the licenses. In the event that the terms and conditions are not met or we become insolvent or bankrupt, the licenses may be terminated and we will no longer be able to develop and commercialize one or more of the ZB Assets. See “</w:t>
      </w:r>
      <w:r>
        <w:rPr>
          <w:rFonts w:ascii="Times New Roman;Times;serif" w:hAnsi="Times New Roman;Times;serif"/>
          <w:i/>
          <w:sz w:val="20"/>
        </w:rPr>
        <w:t>Business — License Agreements — Lilly-Z33 License” and “Business — License Agreements — Lilly-ZB17 License</w:t>
      </w:r>
      <w:r>
        <w:rPr>
          <w:rFonts w:ascii="Times New Roman;Times;serif" w:hAnsi="Times New Roman;Times;serif"/>
          <w:sz w:val="20"/>
        </w:rPr>
        <w:t>”; “</w:t>
      </w:r>
      <w:r>
        <w:rPr>
          <w:rFonts w:ascii="Times New Roman;Times;serif" w:hAnsi="Times New Roman;Times;serif"/>
          <w:i/>
          <w:sz w:val="20"/>
        </w:rPr>
        <w:t>Business — License Agreements — Pfizer Agreement</w:t>
      </w:r>
      <w:r>
        <w:rPr>
          <w:rFonts w:ascii="Times New Roman;Times;serif" w:hAnsi="Times New Roman;Times;serif"/>
          <w:sz w:val="20"/>
        </w:rPr>
        <w:t>”. Further, a wholly owned Pfizer subsidiary is the owner of certain intellectual property licensed to us from Pfizer for ZB-168. The confirmatory three-way license agreement provides Pfizer the necessary rights to give effect to the Pfizer License. See “</w:t>
      </w:r>
      <w:r>
        <w:rPr>
          <w:rFonts w:ascii="Times New Roman;Times;serif" w:hAnsi="Times New Roman;Times;serif"/>
          <w:i/>
          <w:sz w:val="20"/>
        </w:rPr>
        <w:t>Business — License Agreements — Pfizer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there is any dispute with Pfizer or Lilly regarding our rights under the Pfizer Agreement or the Lilly Licenses, including if we are unable to meet our milestone obligations or become insolvent or bankrupt, our ability to develop and commercialize one or more of the ZB Assets may be adversely affected. Any uncured, material breach by us under the Pfizer Agreement or the Lilly Licenses could result in our loss of exclusive rights to one or more of the ZB Assets and may lead to a complete termination of our product development efforts for one or more of the ZB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the significant resources required for the development of the ZB Assets, we must prioritize the pursuit of treatments for certain indications. We may expend our limited resources to pursue a particular indication and fail to capitalize on indications that may be more profitable or for which there is a greater likelihood of success.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develop treatments for patients with serious immune system disorders. Due to financial or other constraints, we may be required to limit the scope of our development plans. In the event that we are required to limit our development plans for one or more of the ZB Assets, we may be unable to initiate clinical trials with the same scope that we otherwise intended to pursue, or the geographies in which we initiate such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decisions concerning the allocation of research, development, collaboration, management, and financial resources toward particular indications may not lead to the development of any viable commercial product and may divert resources away from other opportunities (including other indications) that later prove to have greater commercial potential or a greater likelihood of success. Even if the primary endpoints of such trials are met for one or more of the ZB Assets, there is no guarantee that such findings will justify initiation of Phase 3 trials. Even if the ZB Assets successfully conclude Phase 3 and other necessary clinical trials, and thereafter receive(s) marketing approval, they may not achieve market acceptance or commercial success. If we do not accurately evaluate the commercial potential or target market for the ZB Assets, we may relinquish valuable rights through future collaboration, licensing, or other royalty arrangements in cases in which it would have been more advantageous for us to retain sole development and commercialization rights. We may make incorrect determinations regarding the viability or market potential of the ZB Assets or misread trends in our industry. Finally, our contractual obligations to make milestone payments to Pfizer and Lilly may impact our ability to fund the development of one or more of the ZB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 the future license additional assets, which may require us to expend additional resources and raise additional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execute additional transactions to add to our pipeline. We have not yet entered into any agreements for any such in-licensing transactions. In the event that we do enter into any additional in-license agreements, it is likely that we will need to expend additional resources and raise additional capital. The ability to do so,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fund our needs.</w:t>
      </w:r>
    </w:p>
    <w:p>
      <w:pPr>
        <w:pStyle w:val="TextBody"/>
        <w:bidi w:val="0"/>
        <w:spacing w:before="0" w:after="240"/>
        <w:ind w:left="0" w:right="0" w:hanging="0"/>
        <w:jc w:val="both"/>
        <w:rPr>
          <w:rFonts w:ascii="Times New Roman;Times;serif" w:hAnsi="Times New Roman;Times;serif"/>
          <w:b/>
          <w:sz w:val="20"/>
        </w:rPr>
      </w:pPr>
      <w:bookmarkStart w:id="78" w:name="RisksRelatedtoAnticipatedTimingofCommenc"/>
      <w:bookmarkEnd w:id="78"/>
      <w:r>
        <w:rPr>
          <w:rFonts w:ascii="Times New Roman;Times;serif" w:hAnsi="Times New Roman;Times;serif"/>
          <w:b/>
          <w:sz w:val="20"/>
        </w:rPr>
        <w:t>Risks Related to Anticipated Timing for Initiation, Enrollment, and Completion of Any Planned or Future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may not be able to initiate clinical trials if drug product is not timely available at clinical trial sites.  We may not be able to initiate or continue clinical trials for our product candidates if we are unable to locate and enroll a sufficient number of eligible participants to participate in these trials to conclusion as required by the FDA or foreign regulatory authorities. Additionally, certain clinical trials for our product candidates may be focused on indications with relatively small patient populations, which may further limit enrollment of eligible participants or may result in slower enrollment than we anticipate. The eligibility criteria of our clinical trials, once established, may further limit the pool of available trial participants.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Participant enrollment is a significant factor in the timing of clinical trials, and the timing of our clinical trials depends, in part, on the speed at which we can recruit participants. Participant enrollment and retention in clinical trials depends on many factors, including the size and nature of the patient population, the severity of the disease under investigation, the nature of the trial protocol, the existing body of safety and efficacy data for the product candidate, the number and nature of competing treatments and ongoing clinical trials of competing therapies for the same indication, the proximity of participants to clinical sites, the eligibility criteria for the trial, the ability to adequately monitor participants during a clinical trial, clinicians’ and participants’ perceptions as to the potential advantages of the product candidate being studied, and the risk that participants will drop out of a trial before completing all site visits. There are limited patient pools from which to draw in order to complete our clinical trials in a timely and cost-effective manner, particulraly for any rare diseases we are pursuing.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 number of factors could delay or prevent potential participants from participating in our clinical trials. For example, our efforts to build relationships with health care providers or patient communities may not succeed, which could result in delays in participant enrollment in our clinical trials. Delays or failures in planned participant enrollment or retention may result in increased costs, program delays or both, which could have a harmful effect on our ability to develop our product candidates, or could render further development impossible. In addition, natural disasters or public health epidemics may delay or prevent participants from enrolling or from receiving treatment in accordance with the protocol and the required timelines, which could delay our clinical trials, or prevent us or our partners from completing our clinical trials at all, and harm our ability to obtain approval. Further, if participants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 In addition, we may rely on CROs and clinical trial sites to ensure proper and timely conduct of our clinical trials and, while we intend to enter into agreements governing their services, we will be limited in our ability to compel their actual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9" w:name="RisksRelatedtotheClinicalDevelopmentandC"/>
      <w:bookmarkEnd w:id="79"/>
      <w:r>
        <w:rPr>
          <w:rFonts w:ascii="Times New Roman;Times;serif" w:hAnsi="Times New Roman;Times;serif"/>
          <w:b/>
          <w:sz w:val="20"/>
        </w:rPr>
        <w:t>Risks Related to the Clinical Development and Commercialization of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Statements included in this annual report on Form 10-K concerning clinical trials of the ZB Assets have not been reviewed, furnished or endorsed by Pfizer or Lilly, and Pfizer and Lilly have not certified and do not certify any information included herein.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never successfully completed the regulatory approval process for any product candidates and we may be unable to do so for any product candidates we develop.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yet demonstrated our ability to obtain regulatory approvals or arrange for a third party to do so on our behalf. If we are required to conduct additional preclinical studies or clinical trials of the ZB Assets beyond those that we currently contemplate, if we are unable to successfully complete preclinical studies or clinical trials of the ZB Assets, or if the corresponding results are not positive or are only modestly positive or if there are safety concerns, we may: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in obtaining regulatory approval from the FDA, EMA or other regulatory authorities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obtain regulatory approval at all and lose our right and ability under our license from Pfizer to further develop and commercialize the ZB Assets;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regulatory approval for indications or patient populations that are not as broad as intended or desired;</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be subject to post-marketing testing requirements from the FDA, EMA or other regulatory authorities; or</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product removed from the market after obtaining regulatory approval.</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substantially dependent on the success of the ZB Assets, and our anticipated clinical trials of the ZB Assets may not be successful.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is substantially dependent on our ability to successfully develop the ZB Assets for future marketing approval, and then successful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2015, ZB- 168 was placed on clinical hold (an order issued by the United States FDA to the sponsor of an investigational new drug application to delay or to suspend a clinical investigation) due to concern regarding IL- 7Rα expression on certain cell types within the lung and “insufficient information to address the potential risk that RN168 treatment poses to the respiratory system in humans.” The clinical hold was not the result of any adverse events or safety findings emerging from the ongoing clinical studies. Pfizer’s response to the clinical hold included conducting additional non-clinical experiments, a review of IL- 7Rα expression in the lung, and proposed pulmonary monitoring plans for future clinical trials, and a detailed assessment of adverse events in the clinical trials conducted to date. The clinical hold was lifted in 2016 with the following conditions/requirements: before enrolling children in studies with ZB- 168, data should be submitted supporting that the potential benefits justify the potential risks. We have subsequently received FDA written responses in September 2023, to our pre-IND application, acknowledging that the completed non-clinical studies appear reasonable to support moving forward to a phase 2 study in alopecia areata.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 Assets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 ZB Assets before we receive marketing approval from the FDA, EMA and comparable foreign regulatory authorities, and we may never receive such marketing approvals.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the ZB Assets will depend on a variety of factors. We do not have complete control over many of these factors, including certain aspects of clinical development and the regulatory submission process, the manufacturing, marketing, distribution and sales efforts of any third parties with whom we choose to collaborate in the future. Accordingly, we cannot assure you that we will ever be able to generate revenue through the sale of the ZB Assets, even if approved. If we are not successful in commercializing the ZB Assets, or are significantly delayed in doing so, our business will be materially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find it difficult to enroll patients in our clinical trials. If we experience delays or difficulties in the enrollment of patients in clinical trials, our successful completion of clinical trials, our receipt of marketing approvals could be delayed or prevented.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initiate or continue clinical trials for the ZB Assets if we are unable to locate and enroll a sufficient number of eligible patients to participate in trials. Patient enrollment may be affected by various factors, including if our competitors have ongoing clinical trials for product candidates that are under development for the same indications as the ZB Assets, and patients instead enroll in such clinical trials. Our inability to enroll a sufficient number of patients would result in significant delays in completing clinical trials or receipt of marketing approvals and increased development costs or may require us to abandon one or more clinical trials altogether.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results of preclinical studies and early clinical trials of the ZB Assets may not be predictive of the success of our later clinical trials, and the results of our clinical trials may not satisfy the requirements of the FDA, EMA, or other foreign regulatory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be required to demonstrate with substantial evidence through well-controlled clinical trials that the ZB Assets are safe and effective before we can seek marketing approval. Demonstrations of efficacy or an acceptable safety profile in prior preclinical studies of the ZB Assets do not mean that future clinical trials will yield the same results, and the translational work that we need to conduct may fail. For instance, we do not know whether the ZB Assets will perform in future preclinical studies or clinical trials as the ZB Assets have performed in preclinical studies and early clinical trials conducted by Pfizer and/or Lilly, as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 Assets may fail to demonstrate in later-stage clinical trials sufficient safety and efficacy to the satisfaction of the FDA, EMA, and other foreign regulatory authorities despite having progressed through preclinical studies and earlier stage clinical trials. Regulatory authorities may also limit the scope of later-stage trials until we have demonstrated satisfactory safety or efficacy results in preclinical studies or earlier-stage trials, which could prevent us from conducting the clinical trials we currently anticipate. There is no guarantee that the FDA, EMA, and other foreign regulatory authorities will consider the data obtained from prior trials sufficient to allow us to initiate clinical trials within the timelines we anticipate, or at all. Even if we are able to initiate our planned clinical trial on schedule, there is no guarantee that we will be able to complete such trial on the timelines we anticipate or that such trial will produce positive results. Any limitation on our ability to conduct clinical trials could delay or prevent regulatory approval or limit the size of the patient population that can be treated by the ZB Assets, if approved.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Preclinical and clinical development involves a lengthy and expensive process with uncertain outcomes, and results of earlier studies and trials may not be predictive of future clinical trial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clinical trials may not be conducted as planned or completed on schedule, if at all, and a failure of one or more clinical trials can occur at any stage. The outcome of preclinical studies and early-stage clinical trials may not be predictive of the success of later clinical trials, and the outcome of preclinical studies and early-stage clinical trials for a product candidate for a particular indication may not be predictive of the success of preclinical studies and early-stage clinical trials for the same product candidate for a different indication. Unexpectedly favorable results for the standard of care in any Phase 2 or Phase 3 trial could lead to unfavorable comparisons to the ZB Assets.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guarantee that any clinical trials will be initiated or conducted as planned or completed on schedule, if at all. We also cannot be sure that submission of an investigational new drug application (“IND”) or similar application will result in the FDA, EMA, or other regulatory authority,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timely or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contract research organizations (“CROs”) and clinical trial sites, the terms of which can be subject to extensive negotiation and may vary significantly among different CROs and clinical trial sites; delays in identifying, recruiting and training suitable clinical investigators; delays in obtaining required institutional review board (“IRB”) approval at each clinical trial site; failure to requalify drug substance or drug product for use in clinical trials; failure to demonstrate comparability of drug substance or drug product for regulatory authorization; delays in manufacturing, testing, releasing, validating or importing/exporting sufficient stable quantities of the ZB Assets for use in clinical trials, or the inability to do any of the foregoing; failure by our CROs, other third parties or us to adhere to clinical trial protocols; failure to perform in accordance with the FDA’s or any other regulatory authority’s good clinical practice requirements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contract manufacturing organization (“CMO”) and delays or failure by our CMOs or us to make any necessary changes to such manufacturing process; delays or failure in completing technology transfer for the ZB Assets; delays or failure in obtaining or releasing drug substance or drug product from licensors or third parties; licensors or third parties being unwilling or unable to perform quality control testing of drug substance or drug product; licensors or third parties being unwilling or unable to provide a right of reference to preclinical, manufacturing or clinical data for the ZB Assets; and licensors or third parties being unwilling or unable to satisfy their contractual obligations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EMA, or other regulatory authorities resulting in the imposition of a clinical hold, unforeseen safety issues or adverse side effects, failure to demonstrate a benefit from the ZB Assets, changes in governmental regulations or administrative actions or lack of adequate funding to continue the clinical trial. If we are required to conduct additional clinical trials or other testing of the ZB Assets beyond those that we currently contemplate, if we are unable to successfully complete clinical trials of the ZB Assets, if the results of these trials are not positive or are only moderately positive or if there are safety concerns, our business and results of operations may be adversely affected and we may incur significant additional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Preliminary, interim data from our clinical trials that we announce or publish may change as more patient data become available and are subject to audit and verification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publicly disclose preliminary data from our preclinical studies and clinical trials, which are based on a preliminary analysis of then-available data, and the results and related findings and conclusions are subject to change following a more comprehensive review of the data. We might also make assumptions, estimations, calculations and conclusions as part of our analyses of these data without the opportunity to fully and carefully evaluate complete data. As a result, the preliminary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ZB Assets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or interim data that we report differ from actual results, or if others, including regulatory authorities, disagree with the conclusions reached, our ability to obtain approval for, and commercialize, the ZB Assets may be harmed, which could harm our business, operating results, prospects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develop the ZB Assets in combination with other therapies, which exposes us to additional risks related to other agents or active pharmaceutical or biological ingredients used in combination with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may develop the ZB Assets to be used with one or more approved therapies. Even if any product candidate we develop were to receive marketing approval or be commercialized for use in combination with other existing therapies, we would continue to be subject to the risks that the FDA or other regulatory authorities could revoke approval of the therapy used in combination with our product candidates or that safety, efficacy, intellectual property, manufacturing or supply issues could arise with these existing therapies. This could result in our own products being removed from the market or being less successful commercially.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FDA or other regulatory authorities revoke their approval of these other therapies or revoke their approval of, or if safety, efficacy, manufacturing or supply issues arise with, the therapies we choose to evaluate in combination with any product candidate we develop, we may be unable to obtain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evaluate our future product candidates in combination with one or more other therapies that have not yet been approved for marketing by the FDA or other regulatory authorities. We will not be able to market any product candidate we develop in combination with any such unapproved therapies that do not ultimately obtain marketing approval. In addition, unapproved therapies face the same risks described with respect to our product candidates, including the potential for serious adverse effects, delays in clinical trials and lack of FDA approval.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ZB Assets may have a safety profile that could prevent regulatory approval, marketing approval or market acceptance, or limit commercial potential.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Patients in previous trials for the ZB Assets experienced adverse events. If the ZB Assets are associated with undesirable side effects or have unexpected characteristics in preclinical studies or clinical trials when used alone or in combination with other approved products or INDs, we may need to interrupt, delay or abandon development or limit development to more narrow uses or subpopulations in which such potential undesirable side effects or other characteristics may be less prevalent, less severe or more acceptable from a risk-benefit perspective. Treatment-related side effects could also affect patient recruitment or the ability of enrolled patients to complete the trials or result in potential product liability claims. Any of these occurrences may prevent us from achieving or maintaining market acceptance of the ZB Assets and may adversely affect our business, financial condition and prospects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if the ZB Assets receive marketing approval, we or others may later identify undesirable side effects or adverse events caused by the ZB Assets. In such cases, regulatory authorities may suspend, limit or withdraw approvals of or seek an injunction against their manufacture or distribution, require additional warnings on the label, including “boxed” warnings, or issue safety alerts, require press releases or other communications containing warnings or other safety information, require us to change the way the ZB Assets is administered or conduct additional clinical trials or post-approval studies, require us to create a risk evaluation and mitigation strategy (“REMS”) which could include a medication guide outlining the risks of such side effects for distribution to patients or impose fines, injunctions or criminal penalties. We could also be sued and held liable for harm caused to patients, and our reputation may suffer. Any of these events could prevent us from achieving or maintaining market acceptance of the ZB Assets, if approved, and could seriously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 Assets are protein therapeutics and thus carry the risk of provoking immune responses. For example, the formation of anti-drug antibodies (“ADA”) were observed in the majority of patients who were dosed with ZB-168 in a phase 1b trial in T1D mellitus, including 54.5% of patients who developed neutralizing ADA. Although these ADAs did not appear to affect drug concentrations based on visual inspection, there can be no assurance that ADAs will not develop in future studies that may reduce exposure or lead to adverse safety events. The development of ADA could also trigger hypersensitivity reactions that manifest as serious adverse events for the ZB Assets, including but not limited to anaphylaxis. If patients experience adverse events, including anaphylaxis, our trials could be delayed or stopped and our development programs may be halted entirely if this is observed during clinical development. Even if ADAs are not detected in early clinical trials, they may be detected after product launch and may significantly reduce the commercial potential or even result in the product being pulled from the market.</w:t>
      </w:r>
    </w:p>
    <w:p>
      <w:pPr>
        <w:pStyle w:val="TextBody"/>
        <w:bidi w:val="0"/>
        <w:spacing w:before="0" w:after="240"/>
        <w:ind w:left="0" w:right="0" w:hanging="0"/>
        <w:jc w:val="left"/>
        <w:rPr>
          <w:rFonts w:ascii="Times New Roman;Times;serif" w:hAnsi="Times New Roman;Times;serif"/>
          <w:b/>
          <w:sz w:val="20"/>
        </w:rPr>
      </w:pPr>
      <w:bookmarkStart w:id="80" w:name="RisksRelatedtoourDependenceonThirdPartie"/>
      <w:bookmarkEnd w:id="80"/>
      <w:r>
        <w:rPr>
          <w:rFonts w:ascii="Times New Roman;Times;serif" w:hAnsi="Times New Roman;Times;serif"/>
          <w:b/>
          <w:sz w:val="20"/>
        </w:rPr>
        <w:t>Risks Related to our Dependence on Third Parties or Their Actions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intend to rely on third parties to conduct, supervise, and monitor our preclinical studies and clinical trials, and if those third parties perform in an unsatisfactory manner, it may harm our business.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currently have the ability to independently conduct preclinical studies or clinical trials required to develop our product candidates. We intend to rely on CROs, clinical trial sites, and other third parties to ensure the proper and timely conduct of our preclinical studies and clinical trials, and we expect to have limited influence over their actual performance. We intend to rely upon CROs and others to monitor, manage, and report data for our clinical trials, which includes biostatistical analysis and programming. Our reliance on the CROs and others will not relieve us of our regulatory responsibilities.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our CROs, and other third parties we might engage will be required to comply with good laboratory practices (GLPs) and GCPs, which are regulations and guidelines enforced by the FDA and comparable foreign regulatory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and others to conduct GCP-compliant clinical trials, we remain responsible for ensuring that each of our GLP preclinical studies and clinical trials is conducted in accordance with our investigational plan and protocol and applicable laws and regulations, and our reliance on the CROs and others does not relieve us of our regulatory responsibilities. If we, CROs and other third parties we engage fail to comply with GCPs, the clinical data generated in our clinical trials may be deemed unreliable and the FDA or comparable foreign regulatory authorities may require us to perform additional clinical trials for approval. Accordingly, if our CROs or others fail to comply with these regulations or fail to recruit a sufficient number of participants, we may be required to repeat clinical trials, which would delay the regulatory approval process.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While we will have agreements governing their activities, CROs and other third parties we engage will not be our employees, and we will not control whether or not they devote sufficient time and resources to our programs. These CROs and others may also have relationships with other commercial entities, including our competitors, for whom they may also be conducting clinical trials, or other product development activities which could harm our business. We face the risk of potential unauthorized disclosure or misappropriation of our intellectual property by CROs and others, which may reduce our trade secret protection and allow our potential competitors to access and exploit our proprietary technology. In addition, certain of our agreements with CROs or other third parties provide for monetary and other limitations on their liability.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our relationships with any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an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product approval.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have our own manufacturing capabilities and will rely on third parties to produce clinical and commercial supplies of our product candidates. Reliance on third parties increases the risk that we will not have sufficient quantities of our product candidates or such quantities at an acceptable cost.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no or limited experience in drug formulation or manufacturing as a company, and we do not own or operate, and we do not expect to own or operate, facilities for drug manufacturing, storage and distribution, or testing. We will be dependent on third parties to manufacture the clinical supplies of our product candidates.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Further, we also will rely on third-party manufacturers to supply us with sufficient quantities of our product candidates, to be used, if approved, for commercialization. We do not have long-term supply agreements or commitments with a manufacturer to produce raw materials, active pharmaceutical ingredients or the finished products of our product candidates or the associated packaging.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adverse macroeconomic or geopolitical developments such as a health epidemic or pandemic, or the ongoing conflicts in Ukraine and the Middle East, could impact our ability to procure sufficient supplies for the development of our products and product candidates.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reliance on third-party manufacturers entails various risks, some of which we would not be subject to if we manufactured product candidates ourselves, including:</w:t>
      </w:r>
    </w:p>
    <w:p>
      <w:pPr>
        <w:pStyle w:val="TextBody"/>
        <w:bidi w:val="0"/>
        <w:spacing w:before="0" w:after="0"/>
        <w:ind w:left="0" w:right="0" w:firstLine="720"/>
        <w:jc w:val="both"/>
        <w:rPr/>
      </w:pPr>
      <w:r>
        <w:rPr/>
        <w:t>​</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meet our drug specifications and quality requirements consistently;</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inability to procure or expand sufficient manufacturing capacity;</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issues related to scale-up of manufacturing;</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validation of new equipment and facilities required for scale-up;</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cGMP or similar foreign standards;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negotiate manufacturing agreements with third parties under commercially reasonable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manufacturing agreements with third parties in a manner or at a time that is costly or damaging to us;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single sources for drug components or finished drug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qualified backup suppliers for components or finished drug product purchased from a sole or single source supplier;</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of proprietary information, including our trade secrets and know-how;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mislabeling of clinical supplies, potentially resulting, e.g., in the wrong dose amounts being supplied or study drug or placebo not being properly identified;</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supplies not being delivered to clinical sites on time, leading to clinical trial interruptions;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of our third-party manufacturers or suppliers being disrupted by conditions unrelated to our business or operations, including the bankruptcy of the manufacturer or supplier; and</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carrier disruptions or increased costs that are beyond our control.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 </w:t>
      </w:r>
    </w:p>
    <w:p>
      <w:pPr>
        <w:pStyle w:val="TextBody"/>
        <w:bidi w:val="0"/>
        <w:spacing w:before="0" w:after="240"/>
        <w:ind w:left="0" w:right="0" w:hanging="0"/>
        <w:jc w:val="left"/>
        <w:rPr>
          <w:rFonts w:ascii="Times New Roman;Times;serif" w:hAnsi="Times New Roman;Times;serif"/>
          <w:b/>
          <w:sz w:val="20"/>
        </w:rPr>
      </w:pPr>
      <w:bookmarkStart w:id="81" w:name="RisksRelatedtoOurIntellectualProperty_37"/>
      <w:bookmarkEnd w:id="81"/>
      <w:r>
        <w:rPr>
          <w:rFonts w:ascii="Times New Roman;Times;serif" w:hAnsi="Times New Roman;Times;serif"/>
          <w:b/>
          <w:sz w:val="20"/>
        </w:rPr>
        <w:t>Risks Related to Our Intellectual Property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licensing rights from Pfizer for ZB-168 that can be terminated in certain circumstances. If we breach the agreement, or if we are unable to satisfy our obligations under which we license rights to torudokimab from Pfizer, we could lose the ability to develop and commercialize ZB-168.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party to a license agreement with Pfizer under which we were granted rights to certain patents, know-how and technology that are important and necessary to our business, including for ZB-168. Our rights to use these patents and employ the inventions claimed therein, as well as the exploitation of licensed technology and know-how, are subject to the continuation of, and our compliance with, the terms of our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license agreement with Pfizer imposes upon us various diligence, payment and other obligations, including as described in the section entitled “</w:t>
      </w:r>
      <w:r>
        <w:rPr>
          <w:rFonts w:ascii="Times New Roman;Times;serif" w:hAnsi="Times New Roman;Times;serif"/>
          <w:i/>
          <w:sz w:val="20"/>
        </w:rPr>
        <w:t>Business — License Agreements — Pfizer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any of our obligations under the Pfizer Agreement, or we are subject to a bankruptcy or dissolution, Pfizer may have the right to terminate the license agreement, in which event we would not be able to market any ZB-168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heavily reliant upon the license from Pfizer to certain patent rights that are important or necessary to the development of ZB-168. Pfizer retains all rights not expressly granted by the license as well as retaining rights to make, have made, use and import ZB-168 or any products containing ZB-168 for all internal research, development and regulatory purposes, except that Pfizer does not have the right to conduct clinical trials to develop ZB-168 or any products containing ZB-168.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responsible for filing, prosecuting (including in connection with any reexaminations, oppositions and the like) and maintaining the licensed patent rights and to provide Pfizer a reasonable opportunity to review and comment on proposed submissions to any patent office and reasonably consider any comments provided by Pfizer. We must notify Pfizer prior to permitting any patent right to go abandoned. Pfizer may then choose at its option to continue prosecution or maintenance of said patent right and the license granted to us will become nonexclusive as to that right. The patents and patent applications licensed by Pfizer were not drafted by us or our attorneys, and we have not controlled or had any input into the prosecution of these patents and patent applications. We cannot be certain that drafting or prosecution of those patents and patent applications were conducted in compliance with applicable laws and regulations or will result in valid and enforceable patents.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Pfizer Agreement, we are required to prepare a development plan and use Commercially Reasonable Efforts (as that term is defined in the Pfizer Agreement) to develop and seek regulatory approval for ZB-168 in several countries and then to commercialize each product where regulatory approval is obtained. If we fail to comply with the obligations under our license agreement, or if we use the licensed intellectual property in an unauthorized manner, we may be required to pay damages and Pfizer may have the right to terminate the license. If our license agreement is terminated, we may not be able to develop, manufacture, market or sell the product candidate covered by our agreement and those being tested or approved in combination with such product. Such an occurrence could materially adversely affect the value of the product candidate being developed under any such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Pfizer Agreement, we have the first right, but not the obligation, to enforce the licensed patents at our expense. Without Pfizer’s consent, we may not settle any such initiated litigation that would (i) adversely affect the validity, enforceability or scope of any of the licensed patent rights, (ii) give rise to liability of Pfizer or its Affiliates, (iii) admit non-infringement of any licensed patent rights, or (iv) otherwise impair Pfizer’s rights in any licensed technology or the license agreement. If we decide not to enforce the licensed patents, our licensor has the option to enforce them and may determine not to pursue litigation against other companies that are infringing these patents, or may pursue such litigation less aggressively than is desirable. Without protection for the intellectual property we license, other companies might be able to offer substantially identical products for sale, which could adversely affect our competitive business position and harm our business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licensing rights from Lilly for torudokimab that can be terminated in certain circumstances. If we breach the agreement, or if we are unable to satisfy our obligations under which we license rights to torudokimab from Lilly, we could lose the ability to develop and commercialize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continue to develop and commercialize torudokimab is dependent on the use of certain intellectual property that is licensed to us from Lilly. The license sets forth certain terms and condition for maintaining the license. In the event that the terms and conditions are not met or we become insolvent or bankrupt, the license may be terminated and we will no longer be able to develop and commercialize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Lilly-Z33 License Agreement imposes upon us various diligence, payment and other obligations, as described in the section entitled “</w:t>
      </w:r>
      <w:r>
        <w:rPr>
          <w:rFonts w:ascii="Times New Roman;Times;serif" w:hAnsi="Times New Roman;Times;serif"/>
          <w:i/>
          <w:sz w:val="20"/>
        </w:rPr>
        <w:t>Business — License Agreements — Lilly-Z33 License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any of our obligations under the Lilly-Z33 License, Lilly may have the right to terminate the license agreement, in which event we would not be able to market any torudokimab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there is any dispute with Lilly regarding our rights under the Lilly-Z33 License, including if we are unable to meet our milestone obligations or become insolvent or bankrupt, our ability to develop and commercialize torudokimab may be adversely affected. Any uncured, material breach by us under the Lilly-Z33 License could result in our loss of exclusive rights to torudokimab and may lead to a complete termination of our product development efforts for torudokimab.</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licensing rights from Lilly for tibulizumab that can be terminated in certain circumstances. If we breach the agreement, or if we are unable to satisfy our obligations under which we license rights to tibulizumab from Lilly, we could lose the ability to develop and commercialize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continue to develop and commercialize tibulizumab is dependent on the use of certain intellectual property that is licensed to us from Lilly. The license sets forth certain terms and conditions for maintaining the license. In the event that the terms and conditions are not met or we become insolvent or bankrupt, the license may be terminated and we will no longer be able to develop and commercialize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license agreement with Lilly for tibulizumab imposes upon us various diligence, payment and other obligations, as described in the section entitled “</w:t>
      </w:r>
      <w:r>
        <w:rPr>
          <w:rFonts w:ascii="Times New Roman;Times;serif" w:hAnsi="Times New Roman;Times;serif"/>
          <w:i/>
          <w:sz w:val="20"/>
        </w:rPr>
        <w:t>Business — License Agreements — Lilly-ZB17 License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any of our obligations under the Lilly-ZB17 License, Lilly may have the right to terminate the license agreement, in which event we would not be able to market any tibulizumab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there is any dispute with Lilly regarding our rights under the Lilly-ZB17 License, including if we are unable to meet our milestone obligations or become insolvent or bankrupt, our ability to develop and commercialize tibulizumab may be adversely affected. Any uncured, material breach by us under the Lilly-ZB17 License could result in our loss of exclusive rights to tibulizumab and may lead to a complete termination of our product development efforts for tibulizumab.</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Intellectual property disputes may impact our business and/or our ability to develop and commercialize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Disputes may arise regarding intellectual property subject to, and any of our rights and obligations under, any license or other strategic agreement, including: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misappropriate or violate the intellectual property of the licensor that is not subject to the license agreement;</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 to third parties under any such agreement or collaborative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inventorship and ownership of inventions and know-how resulting from the joint creation or use of intellectual property by our licensors and us and our partners; and</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of invention of patented technology.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protect our patents and other proprietary rights is uncertain, exposing us to the possible loss of competitive advantage.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in large part on our ability to obtain and maintain patent protection for the ZB Assets and their uses, components, formulations, methods of manufacturing and methods of treatment, as well as our ability to operate without infringing on or violating the proprietary rights of others. We have licensed rights, including composition of matter patent families, related to the ZB Assets. Licensing assets from third parties involves technical and scientific due diligence to assess the opportunity, the strength of the intellectual property protection for the asset and the ability to commercialize the asset. This due diligence is usually conducted over a relatively short period of time. It can be difficult to identify all the issues relevant to the assessment. Failure to identify all the relevant issues can impact negatively on the value of the asset.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intellectual property strategy is, where appropriate, to file new patent applications on inventions, including improvements to existing products/ candidates and processes to improve our competitive edge or to improve business opportunities. We continually assess and refine our intellectual property strategy to ensure appropriate protection and rights are secured. Thus, we may be able to file patent applications in the United States and abroad related to our novel discoveries and technologies, for example new uses/methods of treatment, new formulations and improvements to manufacturing methods, that are important to our business, as opportunities arise.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Identifying and seeking patent protection is expensive and time consuming and we may not be able to file and prosecute all necessary or desirable patent applications at a reasonable cost, in a timely manner or in all jurisdictions where protection may be commercially advantageous, or we may financially not be able to protect our proprietary rights at all. Despite our efforts to protect our proprietary rights, unauthorized parties may be able to obtain and use information we regard as proprietary. Where possible, we seek to file for patent protection in commercial jurisdictions relevant to the product or technology; however, this is assessed on a case-by-case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future patent applications may not result in patents being issued which protect our technology or product candidates or which do not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application or certain patent claims from being issued.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issuance of a patent does not ensure that it is valid or enforceable. Therefore, even if we are issued a patent, it may not be valid or enforceable against third parties. Issued patents may be challenged, narrowed, invalidated or circumvented. In addition, court decisions may introduce uncertainty in the enforceability or scope of patents owned by pharmaceutical and biotechnology companies. Thus, any of our patents, including patents that we may rely on to protect our market for approved products, may be held invalid or unenforceable by a court.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patent applications in the United States, Europe and many other jurisdictions are typically not published until 18 months after filing, and because publications of discoveries in scientific literature lag behind actual discoveries, we cannot be certain that we or our licensors were the first to make the inventions claimed in our issued patents or future patent applications, or that we or our licensors were the first to file for protection of the corresponding inventions. As a result, we may not be able to obtain or maintain protection for certain inventions. Such patent protection may be of insufficient scope to achieve our business objectives.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issuance of a patent does not necessarily give us the right to practice the patented invention. Third parties may have blocking patents that prevent marketing of our products or working our own technology. We endeavor to identify early third-party patents and patent applications which may be block a product or technology, to minimize this risk. However, relevant patents or patent applications may be overlooked or missed, which may in turn impact our ability to commercialize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 of a patent depends upon the laws of the country in which it is issued. In most jurisdictions, including the United States, Europe, China and Japan, the basic patent term is 20 years from the earliest filing date of a non-provisional patent application, subject to the payment of renewal fees. Some jurisdictions, including the United States, Europe and Japan, provide for up to an additional five years as a patent term extension for therapeutic products that require marketing approval. The requirements for this supplementary protection are set by the relevant authorities in the given jurisdiction. Products approved before the expiry of the basic patent term may benefit from such a patent term extension. It is our strategy to apply for such supplementary protection, where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patent protection, statutory provisions in the United States, Europe and other jurisdictions may provide a period of clinical data exclusivity which may be followed by an additional period of market exclusivity to compensate for the time required for regulatory approval of our product candidates. Once the relevant criteria are satisfied, the protection applies. The length of protection depends on the jurisdiction and may also depend on the type of therapy.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 parties may seek to market “similar” versions of our approved products, if any. Alternatively, third parties may seek approval to market their own products, similar or otherwise, that compete with our products. We may not be able to block the commercialization of these products, which may erode our commercial position in the marketplace.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disputes over intellectual property and other rights that we have licensed, own in the future or co-own in the future prevent or impair our ability to maintain our licensing or exclusivity arrangements on acceptable terms, we may be unable to successfully develop and commercialize the affected product candidate.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enjoy only limited geographical protection with respect to our licensed patents and may not be able to protect our intellectual property rights throughout the world.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protect our intellectual property rights throughout the world and the legal systems in certain countries may not favor enforcement or protection of patents, trade secrets and other intellectual property. Filing, prosecuting and defending patents worldwide can be prohibitively expensive and our intellectual property rights in some foreign jurisdictions may be less extensive than those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Certain US patents have a longer patent term pursuant to patent term adjustment (35 U.S.C. §154(b)).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competitors may operate in countries where we do not have patent protection and can freely use our technologies and discoveries. For example, we may lack patent protection or pending patent applications in manufacturing countries such as China, India, and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 if patents are granted, they may be difficult to enforce in certain countries, for example, in China. Many countries have compulsory licensing laws under which a patent owner may be compelled to grant licenses to third parties. If we or any of our licensors is forced to grant a license to third parties with respect to any patents relevant to our business, our competitive position may be impaired, and our business and financial condition may be adversely affected.  Many countries also limit the enforceability of patents against government agencies or government contractors. In these countries, the patent owner may have limited remedies, which could materially diminish the value of such patent.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 maintenance and annuity fees on any issued patent are due to be paid to the United States Patent and Trademark Office (“USPTO”) and foreign patent agencies over the lifetime of a patent. In addition, the USPTO and other foreign patent agencies require compliance with a number of procedural, documentary, and other similar provisions during the patent application process. While an inadvertent failure to make payment of fees or to comply with such provisions can in many cases be cured by payment of a late fee or by other means in accordance with the applicable rules, there are situations in which such non-payment or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Issued patents covering one or more of our product candidates could be found invalid or unenforceable.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issued patents that we may license or own covering the ZB Assets could be narrowed or found invalid or unenforceable if challenged in court or before administrative bodies in the United States or abroad, including the USPTO. We may be subject to claims challenging the inventorship, validity, or enforceability of our patents and/or other intellectual property. Finally, changes in US patent law, or laws in other countries, could diminish the value of patents in general, thereby impairing our ability to protect the ZB Assets. Further, if we encounter delays in our clinical trials or delays in obtaining regulatory approval, the period of time during which we could market the ZB Assets under patent protection would be reduced. Thus, the patents that we own and license may not afford us any meaningful competitive advantage.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or our licensors may be subject to a third-party pre-issuance submission of prior art to the USPTO or become involved in opposition, derivation, revocation, reexamination, inter partes review, post-grant review or interference proceedings. An adverse determination in any such submission, proceeding or litigation could reduce the scope of, or invalidate, our patent rights, allow third parties to commercialize our technology or the ZB Assets and compete directly with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the ZB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maintain or enforce trade secret protection for our product candidates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seeking patents,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confidential information of our competitors or are in breach of non-competition or non-solicitation agreements with our competitors.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Ordinary Shares.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Uncertainties resulting from the initiation and continuation of patent litigation or other intellectual property related proceedings could adversely affect our ability to compete in the marketplace.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 terms may not protect our competitive position with respect to the ZB Assets for an adequate amount of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life of a patent, and the protection it affords, is limited. Once patents covering the ZB Assets have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licensed and owned patent portfolio may not provide us with sufficient rights to exclude others from commercializing products similar or identical to ours.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obtain patent term extension in the United States under the Hatch-Waxman Act and in foreign countries under similar legislation, our business may be materially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However, a patent extension cannot extend the remaining term of a patent beyond a total of 14 years from the date of product approval, only one patent applicable to an approved drug may be extended and only those claims covering the approved drugor its use it may be extended. Similar provisions are available in Europe and certain other non-United States jurisdictions to extend the term of a patent that covers an approved drug.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and when the ZB Assets receive FDA approval, we expect to apply for patent term extension on patents covering those ZB Assets, there is no guarantee that the applicable authorities will agree with our assessment of whether such extension should be granted, and even if granted, the length of such extension.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possible that we will not obtain patent term extension under the Hatch-Waxman Act for a U.S. patent covering one or more of the ZB Assets even where that patent is eligible for patent term extension, or if we obtain such an extension, it may be for a shorter period than we had sought.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detailed rules and requirements regarding the patents that may be submitted to the FDA for listing in the Licensed Biological Products with Reference Product Exclusivity and Biosimilarity or Interchangeability Evaluations (also known as the “Purple Book”), a searchable, online database that contains information about biological products, including biosimilar and interchangeable biological products, licensed (approved) by the FDA under the Public Health Service (PHS) Act. We may be unable to obtain patents covering those ZB Assets that contain one or more claims that satisfy the requirements for listing in the Purple Book. Even if we submit a patent for listing in the Purple Book, the FDA may decline to list the patent, or a manufacturer of biosimilar or interchangable drugs may challenge the listing. If the ZB Assets are approved and patents covering the ZB Assets are not listed in the Purple Book, a manufacturer of biosimilar or interchangablable drugs would not have to provide advance notice to us of any abbreviated new drug application filed with the FDA to obtain permission to sell a biosimilar or interchangable version of either of the ZB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to patent laws in the United States and other jurisdictions could diminish the value of patents in general, thereby impairing our ability to protect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either the patent laws or interpretation of patent laws in the United States, including patent reform legislation such as the Leahy-Smith America Invents Act (the “Leahy-Smith Act”) could increase the uncertainties and costs surrounding the prosecution of our future owned and in-licensed patent applications and the maintenance, enforcement or defense of our owned and in-licensed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challenge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patents, all of which could have a material adverse effect on our business,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patent positions of companies in the development and commercialization of biologics and pharmaceuticals are particularly uncertain. Recent US Supreme Court rulings have narrowed the scope of patent protection available in certain circumstances and altered the rights of patent owners in certain situations. This combination of events has created uncertainty with respect to the validity and enforceability of patents once obtained. Depending on future legislation by the US Congress, decisions by the federal courts and the USPTO, the laws and regulations governing patents could change in unpredictable ways that could have a material adverse effect on our patent rights and our ability to protect, defend and enforce our patent rights in the future. For example, in the case Amgen v. Sanofi, the Supreme Court held broad functional antibody claims invalid for lack of enablement. Similarly, in the case Juno v. Kite, the Federal Circuit held genus claims directed to CAR-T cells invalid for lack of written description for failing to provide disclosure commensurate with the scope of the claims. While we do not believe that any of the patents licensed or owned by us will be found wholly invalid based on these decisions,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identify relevant third-party patents or may incorrectly interpret the relevance, scope or expiration of a third-party patent, which might adversely affect our ability to develop and market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guarantee that any of our patent searches or analyses, including the identification of relevant third-party patents, the scope of said patent claims or the expiration of relevant patents, are complete, accurate or thorough, nor can we be certain that we have identified each and every third-party patent and pending application in the United States and abroad that is relevant to or necessary for the commercialization of the ZB Assets. The scope of a patent claim is determined by an interpretation of the law, the written disclosure in a patent and the patent’s prosecution history. Our interpretation of the relevance or the scope of a patent or a pending application may be incorrect. Our determination of the expiration date of any patent that we consider relevant may be incorrect. Our failure to identify and correctly interpret relevant patents may negatively impact our ability to develop and market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patents or our pending applications, or that we were the first to invent the technology. Our competitors may have filed, and may in the future file, patent applications covering the ZB Assets or technology similar to ours. Any such patent application may have priority over our patent applications or patents, which could require us to obtain rights to patents covering such technologies.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of our patents and other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such ownership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the ZB Assets or as a result of questions regarding co-ownership of potential joint inventions. Arbitration or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arbitration or litigation could result in substantial costs and be a distraction to management and other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patent infringement claims or may need to file claims to protect our intellectual property, which could result in substantial costs and liability and prevent us from commercializing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the intellectual property landscape in the biotechnology industry is rapidly evolving and is interdisciplinary, it is difficult to conclusively assess our freedom to operate without infringing on or violating third-party rights. If a third party successfully brings a claim against us, we may be required to pay substantial damages, be forced to abandon the ZB Assets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In addition, any uncertainties resulting from the initiation and continuation of any litigation could have a material adverse effect on our ability to raise funds at a particular market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sufficient.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we may be required to protect our patents through procedures created to challenge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any of the ZB Assets is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a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license from Pfizer is subject to retained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Pfizer retains certain rights under its license agreement with us, including (a) the right to make, have made, use and import the underlying technology for all internal research, development and regulatory purposes; provided, that Pfizer shall not have the right to conduct clinical trials to develop the underlying technology in the treatment, diagnosis or prevention of diseases in humans, (b) the right to use the licensed patent rights and know-how for purposes other than those exclusively license to us under the Pfizer Agreement and (c) the rights that have been provided by Pfizer to (i) a reagent supplier to make or sell the underlying technology or (ii) a non-commercial entity to use the underlying technology, in each case in the form of non- cGMP samples of the underlying technology in milligram quantities solely as a research reagent.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Pfizer may also use for any purpose information in non-tangible form which may be retained by persons who have had access to ZB-168 and the licensed know-how, including ideas, concepts or techniques contained therein.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difficult to monitor whether Pfizer limits its use of the technology to these uses, and we could incur substantial expenses to enforce our rights to our licensed technology in the event of misuse.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licenses from Lilly are subject to retained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Lilly retains certain rights under its license agreement with us, including the right to use the underlying technology for internal research, development and regulatory purposes. It is difficult to monitor whether Lilly limits its use of the technology to these uses, and we could incur substantial expenses to enforce our rights to our licensed technology in the event of misuse.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effectively secure first-tier technologies when competing against other companies or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may require that we acquire patent rights and know-how to new or complementary technologies. However, we compete with a substantial number of other companies that may also compete for technologies we desire. In addition, many venture capital firms and other institutional investors, as well as other biotechnology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Numerous factors may limit any potential competitive advantage provided by our intellectual property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degree of future protection afforded by our intellectual property rights, whether licensed or owned,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patent applications that we may file or license may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should they issue, that we own or license, may not provide us with any competitive advantages, or may be challenged and held invalid or unenforceable;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develop and/or practice technology that is similar to our technology or aspects of our technology but that is not covered by the claims of any of our owned or in-licensed patents, should any such patents issue;</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compete with us in jurisdictions where we do not pursue and obtain patent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 might not have been the first to make the inventions covered by a pending patent application that we own or license;</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 might not have been the first to file patent applications covering a particular invention;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without infringing our intellectual property rights;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and/or maintain necessary licenses on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assert an ownership interest in our intellectual property and, if successful, such disputes may preclude us from exercising exclusive rights, or any rights at all, over that intellectual property;</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the confidentiality of our trade secrets or other proprietary information;</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or in-license additional proprietary technologies that are patentable;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any of these events occur, they could significantly harm our business and results of operation.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approved, our product candidates that are regulated as biologics may face competition from biosimilars or interchangables approved through an abbreviated regulatory pathway.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Biologics Price Competition and Innovation Act of 2009, or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biologics license application (“BLA”) does not rely on the reference product,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if any of the ZB Assets is approved in the United States as a biological product under a BLA it would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or interchangeable of our product candidates could have a material adverse impact on our business due to increased competition and pricing pressure.</w:t>
      </w:r>
    </w:p>
    <w:p>
      <w:pPr>
        <w:pStyle w:val="TextBody"/>
        <w:bidi w:val="0"/>
        <w:spacing w:before="0" w:after="240"/>
        <w:ind w:left="0" w:right="0" w:hanging="0"/>
        <w:jc w:val="both"/>
        <w:rPr>
          <w:rFonts w:ascii="Times New Roman;Times;serif" w:hAnsi="Times New Roman;Times;serif"/>
          <w:b/>
          <w:sz w:val="20"/>
        </w:rPr>
      </w:pPr>
      <w:bookmarkStart w:id="82" w:name="RisksRelatedtoRegulatoryandLegalComplian"/>
      <w:bookmarkEnd w:id="82"/>
      <w:r>
        <w:rPr>
          <w:rFonts w:ascii="Times New Roman;Times;serif" w:hAnsi="Times New Roman;Times;serif"/>
          <w:b/>
          <w:sz w:val="20"/>
        </w:rPr>
        <w:t>Risks Related to Regulatory and Legal Compliance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regulatory approval processes of the FDA, EMA, and other foreign regulatory authorities are complex, time-consuming and inherently unpredictable. If we are not able to obtain, or if there are delays in obtaining, required regulatory approvals for the ZB Assets, we may not be able to commercialize, or may be delayed in commercializing, the ZB Assets, and our ability to generate revenue will be materially impaired.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process of obtaining regulatory approvals in the United States, European Union (“EU”), and other jurisdictions is complex, expensive and typically takes many years following commencement of clinical trials, if approval is obtained at all, and can vary substantially based upon a variety of factors, including the type, complexity and novelty of the product candidates involved. We cannot commercialize the ZB Assets without first obtaining regulatory approval from the FDA in the United States and comparable foreign regulatory authorities outside of the United States. Before obtaining regulatory approvals for the commercial sale of the ZB Assets, we must demonstrate through complex and expensive preclinical studies and clinical trials that the ZB Assets are both safe and effective for each targeted indication. Securing regulatory approval also requires the submission of information about the drug manufacturing process to, and inspection of manufacturing facilities by, the relevant regulatory authorities. Further, the ZB Assets may not be effective, may be only moderately effective or may prove to have undesirable or unintended side effects, toxicities or other characteristics that may preclude our obtaining marketing approval. The FDA, EMA, and comparable foreign regulatory authorities have discretion in the approval process and may refuse to accept any application or may decide that our data are insufficient for approval and require additional preclinical, clinical or other data. Any of the ZB Assets could be delayed in receiving, or fail to receive, regulatory approval for many reasons, including: the FDA, EMA, or comparable foreign regulatory authorities may disagree with the design or implementation of our clinical trials; we may be unable to demonstrate to the satisfaction of the FDA, EMA, or comparable foreign regulatory authorities that is the ZB Assets are safe and effective for their proposed indications; the results of clinical trials may not meet the level of statistical significance required by the FDA, EMA, or comparable foreign regulatory authorities for approval; serious and unexpected drug-related side effects may be experienced by participants in our clinical trials or by individuals using products similar to the ZB Assets; we may be unable to demonstrate that the clinical and other benefits of the ZB Assets outweigh their safety risks; the FDA, EMA or comparable foreign regulatory authorities may disagree with our interpretation of data from preclinical studies or clinical trials; the data collected from clinical trials of the ZB Assets may not be acceptable or sufficient to support the submission of a BLA or other submission or to obtain regulatory approval in the United States or elsewhere, and we may be required to conduct additional clinical trials; the FDA, EMA, or the applicable foreign regulatory authority may disagree regarding the formulation, labeling and/or the specifications of the ZB Assets; the FDA, EMA, or comparable foreign regulatory authorities may fail to approve the manufacturing processes or facilities of third-party manufacturers with which we contract for clinical or commercial supplies; and the approval policies or regulations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FDA, EMA, or comparable foreign regulatory authorities may significantly change in a manner rendering our clinical data insufficient for approval. Further, the approval requirements for the ZB Assets are likely to vary by jurisdiction such that success in one jurisdiction is not necessarily predicative of success elsewhere.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 the large number of products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the ZB Assets, which would significantly harm our business,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were to obtain approval, regulatory authorities may approve the ZB Assets for fewer or more limited indications than we request, including failing to approve the most commercially promising indications, may grant approval contingent on the performance of costly post-marketing clinical trials, or may approve the ZB Assets with a label that does not include the labeling claims necessary or desirable for the successful commercialization of the ZB Assets. If we are not able to obtain, or if there are delays in obtaining, required regulatory approvals for the ZB Assets, we may not be able to commercialize, or may be delayed in commercializing, the ZB Assets and our ability to generate revenue could be materially impaired.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will be subject to extensive ongoing regulatory obligations and continued regulatory review, which may result in significant additional expense and we may be subject to penalties if we fail to comply with regulatory requirements or experience unanticipated problems with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regulatory approvals that we may receive for the ZB Assets will require the submission of reports to regulatory authorities and surveillance to monitor the safety and efficacy of the ZB Assets, may contain significant limitations related to use restrictions for specified age groups, warnings, precautions or contraindications, and may include burdensome post-approval study or risk management requirements. In addition, if the FDA, EMA, or comparable foreign regulatory authorities approve the ZB Assets, the ZB Assets and the activities associated with their respective development and commercialization, including their design, testing, manufacture, safety, efficacy, recordkeeping, labeling, storage, approval, advertising, promotion, sale, distribution, import and export will be subject to comprehensive regulation by the FDA, EMA, and comparable foreign regulatory authorities. These requirements include submissions of safety and other post-marketing information and reports, registration, as well as ongoing compliance with current good manufacturing practices (“cGMPs”) and GCPs for any clinical trials that we conduct following approval. In addition, manufacturers of drug products and their facilities are subject to continual review and periodic, unannounced inspections by the FDA, EMA, and other regulatory authorities for compliance with cGMPs.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or a regulatory authority discover previously unknown problems with the ZB Assets, such as adverse events of unanticipated severity or frequency, or problems with the facilities where the ZB Assets are manufactured, a regulatory authority may impose restrictions on the ZB Assets, the manufacturing facility or us, including requiring recall or withdrawal of the ZB Assets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herein may inhibit our ability to commercialize the ZB Assets and generate revenue and could require us to expend significant time and resources to respond and could generate negative publicity.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FDA’s, EMA’s and other regulatory comparable authorities’ policies may change and additional government regulations may be enacted that could prevent, limit, delay, increase the cost or risks of obtaining regulatory approval of our product candidates, including if as a result new or more costly or difficult to achieve clinical trial or manufacturing quality requirements are imposed.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unfavorable pricing regulations and/or third-party coverage and reimbursement policies, we may not be able to offer the ZB Assets at competitive prices which would seriously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successfully commercialize the ZB Assets also will depend in part on the extent to which reimbursement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FDA, EMA and other regulatory agencies actively enforce the laws and regulations prohibiting the promotion of off-label uses.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one or more of the ZB Assets is approved and we are found to have improperly promoted off-label uses, we may become subject to significant liability. If we cannot successfully manage the promotion of the ZB Assets, if approved, we could become subject to significant liability, which would materially adversely affect our business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employees, independent contractors, consultants, commercial collaborators, principal investigators, CROs, suppliers and vendors acting for or on our behalf may engage in misconduct or other improper activities. We have adopted a Code of Conduct applicable to all employees of the Company,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the ZB Assets, if approved. See the section titled “Business — Government Regulation” for a more detailed description of the laws that may affect our ability to operate.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Ensuring that our internal operations and future business arrangements with third parties comply with applicable healthcare laws and regulations will involve substantial costs. Healthcare providers, physicians and third-party payors play a primary role in the recommendation and prescription of any product candidates for which we obtain regulatory approval. Our future arrangements with third-party payors may expose us to broadly applicable fraud and abuse and other healthcare laws and regulations that may constrain the business or financial arrangements and relationships through which we market, sell and distribute any product candidates for which we obtain regulatory approval.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size of the potential market for the ZB Assets is difficult to estimate and, if any of our assumptions are inaccurate, the actual markets for our product candidates may be smaller than our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and future target patient populations are based on our beliefs and estimates regarding the incidence or prevalence of certain types of the indications that may be addressable by the ZB Assets, which is derived from a variety of sources, including scientific literature and surveys of clinics. Our estimations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Even if we obtain significant market share for our product candidates, because the potential target populations could be small, we may never achieve profitability without obtaining regulatory approval for additional indications.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several legislative and regulatory changes and proposed changes regarding healthcare systems that could prevent or delay marketing approval of product candidates, restrict or regulate post-approval activities, and affect our ability to profitably sell any product candidates for which we obtain marketing approval.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that could impact our ability to sell our products profitably. In particular, in 2010, the Patient Protection and Affordable Care Act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has been heightened governmental scrutiny recently over the manner in which drug manufacturers set prices for their marketed products, which have resulted in several U.S. presidential executive orders, Congressional inquiries, proposed and enacted federal and state legislation, and other regulatory actions designed to, among other things, bring more transparency to product pricing, review the relationship between pricing and manufacturer patient programs, reform government program reimbursement methodologies for drug products, and otherwise reduce drug prices. For example, the Inflation Reduction Act of 2022 (“IRA”), among other things, (1) extends enhanced subsidies for individuals purchasing health insurance coverage through plan year 2025 in the Patient Protection and Affordable Care Act, as amended by the Health Care and Education Reconciliation Act, marketplaces, (2) eliminates the “donut hole” under the Medicare Part D program beginning in 2025 by significantly lowering the beneficiary maximum out-of-pocket cost and through a newly established manufacturer discount program, (3) directs HHS to negotiate the price of certain single-source drugs and biologics covered under Medicare and (4) imposes rebates under Medicare Part B and Medicare Part D to penalize price increases that outpace inflation. The IRA and related federal actions are likely to have a significant impact on the pharmaceutical industry.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what healthcare reform initiatives may be adopted in the future. We expect that these and other healthcare reform measures that may be adopted may result in more rigorous coverage criteria and in additional downward pressure on the price that we receive for any approved product. Reform measures that result in decreased physician reimbursement may adversely affect our business.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Since its enactment, there have been numerous judicial, administrative, executive, and legislative challenges to certain aspects of the ACA. It is unclear how other healthcare reform measures of the Biden or future administrations or other efforts, if any, to amend or challenge the ACA, will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legislative changes have been proposed and adopted in the United States since the ACA was enacted. 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the U.S. Department of Health and Human Services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On September 25, 2020, the HHS’s Centers for Medicare &amp; Medicaid Services (“CMS”) stated that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(“OECD”) countries with a similar gross domestic product per capita. However, the MFN rule was immediately challenged in federal courts and on August 6, 2021 CMS announced a proposed rule to rescind it.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In response to litigation, the Biden administration agreed to delay the effective date of the rule until January 1, 2023. Further, implementation of these changes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 The effect of these legislative and executive activities on our business model and operations is currently unclear.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external partners are subject to complex environmental, health and safety laws and regulations, including those governing laboratory procedures, the handling, use, storage, treatment and disposal of hazardous materials and wastes, and the rehabilitation of contaminated sites. Our operations, including those performed by our external partners, may involve the use of hazardous and flammable materials, including chemicals and biological and radioactive materials. In addition, we and/or our external partners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laws and regulations related to privacy, data protection, information security and consumer protection across different markets where we conduct our business. Our actual or perceived failure to comply with such obligations could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laws and regulations related to, among other things, privacy, data protection, information security and consumer protection across different markets where we conduct our business. Such laws and regulations are constantly evolving and changing and are likely to remain uncertain for the foreseeable future. Our actual or perceived failure to comply with such obligations could have an adverse effect on our business, operating results and financial operations. Complying with these numerous, complex, and often changing regulations is expensive and difficult, and failure to comply with any privacy laws or data security laws or any security incident or breach involving the potential or actual misappropriation, loss or other unauthorized processing, use or disclosure of sensitive or confidential patient, consumer or other personal information, whether by us, one of our collaborators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European data collection is also governed by restrictive regulations governing the use, processing and cross-border transfer of personal information. The collection, use, storage, disclosure, transfer, or other processing of personal data regarding individuals in Europe, including personal health data, is subject to the EU General Data Protection Regulation (“GDPR”), which imposes strict requirements for processing the personal data of individuals within the European Economic Area (the “EEA”), such as Norway, Iceland and Liechtenstein. The GDPR is directly applicable in each EU member state and is extended to the EEA.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implements more stringent operational requirements than its predecessor legislation.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For example, the GDPR applies extraterritorially, requires us to make more detailed disclosures to data subjects, requires disclosure of the legal basis on which we can process personal data, makes it harder for us to obtain valid consent for collecting and processing personal data (including data from clinical trials), requires the appointment of data protection officers, such as when sensitive personal data, such as health data, is processed on a large scale, provides more robust rights for data subjects, including far reaching information rights and the right to erasure,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and EEA countries may establish their own laws and regulations that go beyond the GDPR in certain areas, such as regarding the mandatory appointment of data protection officers or further limiting the processing of personal data, including genetic, biometric, or health data, which could limit our ability to use and share personal data or could cause our costs to increase.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the United States agreed to a transfer framework for data transferred from the EU to the United States, called the Privacy Shield, but the Privacy Shield was invalidated in July 2020 by the Court of Justice of the European Union (“CJEU”).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After Brexit the United Kingdom is also a third country from an EU perspective, but the EU Commission adopted adequacy decisions for the United Kingdom on June 28, 2021 largely permitting the free flow of data from the EU to the United Kingdom. However, for the first time, the adequacy decisions include a so-called “sunset clause” and, therefore, will automatically expire four years after their entry into force.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our third-party service providers with access to our or our customers’, suppliers’, trial patients’ and employees’ personally identifiable and other sensitive or confidential information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a compliance program in place consistent with Federal agencies’ guidances on corporate compliance 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established a formal compliance function with the independence and resources that Federal regulators would expect of established corporate compliance programs. We are in the process of developing policies and procedures for compliance training, auditing, and monitoring activities. We have not established a dedicated Chief Compliance Officer. Accordingly, risks associated with regulatory schemes described herein may arise undetected and unmitigated by corporate leadership. Furthermore, any potential enforcement action for regulatory violations might result in compliance obligations in addition to fines, penalties, or administrative actions (e.g., U.S. Department of Justice monitorships or U.S. Department of Health and Human Services, Office of Inspector General Corporate Integrity Agreements).</w:t>
      </w:r>
    </w:p>
    <w:p>
      <w:pPr>
        <w:pStyle w:val="TextBody"/>
        <w:bidi w:val="0"/>
        <w:spacing w:before="0" w:after="240"/>
        <w:ind w:left="0" w:right="0" w:hanging="0"/>
        <w:jc w:val="both"/>
        <w:rPr>
          <w:rFonts w:ascii="Times New Roman;Times;serif" w:hAnsi="Times New Roman;Times;serif"/>
          <w:b/>
          <w:sz w:val="20"/>
        </w:rPr>
      </w:pPr>
      <w:bookmarkStart w:id="83" w:name="RisksRelatedtoOurBusinessOperationsEmplo"/>
      <w:bookmarkEnd w:id="83"/>
      <w:r>
        <w:rPr>
          <w:rFonts w:ascii="Times New Roman;Times;serif" w:hAnsi="Times New Roman;Times;serif"/>
          <w:b/>
          <w:sz w:val="20"/>
        </w:rPr>
        <w:t>Risks Related to Our Business Operations, Employee Matters, and Managing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key personnel and anticipate hiring new key personnel. If we are not successful in attracting and retaining qualified personnel, including consultants, we may not be able to successfully implement our business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compete in the highly competitive biotechnology and pharmaceutical industries depends upon our ability to attract and retain qualified managerial, scientific and medical personnel. We are dependent on our managerial, scientific and medical personnel, including our Chief Executive Officer, Chief Operating Officer, Chief Medical Officer, Chief Financial Officer and Chief Scientific Officer.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 We have relied upon and plan to continue to rely upon third parties, including consultants, to act in management roles for the Company. While we have agreements with such third parties, we do not have the same ability to influence their time commitment to the Company as we would if they were employees. Furthermore, we are dependent on our ability to attract, hire, relocate and retain qualified managerial, scientific and medical personnel from various jurisdictions. Therefore, immigration requirements may have a significant influence on our human resources planning. Immigration applications can take several months or more to be finalized. If we are unable to complete the requisite visa applications, either as a result of changing requirements or otherwise, our ability to successfully implement our business strategy could suffer, which could have a material adverse effect on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 parties, including consultants,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other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other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with respect to investigator-sponsored trials that may be conducted, we do not control the design or conduct of these trials, and it is possible that the FDA or EMA will not view these investigator- 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order to successfully implement our plans and strategies, we will need to grow the size of our organization and we may experience difficulties in managing this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experience significant growth in the number of our employees and/or number of consultants as well as the scope of our operations, particularly in the areas of drug development, clinical operations, regulatory affairs and, potentially, others. To manage our anticipated future growth, we must continue to implement and develop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the ZB Assets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utilize and depend upon independent investigators and collaborators, such as medical institutions, CROs, CDMOs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product candidates in clinical development. If we or any of these third parties fail to comply with applicable GCP regulations,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even if responsibilities have been outlined in agreements with external partners, such as CROs. In addition, our clinical trials must be conducted with product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third parties conducting our clinical trials will not be our employees and, except for remedies available to us under our agreements with such third parties, we cannot control whether they devote sufficient time and resources to the ZB Assets.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the ZB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intend to rely on third parties to manufacture the ZB Assets. There can be no assurance that we will successfully negotiate future agreements with third-party manufacturers for the ZB Assets on acceptable terms or at all. Our business could be adversely affected if the third-party manufacturers are unable to produce the ZB Assets, fail to provide us with sufficient quantities of the ZB Assets or fail to do so at acceptable quality levels or prices.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currently own or operate any facility that may be used to manufacture the ZB Assets (including any drug substance or finished drug product) and must rely on CDMOs to produce them for us. We have not yet validated the commercial scale and may not be able to do so for the ZB Assets for approval. For tibulizumab, we do not currently own any cGMP compliant drug product and will not be able to conduct any clinical trials until we do. There can be no assurance that we will successfully negotiate agreements with CDMOs to manufacture future ZB Assets on acceptable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participated in the manufacturing process of, and are completely dependent on, our contract manufacturing partners for manufacture of the ZB Assets and for compliance with cGMP requirements and any other regulatory requirements of the FDA or other regulatory authorities for the manufacture of the ZB Assets. If our partners do not successfully carry out their contractual duties, meet expected deadlines, or manufacture the ZB Assets in accordance with regulatory requirements, or if there are disagreements between us and our CDMO, we will not be able to complete, or may be delayed in completing, the clinical trials required to support approval of the ZB Assets or the FDA, EMA or other regulatory agencies may refuse to accept our clinical or preclinical data. If the FDA, EMA, or a comparable foreign regulatory authority does not approve these facilities for the manufacture of the ZB Assets or if it withdraws any approval in the future, we may need to find alternative manufacturing facilities, which would require the incurrence of significant additional costs and materially and adversely affect our ability to develop, obtain regulatory approval for or market the ZB Assets, if approved. Similarly, our failure, or the failure of our CDMOs, to comply with applicable regulations could result in sanctions being imposed on us, including fines, injunctions, civil penalties, delays, suspension or withdrawal of approvals, license revocation, seizures or recalls of the ZB Assets, operating restrictions and criminal prosecutions, any of which could significantly and adversely affect supplies of the ZB Assets and harm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if any CDMO on which we will rely are unable to produce the ZB Assets at all, or fail to manufacture quantities of the ZB Assets at quality levels necessary to meet our clinical requirements, or regulatory requirements at a scale sufficient to meet anticipated demand, and at a cost that allows us to continue development and to achieve profitability, our business, financial condition and prospects could be materially and adversely affected. Our business could be similarly affected by business disruptions to our third-party providers with potential impacts on our future revenue and financial condition and our costs and expenses. If any CDMOs we contract with are unable to meet our timelines or cost and quantity demands, we may need to find additional CDMOs and negotiate new manufacturing agreements. We may also incur substantial fees if we contract with a CDMO to access a cell-line and may incur substantial fees if we ultimately decide not to use that cell-line or that CDMO for the manufacturing of the ZB Assets and need to obtain resources elsewhere. Each of these risks could delay or prevent the commencement as well as the completion of our clinical trials or the approval of the ZB Assets by the FDA, including by causing us to have to rerun clinical studies, which would result in higher costs and could adversely impact the commercialization of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some third party CDMOs have intellectual property, such as patents and/or know-how for which they require an annual fee, milestones and/or royalties. These financial obligations increase the overall cost of goods and can reduce profitability or reduce the valuation of the product. We have such agreements in place, and may need additional agreements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 the future, form or seek collaborations or strategic alliances or enter into licensing arrangements, and we may not realize the benefits of such collaborations, alliances or licensing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in the future, form or seek strategic alliances, create joint ventures or collaborations, or enter into licensing arrangements with third parties that we believe will complement or augment our development and commercialization efforts with respect to the ZB Assets and/or the Company more broadly. Any of these relationships may require us to increase our near and long-term expenditures, issue securities that dilute our existing shareholders or disrupt our management and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Further, collaborations involving our product candidates are subject to numerous risks, which may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a collaboration;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stop a clinical trial,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products may not commit sufficient resources to their marketing and distribution;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protect our intellectual property or proprietary information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and, if terminated, may result in a need for additional capital to pursue further development or commercialization of the applicable product candidate;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own or co-own intellectual property covering our product candidates that results from our collaborating with them, and in such cases, we would not have the exclusive right to such intellectual property or may require a license from the collaborator for such intellectual property in order to commercialize the product candidate and/or discourage generic competition.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increasing use of social media platforms presents new risks and challenges.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 or products. If any of these events were to occur or we otherwise fail to comply with applicable regulations, we could incur liability, face regulatory actions or incur other harm to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disclosure controls and procedures may not prevent or detect all errors or acts of fraud.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we could fail to recognize actual or potential conflicts arising from the relationship or arrangement that our directors or executive officers have with another company.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identify material weaknesses in our internal control over financial reporting in the future or fail to maintain an effective system of internal control over financial reporting, which may result in material misstatements of our consolidated financial statements or cause us to fail to meet periodic reporting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Zura is required to comply with SEC rules that implement Section 404 of the Sarbanes-Oxley Act and make an ongoing, formal assessment of the effectiveness of our internal controls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the measures we have taken to date, and actions we may take in the future, will prevent or avoid control deficiencies that could lead to material weaknesses in our internal control over financial reporting in the future. Our current controls, and any new controls that we develop, may become inadequate because of changes in conditions in our business. Further, deficiencies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performed a formal evaluation of our internal control over financial reporting under the supervision and with the participation of management, including our principal executive officer and principal financial officer, as required by Section 404 of the Sarbanes-Oxley Act. We have not engaged an independent registered public accounting firm to  perform an audit of our internal control over financial reporting as of any balance sheet date or for any period reported in our financial statements. We will be required to evaluate and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Zura and, as a result, the market price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comply with the requirements of the Sarbanes-Oxley Act of 2002, or the Sarbanes-Oxley Act, including, among other things, that we maintain effective disclosure controls and procedures and internal control over financial reporting. We continue to develop and refine our  disclosure controls and other procedures that are designed to ensure that information we are required to disclose in the reports that we will file with the SEC are recorded, processed, summarized, and reported within the time periods specified in SEC rules and forms and that information required to be disclosed in reports under the Securities Exchange Act of 1934, as amended, or the Exchange Act, is accumulated and communicated to our management, including our principal executive and financial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must continue to improve our internal control over financial reporting. We are currently required to make a formal assessment of the effectiveness of our internal control over financial reporting.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ordinary shares. In addition, we could be subject to sanctions or investigations by the stock exchange on which our ordinary shares are listed, the SEC and other regulatory authorities.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Increasing regulatory focus on privacy and security issues and expanding laws and regulatory requirements could impact our business models and expose us to increased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global data protection, privacy and security laws, regulations and codes of conduct that relate to our business activities, which may include sensitive, confidential, and personal information. These laws, regulations and codes are inconsistent across jurisdictions and are subject to evolving and differing (sometimes conflicting) interpretations. Government officials and regulators, privacy advocates and class action attorneys are increasingly scrutinizing how companies collect, process, use, store, share and transmit personal data. This scrutiny can result in new and shifting interpretations of existing laws, thereby further impacting our business. For example, the General Data Protection Regulation (“GDPR”) in the European Economic Area, and the United Kingdom continues to be interpreted by European and UK courts in novel ways leading to shifting requirements, country specific differences in application and uncertain enforcement priorities. More recently enacted laws, such as the Personal Information Protection Law in China, and new and emerging state laws in the United States on privacy, data and related technologies, such as the California Consumer Privacy Act, the California Privacy Rights Act, the Colorado Privacy Act and the Virginia Consumer Data Protection Act, as well as industry self-regulatory codes and regulatory requirements, create new privacy and security compliance obligations and expand the scope of potential liability, either jointly or severally with our customers and suppliers. As a security example, pursuant to the U.S. Securities and Exchange Commission’s Rules on Cybersecurity Risk Management, Strategy, Governance, and Incident Disclosure we are required to make certain disclosures related to material cybersecurity incidents and the reasonably likely impact of such an incident on Form 8-K and will be required to make certain other cybersecurity disclosures on Form 10-K. Determining whether a cybersecurity incident is notifiable or reportable may not be straightforward and any such mandatory disclosures could be costly and lead to negative publicity, loss of customer confidence in the effectiveness of our security measures, diversion of management’s attention and governmental investigations.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invested in readiness to comply with applicable requirements, the dynamic and evolving nature of these laws, regulations and codes, as well as their interpretation by regulators and courts, may affect our ability to implement our business models effectively and to adequately address disclosure requirements. These laws, regulations and codes may also impact our innovation and business drivers and may force us to bear the burden of more obligations. Perception of our practices, products, services or solutions, even if unfounded, as a violation of individual privacy, data protection rights or cybersecurity requirements, subjects us to public criticism, lawsuits, investigations, claims and other proceedings by regulators, industry groups or other third parties, all of which could disrupt or adversely impact our business and reputation and expose us to increased liability, fines and other punitive measures including prohibition on sales of our products, services or solutions, restrictive judicial orders and disgorgement of data.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substantial competition, which may result in others discovering, developing, licensing or commercializing products before or more successfully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pharmaceutical companies that develop and/or market products for the indications we are pursuing are likely to represent substantial competition. These include companies actively developing and/or marketing IL-7R inhibitors (such as Q32 Bio Inc. and OSE Immunotherapeutics SA); as well as TSLPR inhibitors (such as Upstream Bio, Inc.), IL-33 inhibitors (such as Regeneron/Sanofi and AstraZeneca), ST2 inhibitors (such as Roche/Genentech), IL-17A inhibitors (such as MoonLake, Novartis, and Acelryin), and BAFF inhibitors (such as GSK). The above mechanisms may be of potential therapeutic use in one or more of the indications we plan to pursue in the Phase 2 program. If the ZB Assets do not offer sustainable advantages over competing products, we may otherwise not be able to successfully compete against current and future competitors.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competitors may obtain regulatory approval of their products more rapidly than we may or may obtain patent protection or other intellectual property rights that limit our ability to develop or commercialize the ZB Assets. Our competitors may also develop drugs that are more effective, more convenient, more widely used or less costly or have a better safety profile than the ZB Assets and these competitors may also be more successful than us in manufacturing and marketing their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we also face competition more broadly across the market for existing cost-effective and reimbursable treatments for T-cell and B-cell mediated diseases, autoimmune diseases, and inflammatory diseases. The ZB Assets, if approved, may compete with these existing drug and other therapies but may not be competitive with them in price. We expect that if the ZB Assets are approved, they will be priced at a significant premium over generic, including branded generic, products. As a result, obtaining market acceptance of, and gaining significant share of the market for the ZB Assets will pose challenges.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health crises such as pandemics or similar outbreaks have affected and could continue to seriously and adversely affect our preclinical studies and anticipated clinical trials,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pandemics, related “shelter in place” orders and other public health guidance measures, we may experience disruptions that could seriously harm our business. Potential disruptions include but are not limited to: delays or difficulties in enrolling patients in, initiating or expanding our clinical trials, including delays or difficulties with clinical site initiation and recruiting clinical site investigators and clinical site staff; increased rates of patients withdrawing from our clinical trials following enrollment as a result of contracting COVID-19 or other health conditions or being forced to quarantine; interruption of key clinical trial activities, such as clinical trial site data monitoring and efficacy, safety and translational data collection, processing and analyses, due to limitations on travel imposed; recommendations by federal, state or local governments, employers and others or interruptions of clinical trial subject visits, which may impact the collection and integrity of subject data and clinical trial endpoints; diversion of healthcare resources away from the conduct of clinical trials, including the diversion of hospitals serving as our clinical trial sites and hospital staff supporting the conduct of our clinical trials; delays or disruptions in preclinical experiments and IND-enabling studies due to restrictions of on-site staff and unforeseen circumstances at CROs and vendors; interruption or delays in the operations of the FDA, EMA, and comparable foreign regulatory authorities including delays in receiving approval from local regulatory authorities to initiate our planned clinical trials; interruption of, or delays in receiving, supplies of the ZB Assets due to staffing shortages, raw materials shortages, production slowdowns or stoppages and disruptions in delivery systems; and 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Pandemics and other public health guided measures may also affect the ability of the FDA, EMA, and other regulatory authorities to perform routine functions.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extent to which pandemics evolve may affect our clinical trials, business, financial condition and results of operations will depend on future developments, which are highly uncertain and cannot be predicted, such as the duration of the pandemic, new or continued travel restrictions and actions to contain the outbreak or treat its impact, such as social distancing and quarantines or lock-downs, business closures or business disruptions. Future developments in these and other areas present material uncertainty and risk with respect to our clinical trials,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Pandemics and other similar disruptions may also have the effect of heightening many of the other risks described in this “Risk Factors” section.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operations, financial position, and clinical development plans and timelines could be materially adversely affected by international conflict.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position and operations may be materially and adversely affected by international conflicts, including military action (e.g., in Ukraine and Israel) and economic sanctions imposed by certain governments. These conflicts may impact our ability to carry out clinical development activities in certain countries or regions. As our ability to continue to operate will be dependent on raising debt and equity finance, any adverse impact to those markets as a result of international conflict, including due to increased market volatility, decreased availability in third-party financing and/or a deterioration in the terms on which it is available (if at all), could negatively impact our business, operations or financial position. The extent of any potential impact is not yet determinable, however.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Third-party manufacturers in other countries may be subject to U.S. legislation or investigations, including the proposed BIOSECURE Act, sanctions, trade restrictions, and other foreign regulatory requirements, which could increase the cost or reduce the supply of material available to us, delay the procurement or supply of such material, delay or impact clinical trials, and could adversely affect our financial condition and business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rely on WuXi Biologics (Shanghai) as the sole supplier of torudokimab. Accordingly, there is a risk that supplies of torudokimab may be significantly delayed by, or may become unavailable as a result of manufacturing, equipment, process, regulatory, or business-related issues affecting that company. We may also face additional manufacturing and supply-chain risks due to the regulatory and political structure of the PRC, or as a result of the international relationship with the PRC, including but not limited to potential sanctions imposed by the U.S. government on WuXi. Although currently there has been no impact on our ability to obtain supply of torudokimab, and we are developing risk mitigation plans to strengthen our supply chain by moving certain activities outside of WuXi Biologics’ Chinese facilities, there can be no assurance that operations would not be impacted in the future with a negative impact on the supply of, or use of, torudokimab.</w:t>
      </w:r>
    </w:p>
    <w:p>
      <w:pPr>
        <w:pStyle w:val="TextBody"/>
        <w:bidi w:val="0"/>
        <w:spacing w:before="0" w:after="240"/>
        <w:ind w:left="0" w:right="0" w:hanging="0"/>
        <w:jc w:val="both"/>
        <w:rPr>
          <w:rFonts w:ascii="Times New Roman;Times;serif" w:hAnsi="Times New Roman;Times;serif"/>
          <w:b/>
          <w:sz w:val="20"/>
        </w:rPr>
      </w:pPr>
      <w:bookmarkStart w:id="84" w:name="RisksRelatedtoOwnershipofOurClassAOrdina"/>
      <w:bookmarkEnd w:id="84"/>
      <w:r>
        <w:rPr>
          <w:rFonts w:ascii="Times New Roman;Times;serif" w:hAnsi="Times New Roman;Times;serif"/>
          <w:b/>
          <w:sz w:val="20"/>
        </w:rPr>
        <w:t>Risks Related to Ownership of Our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of our securities may be volatile and may decline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consummation of the Business Combination, the market value of our securities has fluctuated. Future fluctuations in the price of our securities could contribute to the loss of all or part of a shareholder’s investment. 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If an active market for our securities continues, the market price of our ordinary shares may fluctuate significantly in response to numerous factors, some of which are beyond our control, such as:</w:t>
      </w:r>
    </w:p>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the ZB Assets, if approved;</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and cost of our marketing commitments for the ZB Assets;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results of any clinical trials relating to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serious safety concerns related to the use of the ZB Assets;</w:t>
            </w:r>
          </w:p>
        </w:tc>
      </w:tr>
    </w:tbl>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the ZB Assets, including but not limited to clinical trial requirements for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disputes or other developments relating to proprietary rights, including patents, litigation matters and our ability to obtain patent protection for the ZB Assets, government investigations and the results of any proceedings or lawsuits, including, but not limited to, patent or shareholder litigation;</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decision to initiate a clinical trial, not initiate a clinical trial or to terminate an existing clinical trial;</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third parties;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introduction of new products by our competitors;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and trends in the pharmaceutical and biotechnology sectors;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product development results or intellectual property rights of others;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ordinary shares or other securities;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any financial guidance or expectations regarding product development milestones that we may provide to the public;</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quarterly operating results;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or exceed the estimates and projections of the investment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 and other factors that may be unrelated to our operating performance or the operating performance of our competitors, including changes in market valuations of similar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us or by any securities analysts who might cover our shares;</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of the market values of any of our potential strategic investments;</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debt or equity securities;</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our contractual obligations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Zura Class A Ordinary Shares by us or our shareholders in the future;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Zura Class A Ordinary Shares;</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ineffectiveness of our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political and economic conditions;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natural or man-made catastrophic events;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public health crises, pandemics and epidemics; and</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are beyond our control.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the equity markets in general have recently experienced extreme price and volume fluctuations. Continued market fluctuations could result in extreme volatility in the price of Zura Class A Ordinary Shares, which could cause a decline in the value of our ordinary shares. Price volatility of Zura Class A Ordinary Shares might worsen if the trading volume oftsour ordinary shares is low. In the past, shareholders have initiated class action lawsuits against pharmaceutical and biotechnology companies following periods of volatility in the market prices of these companies’ share. Such litigation, if instituted against Zura, could cause it to incur substantial costs and divert management’s attention and resources fromour business. The realization of any of the above risks or any of a broad range of other risks, including those described in these “Risk Factors,” could have a dramatic and material adverse impact on the market price of Zura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paid cash dividends in the past and we does not expect to pay cash dividends in the foreseeable future. Any return on investment may be limited to the capital appreciation, if any, of Zura Class A Ordinary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paid cash dividends on our ordinary shares and we does not anticipate paying cash dividends on our ordinary shares in the foreseeable future. The payment of dividends on our capital shares will depend on our earnings, financial condition and other business and economic factors affecting us at such time as the board of directors may consider relevant. Since we do not intend to pay dividends, a shareholder’s ability to receive a return on such shareholder’s investment will depend on any future appreciation in the market value of our ordinary shares. There is no guarantee that Zura Class A Ordinary Shares will appreciate or even maintain the price at which our shareholders have purchased 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sales of a substantial number of Zura Class A Ordinary Shares may cause the price of our ordinary shares to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existing shareholders sell, or indicate an intention to sell, substantial amounts of the Zura Class A Ordinary Shares, the trading price of the Zura Class A Ordinary Shares could decline and it could impair our ability to raise capital through the sale of additional equity securities. The Zura shareholders and certain directors and equity holders of JATT, including the Sponsor, are subject to lock-up provisions that restrict their ability to transfer Zura Class A Ordinary Shares or any security convertible into or exercisable or exchanged for Zura Class A Ordinary Shares until 6 months, 12 months and 24 months, as applicable, from the Effective Time, subject to certain exceptions.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Sales and issuances of our Class A Ordinary Shares and future exercise of warrants or registration rights, could result in additional dilution of the percentage ownership of our shareholders and could cause our share price to fall.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sell our Class A Ordinary Shares,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Ordinary Shares. Sales of a substantial number of shares of our Class A Ordinary Shares in the public market, including the resale of the Class A Ordinary Shares held by our shareholders, could occur at any time. These sales, or the perception in the market that the holders of a large number of Class A Ordinary Shares intend to sell shares, could reduce the market price of our Class A Ordinary Shares. Of the 43,593,678 Class A Ordinary Shares outstanding as of March 26, 2024, an aggregate of 4,162,969 shares are currently subject to various restrictions on transfer until March 20, 2025. These shares will become eligible for public sale on March 21, 2025. Pursuant to our Amended and Restated Registration and Stockholder Rights Agreement, dated March 20, 2023, by and among us and the shareholders party thereto (the “Registration Rights Agreement”), certain shareholders are entitled to have a registration statement kept effective for a prolonged period of time such that registered resales of their Class A Ordinary Shares can be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obligations under the Registration Rights Agreement, we have filed a registration statement, which the SEC declared effective on September 14, 2023, to include 30,251,124 Class A Ordinary Shares, 5,910,000 warrants to purchase our Class A Ordinary Shares, and 16,591,996 Class A Ordinary Shares issuable upon exercise of warrants. After it is effective and until such time that it is no longer effective, the registration statement registering such securities will permit the resale of these shares. The resale, or expected or potential resale, of a substantial number of shares of our Class A Ordinary Shares in the public market could adversely affect the market price for our Class A Ordinary Shares and make it more difficult for you to sell your holdings at times and prices that you determine are appropriate. Furthermore, we expect that, because there is a large number of shares being registered pursuant to the registration statement initially filed with the SEC on June 14, 2023 and declared effective on September 14, 2023, the Selling Securityholders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Class A Ordinary Shares is also subject to potential dilution from the exercise of warrants and stock options, the issuance of Class A Ordinary Shares pursuant to the vesting of restricted stock units, and issuance of Class A Ordinary Shares in connection with future equity and or convertible debt financings. Sales of substantial numbers of such shares in the public market, including the resale of the Class A Ordinary Shares held by our shareholders, could adversely affect the market price of our Class A Ordinary Shares, the impact of which is increased as the value of our stock price increases.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certain holders of our Class A Ordinary Shares sell a significant portion of their securities, it may negatively impact the market price of the shares of our Class A Ordinary Shares and such holders still may receive significant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on Form 10-K, the market price of our Class A Ordinary Shares is below $10.00 per share, which was the price per unit sold in the initial public offering of our predecessor, JATT, and the per-share price of the 2,009,950 JATT Class A Ordinary Shares it sold to certain investors in connection with our Business Combination in a private placement for an aggregate amount of $20,099,500 (the “PIPE Financing”). However, certain of our shareholders who hold shares of our Class A Ordinary Shares that were (i) originally purchased by JATT’s sponsor, JATT Ventures, L.P, in a private placement prior to JATT’s initial public offering at an effective purchase price of $0.007 per share (the “Founder Shares”) or (ii) originally issued by JATT in a private placement in connection with certain forward purchase agreement and backstop arrangement (the “FPA Shares”) between JATT and certain investors at an effective purchase price of $6.32, may nonetheless be inclined to sell such Founder Shares or FPA Shares as they were originally purchased at an effective price significantly less than $10.00 per share. The currently outstanding 3,450,000 Founder Shares were purchased at an effective price of $0.007 per share. Holders of the FPA Shares obtained (i) an aggregate of 3,000,000 Class A Ordinary Shares at purchase price of $10 per share for $30,000,000; an aggregate of 1,301,633 Class A Ordinary Shares at purchase price of $10.00 per share for $13,016,330 as public share redemptions were greater than 90% at the time of the Business Combination (backstop redemption); and (iii) an additional 2,500,000 Class A Ordinary Shares at no additional cost in consideration for the holders entering into the latest amendment to the forward purchase agreements JATT and the holders entered into on August 5, 2021, as amended and restated on January 27, 2022 and as amended on March 8, 2023, resulting in an effective purchase price for the currently outstanding 6,801,633 FPA Shares of approximately $6.32 per share. Accordingly, holders of the Founder Shares and FPA Shares could sell their securities at a per-share price that is less than $10.00 and still realize a significant profit from the sale of those securities that could not be realized by our other shareholders. The public securityholders may not experience a similar rate of return on the securities they purchase due to differences in the purchase prices and the current trading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Founder Shares are currently subject to restrictions on transfer under applicable lock-up agreements; however, these restrictions are due to expire on March 20, 2025, resulting in these shares becoming eligible for public sale on March 21, 2025, if they are registered under the Securities Act, or if they qualify for an exemption from registration under the Securities Act. Pursuant to our Registration Rights Agreement, certain of our stockholders, including holders of the Founder Shares, were entitled to registration rights with the securities being registered pursuant to the registration statement initially filed with the SEC on June 14, 2023 and declared effective on September 14,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may fluctuate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operating results to be subject to quarterly, and possibly annual, fluctuations. Our net loss and other operating results will be affected by numerous factors, including:</w:t>
      </w:r>
    </w:p>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the level of expenses related to our development programs;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 or termination of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lawsuit in which we may become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the ZB Assets, regulatory approvals, and the level of underlying demand for such products and purchasing patterns;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execution of any collaborative, licensing or similar arrangements, and the timing of payments we may make or receive under these arrangements.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quarterly or annual operating results fall below the expectations of investors or securities analysts, the price of our ordinary shares could decline substantially. Furthermore, any quarterly or annual fluctuations in our operating results may, in turn, cause the price of our ordinary shares to fluctuate substantially.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issue an adverse opinion regarding our share, our share price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Zura Class A Ordinary Shares will be influenced by the research and reports that industry or securities analysts publish about us or our business. We do not currently have and may never obtain research coverage by securities and industry analysts. Since we became public through a merger, securities analysts of major brokerage firms may not provide coverage of us since there is no incentive to brokerage firms to recommend the purchase of our ordinary shares. If no or few securities or industry analysts commence coverage of us, the trading price for our shares would be negatively impacted. In the event we obtain securities or industry analyst coverage, if any of the analysts who cover it issues an adverse opinion regarding us, our business model, our intellectual property or our share performance, or if our clinical trials and operating results fail to meet the expectations of analysts, our share price would likely decline. If one or more of these analysts cease coverage of us or fail to publish reports on us regularly, we could lose visibility in the financial markets, which in turn could cause our share price or trading volume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Raising additional capital may cause dilution to our existing shareholders, restrict our operations or require it to relinquish rights to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issue additional equity securities to fund future expansion and pursuant to equity incentive or employee benefit plans. It may also issue additional equity for other purposes. These securities may have the same rights as Zura Class A Ordinary Shares or, alternatively, may have dividend, liquidation or other preferences to Zura Class A Ordinary Shares. The issuance of additional equity securities will dilute the holdings of existing shareholders and may reduce the share price of Zura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Equity Incentive Plan, which became effective the day prior to the Closing, we are authorized to grant equity awards to our employees, directors and consultants. In addition, pursuant to the ESPP, which will become effective the day prior to the Closing, We are authorized to sell shares to our employees. A total of 9,594,213 and 4,029,898 Zura Class A Ordinary Shares have been reserved for future issuance under the Equity Incentive Plan and the ESPP, respectively. In addition, the Equity Incentive Plan provides for annual automatic increases in the number of shares reserved thereunder, beginning on January 1, 2024. As a result of such annual increases, our shareholders may experience additional dilution, which could cause the price of Zura Class A Ordinary Shares to fall.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additional funds through collaboration, licensing or other similar arrangements, we may have to relinquish valuable rights to the ZB Assets, or grant licenses on terms unfavorable to us. If adequate funds are not available, our ability to achieve profitability or to respond to competitive pressures would be significantly limited and we may be required to delay, significantly curtail or eliminate the development of the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principal shareholders, directors and executive officers own a significant percentage of our capital shares, and have significant influence over our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executive officers, holders of 5% or more of our capital shares and their respective affiliates beneficially own, in the aggregate, approximately 99.4% of our issued and outstanding voting shares. This concentration of voting power may make it less likely that any other holder of Zura Class A Ordinary Shares will be able to affect the way we are managed and could delay or prevent an acquisition on terms that other shareholders may desire. This could prevent transactions in which shareholders might otherwise recover a premium for their shares over current market prices. See above for additional information regarding our influence and control. See “</w:t>
      </w:r>
      <w:r>
        <w:rPr>
          <w:rFonts w:ascii="Times New Roman;Times;serif" w:hAnsi="Times New Roman;Times;serif"/>
          <w:i/>
          <w:sz w:val="20"/>
        </w:rPr>
        <w:t>Security Ownership of Certain Principal Shareholders</w:t>
      </w:r>
      <w:r>
        <w:rPr>
          <w:rFonts w:ascii="Times New Roman;Times;serif" w:hAnsi="Times New Roman;Times;serif"/>
          <w:sz w:val="20"/>
        </w:rPr>
        <w:t>” for information regarding the ownership of our outstanding shares by our directors, executive officers, and current beneficial owners of 5% or more of our voting securities and their respective affiliates.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Zura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Anti-takeover provisions in the MAA and under Cayman Islands law could make an acquisition, which may be beneficial to our shareholders, more difficult and may prevent attempts by our shareholders to replace or remove our current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MAA and the Cayman Islands Companies Act contain provisions that could make it more difficult for a third party to acquire us, even if doing so might be beneficial to our shareholders. Among other things, these provisions: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Zura Board to authorize the issuance of undesignated preference shares, the terms of which may be established and the shares of which may be issued without shareholder approval, and which may include supermajority voting, special approval, dividend, or other rights or preferences superior to the rights of other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provide that directors may only be removed (a) for cause by the vote of a majority of the other directors then in office or (b) by the affirmative vote of holders of at least 66</w:t>
            </w:r>
            <w:r>
              <w:rPr>
                <w:rFonts w:ascii="Times New Roman;Times;serif" w:hAnsi="Times New Roman;Times;serif"/>
                <w:b w:val="false"/>
                <w:i w:val="false"/>
                <w:caps w:val="false"/>
                <w:smallCaps w:val="false"/>
                <w:sz w:val="14"/>
              </w:rPr>
              <w:t>2</w:t>
            </w:r>
            <w:r>
              <w:rPr>
                <w:caps w:val="false"/>
                <w:smallCaps w:val="false"/>
              </w:rPr>
              <w:t>∕</w:t>
            </w:r>
            <w:r>
              <w:rPr>
                <w:rFonts w:ascii="Times New Roman;Times;serif" w:hAnsi="Times New Roman;Times;serif"/>
                <w:b w:val="false"/>
                <w:i w:val="false"/>
                <w:caps w:val="false"/>
                <w:smallCaps w:val="false"/>
                <w:sz w:val="14"/>
              </w:rPr>
              <w:t>3</w:t>
            </w:r>
            <w:r>
              <w:rPr>
                <w:rFonts w:ascii="Times New Roman;Times;serif" w:hAnsi="Times New Roman;Times;serif"/>
                <w:b w:val="false"/>
                <w:i w:val="false"/>
                <w:caps w:val="false"/>
                <w:smallCaps w:val="false"/>
                <w:sz w:val="20"/>
              </w:rPr>
              <w:t>% in voting power of all the then-outstanding Zura Class A Ordinary Shares entitled to vote thereon, voting together as a single class;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shareholder action by written resolution;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extraordinary general meetings may only be called by or at the direction of (a) the Chairman of the Zura Board, the Zura Board or the Chief Executive Officer or (b) members holding not less than 10% in par value of the issued shares which as at the date of the requisition for a meeting carry the right to vote at general meetings;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provide that any alteration, amendment or repeal, in whole or in part, of any provision of the MAA by our shareholders will require the affirmative vote of the holders of at least 66</w:t>
            </w:r>
            <w:r>
              <w:rPr>
                <w:rFonts w:ascii="Times New Roman;Times;serif" w:hAnsi="Times New Roman;Times;serif"/>
                <w:b w:val="false"/>
                <w:i w:val="false"/>
                <w:caps w:val="false"/>
                <w:smallCaps w:val="false"/>
                <w:sz w:val="15"/>
              </w:rPr>
              <w:t>2∕3</w:t>
            </w:r>
            <w:r>
              <w:rPr>
                <w:rFonts w:ascii="Times New Roman;Times;serif" w:hAnsi="Times New Roman;Times;serif"/>
                <w:b w:val="false"/>
                <w:i w:val="false"/>
                <w:caps w:val="false"/>
                <w:smallCaps w:val="false"/>
                <w:sz w:val="20"/>
              </w:rPr>
              <w:t>% in voting power of all the then-outstanding shares of the Zura Class A Ordinary Shares entitled to vote thereon, voting together as a single class;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nominations for elections to the Zura Board and for proposing matters that can be acted upon by shareholders at shareholder meetings.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anti-takeover provisions and other provisions in the MAA and Cayman Islands law could make it more difficult for shareholders or potential acquirors to obtain control of the Zura Board or initiate actions that are opposed by our then-current board of directors and could also delay or impede a merger, tender offer or proxy contest involving us. The existence of these provisions could negatively affect the price of our Class A Ordinary Shares and limit opportunities for a shareholder to realize value in a corporate transaction. For information regarding these and other provisions, see the section titled “</w:t>
      </w:r>
      <w:r>
        <w:rPr>
          <w:rFonts w:ascii="Times New Roman;Times;serif" w:hAnsi="Times New Roman;Times;serif"/>
          <w:i/>
          <w:sz w:val="20"/>
        </w:rPr>
        <w:t>Description of Zura Securities.</w:t>
      </w:r>
      <w:r>
        <w:rPr>
          <w:rFonts w:ascii="Times New Roman;Times;serif" w:hAnsi="Times New Roman;Times;serif"/>
          <w:sz w:val="20"/>
        </w:rPr>
        <w:t>” In addition, if prospective takeovers are not consummated for any reason, we may experience negative reactions from the financial markets, including negative impacts on the price of our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MAA designate the Cayman Islands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MAA, unless we contest in writing to the selection of an alternative forum, the Courts of the Cayman Islands and any appellate court therefrom, will, to the fullest extent permitted by law, be the sole and exclusive forum for any claim or dispute arising out of or in connection with the MAA or otherwise relating to each shareholder’s shareholding in Zura, including but not limited to (i) any derivative action or proceeding brought on our behalf; (ii) any action asserting a claim of breach of a fiduciary duty owed by any of our current or former directors, officers or other employees to us or our shareholders; (iii) any action asserting a claim against arising pursuant to any provision of the Cayman Islands Companies Act, or the MAA; (iv) any action asserting a claim against us governed by the “internal affairs doctrine,” (as such concept is recognized under the laws of the United States of America); </w:t>
      </w:r>
      <w:r>
        <w:rPr>
          <w:rFonts w:ascii="Times New Roman;Times;serif" w:hAnsi="Times New Roman;Times;serif"/>
          <w:i/>
          <w:sz w:val="20"/>
        </w:rPr>
        <w:t>provided that</w:t>
      </w:r>
      <w:r>
        <w:rPr>
          <w:rFonts w:ascii="Times New Roman;Times;serif" w:hAnsi="Times New Roman;Times;serif"/>
          <w:sz w:val="20"/>
        </w:rPr>
        <w:t>, for the avoidance of doubt, the foregoing forum selection provision will not apply to claims arising under the Securities Act, the Exchange Act or any other claim for which the federal district courts are, as a matter of the laws of the United States, the sole and exclusive forum for determination of such a claim.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forum selection provisions in the MAA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has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 emerging growth company, and it cannot be certain if the reduced reporting requirements applicable to emerging growth companies will make our ordinary shares less attractive to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periodic reports and proxy statements and exemptions from the requirements of holding nonbinding advisory shareholder votes on executive compensation and shareholder approval of any golden parachute payments not previously approved. We cannot predict if investors will find our ordinary shares less attractive because we may rely on these exemptions. If some investors find Zura Class A Ordinary Shares less attractive as a result, there may be a less active trading market for Zura Class A Ordinary Shares and our share price may be more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remain an emerging growth company until the earlier of (1) the last day of the fiscal year (a) following the fifth anniversary of the closing of the IPO, (b) in which it has total annual gross revenue of at least $1.07 billion, or (c) in which it is deemed to be a large accelerated filer, which requires the market value of our ordinary shares that is held by non-affiliates to exceed $700 million as of the last business day of the second fiscal quarter of such year, and (2) the date on which we have issued more than $1 billion in non-convertible debt during the prior three-year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JOBS Act, emerging growth companies can also delay adopting new or revised accounting standards until such time as those standards apply to private companies. we have irrevocably elected not to avail itself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will incur increased costs as a result of operating as a public company, and our management will devote substantial time to related compliance initiatives.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will incur significant legal, accounting and other expenses that Legacy Zura did not incur as a private company, and these expenses may increase even more after it is no longer an “emerging growth company.” we are subject to the reporting requirements of the Exchange Act, the Sarbanes-Oxley Act, the Dodd-Frank Wall Street Reform and Consumer Protection Act (the “Dodd-Frank Act”), as well as rules and regulations adopted, and to be adopted, by the SEC and Nasdaq. Our management and other personnel will need to devote a substantial amount of time to these compliance initiatives. Moreover, we expect these rules and regulations to substantially increase  legal and financial compliance costs and to make some activities more time-consuming and costly, which will increase operating expenses. For example, we expect these rules and regulations to make it more difficult and more expensive to obtain directors’ and officers’ liability insurance and we may be required to incur substantial costs to maintain sufficient coverage. We cannot predict or estimate the amount or timing of additional costs it may incur to respond to these requirements. The impact of these requirements could also make it more difficult to attract and retain qualified persons to serve on the Zura Board, Zura Board committees or as executive officers. Advocacy efforts by shareholders and third parties may also prompt additional changes in governance and reporting requirements, which could further increase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implementing an enterprise resource planning (“ERP”) system. The ERP system is intended to combine and streamline the management of our financial, accounting, human resources, sales and marketing and other functions, enabling it to manage operations and track performance more effectively. Any disruptions or difficulties in implementing or using the ERP system could adversely affect our controls and harm our business, financial condition and results of operations, including our ability to forecast and collect receivables. Moreover, such disruption or difficulties could result in unanticipated costs and diversion of management attention.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To achieve compliance with Section 404 within the prescribed period, we are engaging in a process to document and evaluate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testing, our management may identify material weaknesses or deficiencies which may not be remedied in time to meet the deadline imposed by the Sarbanes-Oxley Act. See above for additional information regarding a previously identified material weakness. These reporting and other obligations place significant demands on our management and administrative and operational resources, including accounting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meet Nasdaq’s continued listing requirements could result in a delisting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continue to maintain the listing of our securities on Nasdaq, we will be required to demonstrate ongoing compliance with Nasdaq’s continued listing requirements. If we fail to satisfy Nasdaq’s continued listing requirements, such as the minimum number of round-lot shareholders, the minimum dollar value of the public float, the total minimum capital, the corporate governance requirements or the minimum closing bid price requirement, Nasdaq may or take steps to delist Zura Class A Ordinary Shares. We cannot assure you that we will be able to meet all continued listing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a delisting, we can provide no assurance that any action taken to restore compliance with listing requirements would allow our ordinary shares to become listed again, stabilize the market price or improve the liquidity of our ordinary shares, prevent our ordinary shares from dropping below the Nasdaq minimum bid price requirement or prevent future non-compliance with Nasdaq’s listing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Warrants may never be in the money, they may expire worthless and therefore we may not receive cash proceeds from the exercise of warrants. The terms of the Warrants may be amended in a manner adverse to a holder if holders of a majority of the then-outstanding Warrants approve of such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Warrants were issued in registered form under the Warrant Agreement between Continental, as warrant agent, and JATT. The Warrant Agreement provides that the terms of the Warrants may be amended without the consent of any holder to cure any ambiguity or correct any defective provision or correct any mistake, but requires the approval by the holders of a majority of the then-outstanding Warrants to make any change that adversely affects the interests of the registered holders of Warrants. Accordingly, we may amend the terms of the Warrants in a manner adverse to a holder if holders of a majority of the then- outstanding Warrants approve of such amendment. Although our ability to amend the terms of the Warrants with the consent of majority of the then-outstanding Warrants is unlimited, examples of such amendments could be amendments to, among other things, increase the exercise price of the Warrants, convert the Warrants into cash, shorten the exercise period, or decrease the number of Zura Class A Ordinary Shares purchasable upon exercise of a Warrant.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exercise of the Warrants, and any proceeds we may receive from their exercise, are highly dependent on the price of our Class A Ordinary Shares and the spread between the exercise price of the Warrant and the price of our Class A Ordinary Shares at the time of exercise. For example, to the extent that the price of our Class A Ordinary Shares exceeds $11.50 per share, it is more likely that holders of our Public Warrants and Private Placement Warrants will exercise their warrants. If the price of our Class A Ordinary Shares is less than $11.50 per share, it is unlikely that such holders will exercise their warrants. As of March 26, 2024, the closing price of our Class A Ordinary Shares was $2.26 per share. There can be no assurance that all of our Warrants will be in the money prior to their expiration. Our Public Warrants under certain conditions, as described in the warrant agreement, are redeemable by the Company at a price of $0.01 per warrant or on a cashless basis. Our Private Placement Warrants are not redeemable so long as they are held by the initial stockholders or permitted transferees and are exercisable on a cashless basis. Our Pre-Funded Warrants are not redeemable and are exercisable on a cashless basis. As such, it is possible that we may never generate any cash proceeds from the exercise of our Warrants. Accordingly, as of the date of this annual report on Form 10-K, we have neither included nor intend to include any potential cash proceeds from the exercise of our Warrants in our short-term or long-term liquidity projections. We will continue evaluate the probability of warrant exercise over the life of our Warrants and the merit of including potential cash proceeds from the exercise thereof in our liquidity projections. Nevertheless, we believe our existing cash and cash equivalents will be sufficient to fund our operations for at least the next 12 months from the date of this annual report. However, our liquidity assumptions may prove to be incorrect, and we could utilize our available financial resources sooner than we currently expect. Our future capital requirements and the adequacy of available funds will depend on many factors, including those set forth under “Risk Factors” elsewhere in this annual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redeem any unexpired Warrants prior to their exercise at a time that is disadvantageous to you, thereby making the Warrants worthless.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the ability to redeem outstanding Warrants of legacy JATT at any time after they become exercisable and prior to their expiration, at a price of $0.01 per Warrant, provided that the closing price of Zura Class A Ordinary Shares equals or exceeds $18.00 per share (as adjusted for share subdivisions, share dividends, rights issuances, subdivisions, reorganizations, recapitalizations and the like) on each of 20 trading days within any 30-trading-day period commencing after the Warrants become exercisable and ending on the third trading day prior to the date on which notice of redemption is given. If and when the Warrants become redeemable by Zura, We may exercise our redemption right even if we are unable to register or qualify the underlying securities for sale under all applicable state securities laws. Redemption of the outstanding Warrants could force the holders thereof to: (i) exercise such Warrants and pay the exercise price therefor at a time when it may be disadvantageous for a holder to do so; (ii) sell such Warrants at the then-current market price when a holder might otherwise wish to hold such Warrants; or (iii) accept the nominal redemption price that, at the time the outstanding Warrants are called for redemption, is likely to be substantially less than the market value of such Warrants.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redeem the Warrants at any time after they become exercisable and prior to their expiration for a number of Zura Class A Ordinary Shares determined based on the fair market value of Zura Class A Ordinary Share. The value received upon exercise of the Warrants (1) may be less than the value the holders would have received if they had exercised their Warrants at a later time where the underlying share price is higher and (2) may not compensate the holders for the value of the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 w:name="ITEM1BUNRESOLVEDSTAFFCOMMENTS_821195"/>
      <w:bookmarkStart w:id="86" w:name="_172595aa_cc6c_4f1c_8416_094dbfe3f225"/>
      <w:bookmarkEnd w:id="85"/>
      <w:bookmarkEnd w:id="86"/>
      <w:r>
        <w:rPr>
          <w:rFonts w:ascii="Times New Roman;Times;serif" w:hAnsi="Times New Roman;Times;serif"/>
          <w:b/>
          <w:sz w:val="20"/>
        </w:rPr>
        <w:t>ITEM 1B. 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7" w:name="ITEM1CCYBERSECURITY_940248"/>
      <w:bookmarkStart w:id="88" w:name="_5b65388b_6e94_4bd8_8e43_ffaf0c039a13"/>
      <w:bookmarkEnd w:id="87"/>
      <w:bookmarkEnd w:id="88"/>
      <w:r>
        <w:rPr>
          <w:rFonts w:ascii="Times New Roman;Times;serif" w:hAnsi="Times New Roman;Times;serif"/>
          <w:b/>
          <w:sz w:val="20"/>
        </w:rPr>
        <w:t>ITEM 1C. CYBERSECURITY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developing a cyber risk management program to identify, assess, manage, mitigate, and respond to cybersecurity threats. This program will be integrated within the Company’s enterprise risk management system. The program will address the corporate information technology environment, third-party service providers, and external-facing applications.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incident response process will involve a multi-functional approach for investigating, containing, and mitigating incidents, including reporting findings to senior management and other key stakeholders, including if appropriate the audit committee and the board, and keeping them informed and involved as appropriate. While we have not, as of the date of this Form 10-K, experienced a cybersecurity threat or incident that has had a material impact on our business or operations, there can be no guarantee that we will not experience an incident that results in a material impact to our business or operations in the future. In addition, cybersecurity threats are constantly evolving and increasing in sophistication, which increases the difficulty of successfully defending against them or implementing adequate preventative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information security team, which reports to the Chief Legal Officer, stays informed about and oversees prevention, detection, mitigation, and remediation efforts through regular communication and reporting channels within our organization.</w:t>
      </w:r>
    </w:p>
    <w:p>
      <w:pPr>
        <w:pStyle w:val="TextBody"/>
        <w:bidi w:val="0"/>
        <w:spacing w:before="0" w:after="240"/>
        <w:ind w:left="0" w:right="0" w:hanging="0"/>
        <w:jc w:val="left"/>
        <w:rPr>
          <w:rFonts w:ascii="Times New Roman;Times;serif" w:hAnsi="Times New Roman;Times;serif"/>
          <w:b/>
          <w:sz w:val="20"/>
        </w:rPr>
      </w:pPr>
      <w:bookmarkStart w:id="89" w:name="ITEM2PROPERTIES_548146"/>
      <w:bookmarkStart w:id="90" w:name="_7a5dfa80_eb71_4b99_a37c_5df6eba54f7b"/>
      <w:bookmarkEnd w:id="89"/>
      <w:bookmarkEnd w:id="90"/>
      <w:r>
        <w:rPr>
          <w:rFonts w:ascii="Times New Roman;Times;serif" w:hAnsi="Times New Roman;Times;serif"/>
          <w:b/>
          <w:sz w:val="20"/>
        </w:rPr>
        <w:t>ITEM 2. 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own any real property. We currently lease executive offices at 1489 W. Warm Springs Rd., #110, Henderson, Nevada and 8-10 Hill Street, London, W1J 5NG. We consider our current office space adequate for our current operations.</w:t>
      </w:r>
    </w:p>
    <w:p>
      <w:pPr>
        <w:pStyle w:val="TextBody"/>
        <w:bidi w:val="0"/>
        <w:spacing w:before="0" w:after="240"/>
        <w:ind w:left="0" w:right="0" w:hanging="0"/>
        <w:jc w:val="both"/>
        <w:rPr>
          <w:rFonts w:ascii="Times New Roman;Times;serif" w:hAnsi="Times New Roman;Times;serif"/>
          <w:b/>
          <w:sz w:val="20"/>
        </w:rPr>
      </w:pPr>
      <w:bookmarkStart w:id="91" w:name="ITEM3LEGALPROCEEDINGS_475628"/>
      <w:bookmarkStart w:id="92" w:name="_204b3067_2f01_4bed_b615_439434f4d954"/>
      <w:bookmarkEnd w:id="91"/>
      <w:bookmarkEnd w:id="92"/>
      <w:r>
        <w:rPr>
          <w:rFonts w:ascii="Times New Roman;Times;serif" w:hAnsi="Times New Roman;Times;serif"/>
          <w:b/>
          <w:sz w:val="20"/>
        </w:rPr>
        <w:t>ITEM 3.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any material legal proceedings, nor are ware aware of any pending or threatened litigation. In the ordinary course of business, we may be subject to legal proceedings, claims, and litigation.</w:t>
      </w:r>
    </w:p>
    <w:p>
      <w:pPr>
        <w:pStyle w:val="TextBody"/>
        <w:bidi w:val="0"/>
        <w:spacing w:before="0" w:after="240"/>
        <w:ind w:left="0" w:right="0" w:hanging="0"/>
        <w:jc w:val="left"/>
        <w:rPr>
          <w:rFonts w:ascii="Times New Roman;Times;serif" w:hAnsi="Times New Roman;Times;serif"/>
          <w:b/>
          <w:sz w:val="20"/>
        </w:rPr>
      </w:pPr>
      <w:bookmarkStart w:id="93" w:name="ITEM4MINESAFETYDISCLOSURES_52848"/>
      <w:bookmarkStart w:id="94" w:name="_87e0e452_bb71_4f97_a81e_a84dcf184a28"/>
      <w:bookmarkEnd w:id="93"/>
      <w:bookmarkEnd w:id="94"/>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5" w:name="PARTII_331045"/>
      <w:bookmarkStart w:id="96" w:name="_aa827035_5657_4672_a31e_c3ac2d2cf609"/>
      <w:bookmarkEnd w:id="95"/>
      <w:bookmarkEnd w:id="96"/>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97" w:name="ITEM5MARKETFORREGISTRANTSCOMMONEQUITYREL"/>
      <w:bookmarkEnd w:id="97"/>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bookmarkStart w:id="98" w:name="MarketInformationforCommonStock_190194"/>
      <w:bookmarkEnd w:id="98"/>
      <w:r>
        <w:rPr>
          <w:rFonts w:ascii="Times New Roman;Times;serif" w:hAnsi="Times New Roman;Times;serif"/>
          <w:b/>
          <w:sz w:val="20"/>
        </w:rPr>
        <w:t>Market Information for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and Warrants are listed for trading on The Nasdaq Capital Market under the symbols “ZURA” and “ZURAW”, respectively.</w:t>
      </w:r>
    </w:p>
    <w:p>
      <w:pPr>
        <w:pStyle w:val="TextBody"/>
        <w:bidi w:val="0"/>
        <w:spacing w:before="0" w:after="240"/>
        <w:ind w:left="0" w:right="0" w:hanging="0"/>
        <w:jc w:val="left"/>
        <w:rPr>
          <w:rFonts w:ascii="Times New Roman;Times;serif" w:hAnsi="Times New Roman;Times;serif"/>
          <w:b/>
          <w:sz w:val="20"/>
        </w:rPr>
      </w:pPr>
      <w:bookmarkStart w:id="99" w:name="HoldersofRecord_747908"/>
      <w:bookmarkEnd w:id="99"/>
      <w:r>
        <w:rPr>
          <w:rFonts w:ascii="Times New Roman;Times;serif" w:hAnsi="Times New Roman;Times;serif"/>
          <w:b/>
          <w:sz w:val="20"/>
        </w:rPr>
        <w:t>Holders of Record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there were approximately 27 stockholders of record of our ordinary shares.</w:t>
      </w:r>
    </w:p>
    <w:p>
      <w:pPr>
        <w:pStyle w:val="TextBody"/>
        <w:bidi w:val="0"/>
        <w:spacing w:before="0" w:after="240"/>
        <w:ind w:left="0" w:right="0" w:hanging="0"/>
        <w:jc w:val="left"/>
        <w:rPr>
          <w:rFonts w:ascii="Times New Roman;Times;serif" w:hAnsi="Times New Roman;Times;serif"/>
          <w:b/>
          <w:sz w:val="20"/>
        </w:rPr>
      </w:pPr>
      <w:bookmarkStart w:id="100" w:name="DividendPolicy_776151"/>
      <w:bookmarkEnd w:id="100"/>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Class A Ordinary Shares with the expectation of receiving cash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240"/>
        <w:ind w:left="0" w:right="0" w:hanging="0"/>
        <w:jc w:val="left"/>
        <w:rPr>
          <w:rFonts w:ascii="Times New Roman;Times;serif" w:hAnsi="Times New Roman;Times;serif"/>
          <w:b/>
          <w:sz w:val="20"/>
        </w:rPr>
      </w:pPr>
      <w:bookmarkStart w:id="101" w:name="SecuritiesAuthorizedforIssuanceUnderEqui"/>
      <w:bookmarkEnd w:id="101"/>
      <w:r>
        <w:rPr>
          <w:rFonts w:ascii="Times New Roman;Times;serif" w:hAnsi="Times New Roman;Times;serif"/>
          <w:b/>
          <w:sz w:val="20"/>
        </w:rPr>
        <w:t>Securities Authorized for Issuance Under Equity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Item 5 of Form 10-K regarding equity compensation plans is incorporated herein by reference to Item 12 of Part III of this Annual Report.</w:t>
      </w:r>
    </w:p>
    <w:p>
      <w:pPr>
        <w:pStyle w:val="TextBody"/>
        <w:bidi w:val="0"/>
        <w:spacing w:before="0" w:after="240"/>
        <w:ind w:left="0" w:right="0" w:hanging="0"/>
        <w:jc w:val="left"/>
        <w:rPr>
          <w:rFonts w:ascii="Times New Roman;Times;serif" w:hAnsi="Times New Roman;Times;serif"/>
          <w:b/>
          <w:sz w:val="20"/>
        </w:rPr>
      </w:pPr>
      <w:bookmarkStart w:id="102" w:name="RecentSalesofUnregisteredSecuritiesUseof"/>
      <w:bookmarkEnd w:id="102"/>
      <w:r>
        <w:rPr>
          <w:rFonts w:ascii="Times New Roman;Times;serif" w:hAnsi="Times New Roman;Times;serif"/>
          <w:b/>
          <w:sz w:val="20"/>
        </w:rPr>
        <w:t>Recent Sales of Unregistered Securities; Use of Proceeds from Registered Offerings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April 2023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Concurrently with the April 2023 Private Placement,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The Company and Stone Peach are renegotiating the terms of the exercise of the call option.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EMA.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additional consideration, Stone Peach will receive annual payments first of $0.6 million, and increasing by 10% annually, so long as the Company maintains its license for ZB-106 and beginning on May 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during the year ended December 31,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w:t>
      </w:r>
    </w:p>
    <w:p>
      <w:pPr>
        <w:pStyle w:val="TextBody"/>
        <w:bidi w:val="0"/>
        <w:spacing w:before="0" w:after="240"/>
        <w:ind w:left="0" w:right="0" w:hanging="0"/>
        <w:jc w:val="left"/>
        <w:rPr>
          <w:rFonts w:ascii="Times New Roman;Times;serif" w:hAnsi="Times New Roman;Times;serif"/>
          <w:b/>
          <w:sz w:val="20"/>
        </w:rPr>
      </w:pPr>
      <w:bookmarkStart w:id="103" w:name="PurchasesofEquitySecuritiesbytheIssueran"/>
      <w:bookmarkEnd w:id="103"/>
      <w:r>
        <w:rPr>
          <w:rFonts w:ascii="Times New Roman;Times;serif" w:hAnsi="Times New Roman;Times;serif"/>
          <w:b/>
          <w:sz w:val="20"/>
        </w:rPr>
        <w:t>Purchases of Equity Securities by the Issuer and Affiliated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4" w:name="_bbf57d42_abd3_4a94_b012_9d78df9c8245"/>
      <w:bookmarkEnd w:id="104"/>
      <w:r>
        <w:rPr>
          <w:rFonts w:ascii="Times New Roman;Times;serif" w:hAnsi="Times New Roman;Times;serif"/>
          <w:b/>
          <w:sz w:val="20"/>
        </w:rPr>
        <w:t>ITEM 6. [RESERVED]</w:t>
      </w:r>
    </w:p>
    <w:p>
      <w:pPr>
        <w:pStyle w:val="TextBody"/>
        <w:bidi w:val="0"/>
        <w:spacing w:before="0" w:after="0"/>
        <w:ind w:left="0" w:right="0" w:hanging="0"/>
        <w:jc w:val="left"/>
        <w:rPr/>
      </w:pPr>
      <w:bookmarkStart w:id="105" w:name="ITEM6RESERVED_279066"/>
      <w:bookmarkEnd w:id="105"/>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6" w:name="ITEM7MANAGEMENTSDISCUSSIONANDANALYSISOFF"/>
      <w:bookmarkStart w:id="107" w:name="_c96a3169_d280_481a_baba_b3e309aa0201"/>
      <w:bookmarkEnd w:id="106"/>
      <w:bookmarkEnd w:id="10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should be read in conjunction with the consolidated financial statements and notes thereto included elsewhere in this Annual Report. In addition to historical information, this discussion and analysis contains forward-looking statements. These forward-looking statements are subject to risks and uncertainties, including those discussed in the section titled “Risk Factors” in this Annual Report, that could cause actual results to differ materially from historical results or anticipated results.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Zura Bio Limited, formerly known as JATT Acquisition Corp., is a multi-asset clinical-stage biotechnology company focused on developing novel medicines for immune and inflammatory disorders. The experienced leadership team aims to become a leader in the autoimmune and inflammatory field.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incorporated as a Cayman Islands exempted company on March 10, 2021. Our wholly owned subsidiary, Zura Bio Limited (“Zura Bio UK”) was formed in the United Kingdom, or UK, on January 18, 2022. Prior to March 20, 2023, our operations were conducted through Zura Bio UK.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limited operating history. Since our inception, our operations have focused on organizing and staffing our company, business planning, raising capital and entering into collaboration agreements for conducting manufacturing, research and development activities. Our lead product candidates are in the clinical testing stage; however, we have not conducted any clinical tests ourselves, nor have any been conducted during the period since our inception. We do not have any product candidates approved for sale and have not generated any revenue from product sales. We have funded our operations through (i) the sale of equity, raising an aggregate of $10.0 million of gross proceeds from the sale of shares of convertible preferred stock of Zura Bio UK through March 31, 2023; (ii) the issuance of a promissory note, receiving net proceeds of $7.6 million in December 2022; (iii) proceeds from the Business Combination of $56.7 million in March 2023; and (iv) the April 2023 Private Placement, raising an aggregate of $80.0 million of gross proceeds from the sale of Class A Ordinary Shares and Pre-Funded Warrants during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incurred significant operating losses. Our net loss for the year ended December 31, 2023 and period ended December 31, 2022 were $60.4 million and $25.7 million, respectively. As of December 31, 2023, we had an accumulated deficit of $103.5 million. We anticipate that our expenses will increase significantly in connection with our ongoing activities, as we:</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the preclinical and clinical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our planned preclinical studies and clinical trials for the ZB Assets, as well as initiate and complete additional trials of future potential product candidates;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scale up our clinical and regulatory capabilities;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current good manufacturing practices, or cGMP, material for clinical trials or potential commercial sales;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quality, regulatory, manufacturing, scientific and administrative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commercialization infrastructure and scale up manufacturing and distribution capabilities to commercialize any product candidates for which we may obtain regulatory approval;</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our regulatory compliance efforts to incorporate requirements applicable to marketed products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any product candidates that successfully complete clinical trials;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planned future commercialization efforts; and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Business Combination Agreement, (a) before the closing of the Business Combination, Holdco was established as our new holding company and became a party to the Business Combination Agreement; and (b) on the closing date, in sequential order: (i) Merger Sub merged with and into Holdco, with Holdco continuing as the surviving company and a wholly owned subsidiary of JATT (the “Merger”); (ii) immediately following the Merger, Holdco merged with and into Merger Sub 2, with Merger Sub 2 continuing as the surviving company and a wholly owned subsidiary of JATT (the “Subsequent Merger”); and (iii) JATT changed its name to “Zura Bio Limited” (“Zura Bio”).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and in accordance with, the terms and conditions of the Business Combination Agreement, at the Closing, (i) each JATT unit was (to the extent not already separated) automatically separated and the holder thereof was deemed to hold one JATT Class A Ordinary Share and one-half of a JATT warrant; (ii) in consideration for the Merger, JATT issued to holders of Holdco’s issued and outstanding shares immediately prior to the Effective Time (as defined in the Business Combination Agreement) an aggregate of 14,558,067 JATT Class A Ordinary Shares (including 499,993 JATT Class A Ordinary Shares underlying restricted share units granted to Amit Munshi, the Company’s Non-Executive Chairman) plus 1,941,933 options to acquire JATT Class A Ordinary Shares for which outstanding options to acquire Holdco Class A Ordinary Shares were exchanged on Closing; and (iii) pursuant to the terms and conditions of JATT’s existing amended and restated memorandum and articles of association, all then-outstanding Class B Ordinary Shares, par value $0.0001 per share, were automatically converted into JATT Class A Ordinary Shares on a one-for-one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the Closing Date, Ewon Comfortech Co., Ltd. (“Ewon”), an institutional accredited investor which is an indirect investor in Zura through its equity interest in Hana Immunotherapeutics LLC (“Hana”), purchased from JATT 2,000,000 JATT Class A Ordinary Shares and Eugene Investment &amp; Securities Co., Ltd (“Eugene”), an unaffiliated institutional credited investor, purchased from JATT 9,950 JATT Class A Ordinary Shares (Ewon, together with Eugene, the “PIPE Investors”), for an aggregate of 2,009,950 JATT Class A Ordinary Shares (the “PIPE Shares”) at a price of $10.00 per share, for an aggregate purchase price of $20,099,500 (the “PIPE Financing”), pursuant to the subscription agreement entered into by JATT and the Ewon as of June 16, 2022, as amended on November 25, 2022 (the “Ewon PIPE Subscription Agreement”) and the subscription agreement entered into by JATT and Eugene as of March 13, 2023 (the “Eugene PIPE Subscription Agreement” and, together with the Ewon PIPE Subscription Agreement, the “PIPE Subscription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Closing of the Business Combination, Athanor Master Fund, LP and Athanor International Master Fund, LP (collectively, the “FPA Investors”), each of which is an unaffiliated institutional investor, purchased (i) an aggregate of 3,000,000 JATT Class A Ordinary Shares at $10 per share for $30,000,000; (ii) an aggregate of 1,301,633 JATT Class A Ordinary Shares at $10 per share for $13,016,330 (the “Redemption Backstop”) as public share redemptions were greater than 90% at the time of the Business Combination (the “Excess Redemptions”); and (iii) an additional 2,500,000 JATT Class A Ordinary Shares in consideration for the FPA Investors entering into the latest amendment, but for no additional monetary consideration, to the forward purchase agreements JATT and the FPA Investors entered into on August 5, 2021, as amended and restated on January 27, 2022 and as amended on March 8, 2023 (the “Forward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Business Combination, together with the PIPE financing, the Forward Purchase Agreement, and the Redemption Backstop, generated approximately $56.7 million in proceeds. On March 21, 2023, the Company’s Class A Ordinary Shares and public warrants began trading on the Nasdaq under the symbols “ZURA” and “ZURAW,”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April 2023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Concurrently with the April 2023 Private Placement,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The Company and Stone Peach subsequently renegotiated the settlement terms as discussed in the </w:t>
      </w:r>
      <w:r>
        <w:rPr>
          <w:rFonts w:ascii="Times New Roman;Times;serif" w:hAnsi="Times New Roman;Times;serif"/>
          <w:i/>
          <w:sz w:val="20"/>
        </w:rPr>
        <w:t>2022 Lilly License</w:t>
      </w:r>
      <w:r>
        <w:rPr>
          <w:rFonts w:ascii="Times New Roman;Times;serif" w:hAnsi="Times New Roman;Times;serif"/>
          <w:sz w:val="20"/>
        </w:rPr>
        <w:t xml:space="preserve"> section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2023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EMA.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additional consideration, Stone Peach will receive annual payments first of $0.6 million, and increasing by 10% annually, so long as the Company maintains its license for ZB-106 and beginning on May 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during the year ended December 31,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As of December 31, 2023, none of the contingent payments were due.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2022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 As consideration, the Company paid Lilly an upfront fee of $7.0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consideration for the 2022 Lilly License, Lilly agreed to receive either 550,000 Class A Ordinary Shares upon the closing of the Business Combination (subject to certain lock-up provisions) or 4,702,867 shares of Z33 Series Seed Preferred Shares (the subsidiary redeemable preferred shares) if the Business Combination was not consummated. Upon the Closing Date of the Business Combination, the Company issued Lilly 550,000 Class A Ordinary Shares at an aggregate fair value of $4.5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on December 8, 2022, the Company is obligated to pay $3.0 million to Lilly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 As of December 31, 2023, none of the contingent payments were due.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Pfizer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22, 2022, the Company entered into a license agreement and a Series A-1 Subscription and Shareholder’s Agreement (collectively, the “Pfizer Agreement”) with Pfizer. Under the Pfizer Agreement, the Company acquired a license for a compound initially developed by Pfizer, in exchange for $5.0 million in cash and 2,702,083 shares (as adjusted by the exchange ratio established in the Business Combination Agreement) of the Company’s Series A-1 convertible preferred shares, representing a 20% interest in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on March 22, 2022, the Company is obligated to make 12 development and regulatory milestone payments aggregating up to $70.0 million and sales milestone payments up to an aggregate of $525.0 million based on respective thresholds of net sales of products (developed from the licensed compound) (the “Products”). In further consideration for the license, the Company will also pay an annual earned royalty at a marginal royalty rate in the mid-single digits to low double digits (less than 20%), based on thresholds of nets sales of Products. Royalties are payable on a country-by-country basis for a certain period of years or upon the later expiration of regulatory exclusivity of the Company’s Products in a country.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also subject to a potential multi-million dollar transaction payment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Pfizer Agreement also has an anti-dilution provision to allow Pfizer to maintain an 18% interest in the Company. Immediately prior to the Closing Date of the Business Combination, additional share options and restricted share units were issued to certain employees, executives, and directors that would result in the dilution of Pfizer’s ownership in the Company. In accordance with the anti-dilution provision of the Pfizer Agreement, Pfizer was issued additional Series A-1 convertible preferred shares upon the closing of the Business Combination that were immediately converted to 267,939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first $1.0 million development milestone became due during the year ended December 31, 2023. The Company does not owe any other amounts under the Pfizer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Appointment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31, 2023, the Board of Directors (the "Board") of the Company increased the size of the Board from seven directors to nine directors. On June 22, 2023, the Board appointed Parvinder Thiara to fill the vacancy on and serve as a member of the Board, to serve until the next annual meeting of stockholders and until his successor is duly elected and qualified or until his earlier death, resignation or removal. Mr. Thiara has no family relationships with any of the executive officers or directors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9, 2023, the Board appointed Arnout Ploos van Amstel to serve as a member of the Board. Mr. Ploos van Amstel replaced Dr. Garry Neil who left the Board on the same date and would continue to support the Company as an advisor on R&amp;D matters. Mr. Ploos van Amstel has no family relationships with any of the executive officers or directors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primarily consist of professional fees for legal, accounting, and consulting costs relating to corporate matters, as well as salaries and related costs for personnel in executive and administrative functions, including 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(“R&amp;D”) expenses consist of all direct and indirect operating expenses supporting the processes in development, including consulting fees for medical and manufacturing advisory services, costs related to manufacturing material for clinical studies, payroll and benefits, which includes share-based compensation, for research and development employees, licensing fees, and study acquisition costs. Expenses are recognized as the related goods are delivered or the services are performed.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 fees and subsequent pre-commercial milestone payments. Research and development costs incurred after the acquisition are expensed as incurred. R&amp;D expenses also include the remeasurement of the research and development license consideration liability. The research and development license consideration liability represented an obligation to issue either preferred shares of the Company’s subsidiary or Class A Ordinary Shares to Lilly as consideration for the 2022 Lilly License, which was ultimately settled through the issuance of Class A Ordinary Shares upon the closing of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could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bonuses, benefits, share-based compensation and other related costs for those employees involved in research and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agreements with clinical research organizations, investigative sites and consultants to conduct our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material for preclinical studies and clinical trials, including fees paid to contract manufacturing organizations;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supplies and research materials;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maintenance of facilities, insurance and equipment.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conduct preclinical studies required to advance our product candidates into clinical trials;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clinical trial costs, including based on the number of doses that patients receive;</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who enroll in each clinical trial;</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trials required for approval;</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clinical trials;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clinical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clinical trials and follow-up;</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contractors failing to comply with regulatory requirements or meet their contractual obligations in a timely manner, or at all;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insurance, including product liability insurance, in connection with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our product candidates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Year Ended December 31, 2023 and the Period from January 18, 2022 (date of inception) to December 31,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 our results of operations for the periods presented (in thousands):</w:t>
      </w:r>
    </w:p>
    <w:tbl>
      <w:tblPr>
        <w:tblW w:w="10205" w:type="dxa"/>
        <w:jc w:val="left"/>
        <w:tblInd w:w="0" w:type="dxa"/>
        <w:tblLayout w:type="fixed"/>
        <w:tblCellMar>
          <w:top w:w="0" w:type="dxa"/>
          <w:left w:w="0" w:type="dxa"/>
          <w:bottom w:w="0" w:type="dxa"/>
          <w:right w:w="0" w:type="dxa"/>
        </w:tblCellMar>
      </w:tblPr>
      <w:tblGrid>
        <w:gridCol w:w="3470"/>
        <w:gridCol w:w="326"/>
        <w:gridCol w:w="234"/>
        <w:gridCol w:w="817"/>
        <w:gridCol w:w="326"/>
        <w:gridCol w:w="514"/>
        <w:gridCol w:w="1797"/>
        <w:gridCol w:w="326"/>
        <w:gridCol w:w="326"/>
        <w:gridCol w:w="765"/>
        <w:gridCol w:w="326"/>
        <w:gridCol w:w="661"/>
        <w:gridCol w:w="317"/>
      </w:tblGrid>
      <w:tr>
        <w:trPr/>
        <w:tc>
          <w:tcPr>
            <w:tcW w:w="3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03450" cy="175260"/>
                      <wp:effectExtent l="0" t="0" r="0" b="0"/>
                      <wp:wrapNone/>
                      <wp:docPr id="9" name="Frame3"/>
                      <a:graphic xmlns:a="http://schemas.openxmlformats.org/drawingml/2006/main">
                        <a:graphicData uri="http://schemas.microsoft.com/office/word/2010/wordprocessingShape">
                          <wps:wsp>
                            <wps:cNvSpPr txBox="1"/>
                            <wps:spPr>
                              <a:xfrm>
                                <a:off x="0" y="0"/>
                                <a:ext cx="2203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0"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8590" cy="175260"/>
                      <wp:effectExtent l="0" t="0" r="0" b="0"/>
                      <wp:wrapNone/>
                      <wp:docPr id="11" name="Frame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18795" cy="175260"/>
                      <wp:effectExtent l="0" t="0" r="0" b="0"/>
                      <wp:wrapNone/>
                      <wp:docPr id="12" name="Frame6"/>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3"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26390" cy="175260"/>
                      <wp:effectExtent l="0" t="0" r="0" b="0"/>
                      <wp:wrapNone/>
                      <wp:docPr id="14" name="Frame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41095" cy="175260"/>
                      <wp:effectExtent l="0" t="0" r="0" b="0"/>
                      <wp:wrapNone/>
                      <wp:docPr id="15" name="Frame9"/>
                      <a:graphic xmlns:a="http://schemas.openxmlformats.org/drawingml/2006/main">
                        <a:graphicData uri="http://schemas.microsoft.com/office/word/2010/wordprocessingShape">
                          <wps:wsp>
                            <wps:cNvSpPr txBox="1"/>
                            <wps:spPr>
                              <a:xfrm>
                                <a:off x="0" y="0"/>
                                <a:ext cx="1141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16"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17"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85775" cy="175260"/>
                      <wp:effectExtent l="0" t="0" r="0" b="0"/>
                      <wp:wrapNone/>
                      <wp:docPr id="18" name="Frame1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19"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19735" cy="175260"/>
                      <wp:effectExtent l="0" t="0" r="0" b="0"/>
                      <wp:wrapNone/>
                      <wp:docPr id="20" name="Frame1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1295" cy="175260"/>
                      <wp:effectExtent l="0" t="0" r="0" b="0"/>
                      <wp:wrapNone/>
                      <wp:docPr id="21" name="Frame1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26" w:type="dxa"/>
            <w:tcBorders/>
            <w:vAlign w:val="center"/>
          </w:tcPr>
          <w:p>
            <w:pPr>
              <w:pStyle w:val="TableContents"/>
              <w:bidi w:val="0"/>
              <w:spacing w:before="0" w:after="0"/>
              <w:ind w:left="0" w:right="0" w:hanging="0"/>
              <w:jc w:val="center"/>
              <w:rPr/>
            </w:pPr>
            <w:r>
              <w:rPr/>
              <w:t>​</w:t>
            </w:r>
          </w:p>
        </w:tc>
        <w:tc>
          <w:tcPr>
            <w:tcW w:w="23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Period from January</w:t>
            </w:r>
          </w:p>
        </w:tc>
        <w:tc>
          <w:tcPr>
            <w:tcW w:w="326" w:type="dxa"/>
            <w:tcBorders/>
            <w:vAlign w:val="center"/>
          </w:tcPr>
          <w:p>
            <w:pPr>
              <w:pStyle w:val="TableContents"/>
              <w:bidi w:val="0"/>
              <w:spacing w:before="0" w:after="0"/>
              <w:ind w:left="0" w:right="0" w:hanging="0"/>
              <w:jc w:val="center"/>
              <w:rPr/>
            </w:pPr>
            <w:r>
              <w:rPr/>
              <w:t>​</w:t>
            </w:r>
          </w:p>
        </w:tc>
        <w:tc>
          <w:tcPr>
            <w:tcW w:w="1091" w:type="dxa"/>
            <w:gridSpan w:val="2"/>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    </w:t>
            </w:r>
          </w:p>
        </w:tc>
        <w:tc>
          <w:tcPr>
            <w:tcW w:w="317" w:type="dxa"/>
            <w:tcBorders/>
            <w:vAlign w:val="center"/>
          </w:tcPr>
          <w:p>
            <w:pPr>
              <w:pStyle w:val="TableContents"/>
              <w:bidi w:val="0"/>
              <w:spacing w:before="0" w:after="0"/>
              <w:ind w:left="0" w:right="0" w:hanging="0"/>
              <w:jc w:val="left"/>
              <w:rPr/>
            </w:pPr>
            <w:r>
              <w:rPr/>
              <w:t> </w:t>
            </w:r>
          </w:p>
        </w:tc>
      </w:tr>
      <w:tr>
        <w:trPr/>
        <w:tc>
          <w:tcPr>
            <w:tcW w:w="34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23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18, 2022 (date of inception) to</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left"/>
              <w:rPr/>
            </w:pPr>
            <w:r>
              <w:rPr/>
              <w:t> </w:t>
            </w:r>
          </w:p>
        </w:tc>
      </w:tr>
      <w:tr>
        <w:trPr/>
        <w:tc>
          <w:tcPr>
            <w:tcW w:w="34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w:t>
            </w:r>
          </w:p>
        </w:tc>
        <w:tc>
          <w:tcPr>
            <w:tcW w:w="326" w:type="dxa"/>
            <w:tcBorders/>
            <w:vAlign w:val="center"/>
          </w:tcPr>
          <w:p>
            <w:pPr>
              <w:pStyle w:val="TableContents"/>
              <w:bidi w:val="0"/>
              <w:spacing w:before="0" w:after="0"/>
              <w:ind w:left="0" w:right="0" w:hanging="0"/>
              <w:jc w:val="center"/>
              <w:rPr/>
            </w:pPr>
            <w:r>
              <w:rPr/>
              <w:t>​</w:t>
            </w:r>
          </w:p>
        </w:tc>
        <w:tc>
          <w:tcPr>
            <w:tcW w:w="23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10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7" w:type="dxa"/>
            <w:tcBorders/>
            <w:vAlign w:val="center"/>
          </w:tcPr>
          <w:p>
            <w:pPr>
              <w:pStyle w:val="TableContents"/>
              <w:bidi w:val="0"/>
              <w:spacing w:before="0" w:after="0"/>
              <w:ind w:left="0" w:right="0" w:hanging="0"/>
              <w:jc w:val="center"/>
              <w:rPr/>
            </w:pPr>
            <w:r>
              <w:rPr/>
              <w:t>​</w:t>
            </w:r>
          </w:p>
        </w:tc>
      </w:tr>
      <w:tr>
        <w:trPr/>
        <w:tc>
          <w:tcPr>
            <w:tcW w:w="34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23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7" w:type="dxa"/>
            <w:tcBorders/>
            <w:vAlign w:val="center"/>
          </w:tcPr>
          <w:p>
            <w:pPr>
              <w:pStyle w:val="TableContents"/>
              <w:bidi w:val="0"/>
              <w:spacing w:before="0" w:after="0"/>
              <w:ind w:left="0" w:right="0" w:hanging="0"/>
              <w:jc w:val="center"/>
              <w:rPr/>
            </w:pPr>
            <w:r>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left"/>
              <w:rPr/>
            </w:pPr>
            <w:r>
              <w:rPr/>
              <w:t>​</w:t>
            </w:r>
          </w:p>
        </w:tc>
        <w:tc>
          <w:tcPr>
            <w:tcW w:w="179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  </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43,999</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23,689</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20,310</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18,639</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15,166</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62,638</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27,162</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35,476</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(62,638)</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 </w:t>
            </w:r>
          </w:p>
        </w:tc>
        <w:tc>
          <w:tcPr>
            <w:tcW w:w="1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(35,476)</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expense/(income), net: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 </w:t>
            </w:r>
          </w:p>
        </w:tc>
        <w:tc>
          <w:tcPr>
            <w:tcW w:w="1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 </w:t>
            </w:r>
          </w:p>
        </w:tc>
        <w:tc>
          <w:tcPr>
            <w:tcW w:w="1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expense/(income), net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(60,563)</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 </w:t>
            </w:r>
          </w:p>
        </w:tc>
        <w:tc>
          <w:tcPr>
            <w:tcW w:w="1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(33,230)</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c>
          <w:tcPr>
            <w:tcW w:w="17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(60,563)</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(33,230)</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(60,360)</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(25,738)</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(34,622)</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 </w:t>
            </w:r>
          </w:p>
        </w:tc>
        <w:tc>
          <w:tcPr>
            <w:tcW w:w="1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Deemed contribution from redeemable noncontrolling interest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9,212</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9,212</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Zura</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(69,243)</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(36,853)</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*Percentage change not meaningful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$20.3 million for the year ended December 31, 2023 as compared to the period ended December 31, 2022. This was primarily due to an increase of $5.3 million of costs incurred to acquire licenses, as we recognized $21.9 million of expense related to the acquisitions of an in-process research and development (“IPR&amp;D”) license from Pfizer and Lilly during the period ended December 31, 2022 and $27.2 million related to the acquisition of an IPR&amp;D license from Lilly during the year ended December 31, 2023. The increase was also due to the issuance of additional shares to Pfizer under an anti-dilution provision of $2.2 million recognized during the year ended December 31, 2023, an increase of $1.5 million in expenses related to compensation for personnel in research and development functions including share-based compensation, an increase of $1.7 million related to the change in fair value of our research and development license consideration liability, an increase of $9.1 million related to manufacturing of our product candidates, and an increase of $0.5 million of costs incurred for consulting and advisory services for clinical development strategy.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$15.2 million for the year ended December 31, 2023 as compared to the period ended December 31, 2022. The increase was primarily due to increases of $11.4 million in expenses related compensation for personnel in executive and administrative functions including share-based compensation, as well as an increase of $2.9 million in professional fees for legal and accounting costs incurred related to our ongoing operations as a public company, an increase of $0.8 million of travel, office, and other general and administrative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expense decreased by an immaterial amount for the year ended December 31, 2023 as compared to the period ended December 31, 2022. This decrease was primarily due to a foreign exchange transaction gain for the year ended December 31, 2023 as compared to a foreign exchange transaction loss for the period ended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increased by $2.2 million for the year ended December 31, 2023 as compared to the period ended December 31, 2022. This increase is due to an increase in our cash and cash equivalents balance during year ended December 31, 2023 as compared to the period ended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 income increased by $1.4 million for the year ended December 31, 2023 as compared to the period ended December 31, 2022. The Company held no dividend-generating cash equivalents during the period ended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private placement warrants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Revaluation gain on the liability-classified private placement warrants assumed in the Business Combination was $0.7 million for the year ended December 31, 2023. No warrants were outstanding during the period ended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note payable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Revaluation loss on the note payable increased by $2.1 million for the year ended December 31, 2023 as compared to the period ended December 31, 2022, as a result of remeasurement to its settlement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attributable to redeemable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loss attributable to redeemable noncontrolling interest, representing the noncontrolling shareholder’s interest in the net loss of our consolidated subsidiary, Z33, decreased by $1.4 million for the year ended December 31, 2023 as compared to the period ended December 31, 2022 due to a decrease in operating expenses for Z33 during the year ended December 31, 2023 as compared to the period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Accretion of redeemable noncontrolling interest to redemption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Accretion of redeemable noncontrolling interest to redemption value increased by $0.6 million for the year ended December 31, 2023 as compared to the period ended December 31, 2022. This increase is due to modifications of the terms of the Z33 Series Seed Preferred Shares issued to Stone Peach during the year ended December 31, 2023 and the resulting adjustments to redemption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Deemed Dividend to Redeemable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Deemed dividend to the redeemable noncontrolling interest was $10.9 million for the year ended December 31, 2023, due to the modification of the terms of the Z33 Series Seed Preferred Shares issued to Stone Peach in April 2023. There were no deemed dividends to the redeemable noncontrolling interest during the period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Deemed Contribution from Redeemable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Deemed contribution from the redeemable noncontrolling interest was $9.2 million for the year ended December 31, 2023, due to the modification of the terms of the Z33 Series Seed Preferred Shares issued to Stone Peach in November 2023. There were no deemed contributions from the redeemable noncontrolling interest during the period ended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not generated any revenue and expect to continue to incur significant operating losses for the foreseeable future and may never become profitable. As of December 31, 2023, we had cash and cash equivalents of $99.8 million. As of December 31, 2023, we have funded our operations through (i) the sale of equity, raising an aggregate of $10.0 million of gross proceeds from the sale of our convertible preferred shares; (ii) the issuance of a promissory note, receiving net proceeds of $7.6 million; (iii) proceeds from the Business Combination of $56.7 million in March 2023; and (iv) the April 2023 Private Placement, raising an aggregate of $80.0 million of gross proceeds from the sale of Class A Ordinary Shares and Pre-Funded Warrants in May and June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also be responsible to Pfizer and Lilly for significant future contingent payments under the Pfizer Agreement, the 2022 Lilly License, and the 2023 Lilly License (collectively with the 2022 Lilly License,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and the April 2023 Private Placement.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that we will need substantial additional funding in connection with our continuing operations. We intend to devote most of the net proceeds from the Business Combination and the April 2023 Private Placement to the preclinical and clinical development of our product candidates, our public company compliance costs and certain milestone payments under the Pfizer Agreement and Lilly Licenses. Based on our current business plans, we believe that the net proceeds from the Business Combination and the Private Placement (as defined below) will enable us to fund our operating expenses and capital requirements through at least the next twelve months. Our estimate as to how long we expect the net proceeds from the Business Combination and the Private Placement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develop, in-license or acquire other product candidates and technologies in our product candidates pipeline;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process development and manufacturing scale-up activities associated with our product candidates and other programs as we advance them through preclinical and clinical development;</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product candidates that we may pursue;</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milestone payments to Pfizer under the Pfizer Agreement and to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research and development capabilities and establish and expand our commercial infrastructure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manufacturing, marketing, sales and distributions, for any of our product candidates for which we receive marketing approval;</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to Pfizer under the Pfizer Agreement and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if any, received from sales of our product candidates for which we receive marketing approval; and</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tbl>
      <w:tblPr>
        <w:tblW w:w="6353" w:type="dxa"/>
        <w:jc w:val="left"/>
        <w:tblInd w:w="0" w:type="dxa"/>
        <w:tblLayout w:type="fixed"/>
        <w:tblCellMar>
          <w:top w:w="0" w:type="dxa"/>
          <w:left w:w="0" w:type="dxa"/>
          <w:bottom w:w="0" w:type="dxa"/>
          <w:right w:w="0" w:type="dxa"/>
        </w:tblCellMar>
      </w:tblPr>
      <w:tblGrid>
        <w:gridCol w:w="3466"/>
        <w:gridCol w:w="326"/>
        <w:gridCol w:w="232"/>
        <w:gridCol w:w="863"/>
        <w:gridCol w:w="326"/>
        <w:gridCol w:w="232"/>
        <w:gridCol w:w="908"/>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00910" cy="175260"/>
                      <wp:effectExtent l="0" t="0" r="0" b="0"/>
                      <wp:wrapNone/>
                      <wp:docPr id="22" name="Frame1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3"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7320" cy="175260"/>
                      <wp:effectExtent l="0" t="0" r="0" b="0"/>
                      <wp:wrapNone/>
                      <wp:docPr id="24" name="Frame1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48005" cy="175260"/>
                      <wp:effectExtent l="0" t="0" r="0" b="0"/>
                      <wp:wrapNone/>
                      <wp:docPr id="25" name="Frame19"/>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6"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7320" cy="175260"/>
                      <wp:effectExtent l="0" t="0" r="0" b="0"/>
                      <wp:wrapNone/>
                      <wp:docPr id="27" name="Frame2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76580" cy="175260"/>
                      <wp:effectExtent l="0" t="0" r="0" b="0"/>
                      <wp:wrapNone/>
                      <wp:docPr id="28" name="Frame22"/>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2"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 from</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18,</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 (date of</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inception) to</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(15,054)</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121,293</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14,769</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98,239</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1,567</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operating activities for the year ended December 31, 2023 was $15.1 million, which consisted of a net loss before redeemable noncontrolling interest of $60.6 million, partially offset by $40.4 million in non-cash charges and a net change of $5.1 million in our net operating assets and liabilities. The non-cash charges consisted of expense incurred in connection with the 2023 Lilly License of $27.4 million, a change in fair value of our promissory note of $2.2 million, a change in fair value of our research and development license consideration liability of $1.9 million, share-based payment expense of $2.2 million related to the anti-dilution shares issued to Pfizer, additional share-based payments of $7.5 million, and a change in fair value on the private placement warrants of $0.7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operating activities for the period ended December 31, 2022 was $1.2 million, which consisted of a net loss before redeemable noncontrolling interest of $27.3 million, partially offset by non-cash charges of $22.6 million and a net change of $3.5 million in our net operating assets and liabilities. The non-cash charges consisted of the $21.9 million cost of the acquisitions of the licenses under the Pfizer Agreement and 2022 Lilly License, which were expensed to research and development, a change in fair value of our promissory note of $0.2 million, a change in fair value of our research and development license consideration liability of $0.2 million, and share-based payment expense of $0.3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investing activities for the year ended December 31, 2023 was $8.0 million, which was entirely related to the cash consideration paid to acquire the 2023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investing activities for the period ended December 31, 2022 was $12.0 million, which was entirely related to the cash consideration paid to acquire the license under the Pfizer Agreement and the license under the 2022 Lilly License.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provided by financing activities for the year ended December 31, 2023 was $121.3 million, which consisted of $56.7 million of net proceeds from the issuance of shares upon the closing of the Business Combination and $59.7 million of proceeds, net of transaction costs, from the issuance of Class A Ordinary Shares in connection with the April 2023 Private Placement, and $16.1 million of proceeds from the issuance of Pre-Funded Warrants in connection with the April 2023 Private Placement, partially offset by a $10.0 million repayment of our promissory note and the payment of $1.2 million of deferred transaction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provided by financing activities for the period ended December 31, 2022 was $14.8 million, which consisted of $10.0 million from the issuance of Series A-1 convertible preferred shares of Legacy Zura in March 2022 and $7.6 million in net proceeds from the issuance of the Note to Hydra, partially offset by the payment of $2.8 million of deferred transaction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 and Other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Lonza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the Lonza License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 During October 2023, the Company began drug substance manufacturing with a third-party. As a result of manufacturing with a third-party other than Lonza, under the terms of the Lonza License the first annual milestone payment of $0.4 million became due and payable.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WuXi Biologics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2023, we entered into a biologics master services agreement (the “WuXi Biologics MSA”) with WuXi Biologics. Under the WuXi Biologics MSA, we are obligated to pay WuXi Biologics a service fee and all non-cancellable obligations in the amount specified in each work order associated with the agreement for the provision of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WuXi Biologics MSA terminates on the completion of services under all work orders executed by the parties,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at any time upon three months’ prior notice with reasonable cause, provided however that if WuXi Biologics terminates a work order in such manner, no termination or cancellation fees shall be paid by us and immediately for cause upon the other party’s material breach that remains uncured for 30 days after notice of such breach.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2023, we entered into a cell line license agreement (the “Cell Line License Agreement”) with WuXi Biologics. The Cell Line License Agreement provides the Company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is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our significant accounting policies are described in more detail in the notes to our consolidated financial statements appearing elsewhere in this Annual Report, we believe the following accounting policies are the most critical for fully understanding and evaluating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 To date, our estimated accruals have not differed materially from actual costs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External costs consist primarily of payments to third parties in connection with our process development, manufacturing and clinical development activities.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and functional area. Internal costs consist primarily of employee-related costs including salaries, related benefits and share-based compensation expense for employees engaged in research and development functions. We do not allocate internal costs by program because these costs are deployed across multiple programs and, as such, are not separately classified.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share-based awards are granted to executives, directors, employees, and consultants, the fair value of the equity instruments at the date of grant is charged to the consolidated statements of operations over the vesting period. When the terms and conditions are modified before they vest, any increase in the fair value of the shares, measured immediately before and after the modification, is also charged to the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share-based compensation expense for share options on a straight-line basis over the requisite service period and account for forfeitures as they occur. Our share-based compensation costs are based upon the grant date fair value of options estimated using the Black-Scholes option pricing model.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model utilizes inputs which are highly subjective assumptions and generally require significant judgment. These assumptions include:</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—Due to our limited operating history and a lack of company-specific historical 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share-based awards. We will continue to apply this process until a sufficient amount of historical information regarding the volatility of our own stock price becomes available.</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—The expected term represents the period that the stock-based awards are expected to be outstanding. We have opted to use the “simplified method” for estimating the expected term of options, whereby the expected term equals the arithmetic average of the vesting term and the original contractual term of the option, which is generally between 5 to 10 years.</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Dividend Yield</w:t>
      </w:r>
      <w:r>
        <w:rPr>
          <w:rFonts w:ascii="Times New Roman;Times;serif" w:hAnsi="Times New Roman;Times;serif"/>
          <w:sz w:val="20"/>
        </w:rPr>
        <w:t>—We have never paid dividends on our ordinary shares and have no plans to pay dividends on our ordinary shares. Therefore, we used an expected dividend yield of zero.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Redeemable Noncontrolling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consolidated subsidiary Z33 issued its Series Seed Preferred Shares to Stone Peach as a finder’s fee for the 2022 Lilly License. As the agreement to issue the Z33 preferred shares included embedded put and call features, the shares issued to Stone Peach represent redeemable noncontrolling interest that we were required to initially measure at fair value at issuance. The agreement between Z33 and Stone Peach was amended in both April 2023 and November 2023. The amendments were accounted for as extinguishments and reissuances of the Z33 Series Seed Preferred Shares which triggered the Company to remeasure the fair value of the Z33 Series Seed Preferred Shares at those points in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the shares without the embedded features was first determined using an option pricing model which utilizes inputs which are highly subjective assumptions and generally require significant judgement. These assumptions include expected volatility, expected term, the underlying value of Z33’s equity, a discount for lack of control, and a discount for lack of marketability.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then valued the embedded put and call features utilizing the Black-Scholes option pricing model utilizing inputs which are highly subjective and require significant judgement, including expected volatility, expected term, and the fair value of a Z33 preferred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2 to our consolidated financial statements located in “Part I – Financial Information, Item 1. Financial Statements” in this Annual Report for a description of recent accounting pronouncements, the timing of their adoption, and our assessment, to the extent we have made one yet, of their potential impact on our financial condition of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closing of the Business Combination, remained an emerging growth company and may elect to extend the transition period for complying with new or revised accounting standards, which delays the adoption of these accounting standards until they would apply to private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as an emerging growth company, we may take advantage of specified reduced disclosure and other requirements that are otherwise applicable generally to public companies. These provisions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an exception from compliance with the auditor attestation requirements of Section 404 of the Sarbanes-Oxley Act of 2002, as amended;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reduced disclosure about our executive compensation arrangements in our periodic reports, proxy statements and registrations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would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Accordingly, the information contained herein may be different than you might obtain from other public companies in which you hold equity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pStyle w:val="TextBody"/>
        <w:bidi w:val="0"/>
        <w:spacing w:before="0" w:after="240"/>
        <w:ind w:left="0" w:right="0" w:hanging="0"/>
        <w:jc w:val="left"/>
        <w:rPr>
          <w:rFonts w:ascii="Times New Roman;Times;serif" w:hAnsi="Times New Roman;Times;serif"/>
          <w:b/>
          <w:sz w:val="20"/>
        </w:rPr>
      </w:pPr>
      <w:bookmarkStart w:id="108" w:name="ITEM7AQUANTITATIVEANDQUALITATIVEDISCLOSU"/>
      <w:bookmarkStart w:id="109" w:name="_8c08e76b_8ae9_402c_aa06_f07873e520c2"/>
      <w:bookmarkEnd w:id="108"/>
      <w:bookmarkEnd w:id="109"/>
      <w:r>
        <w:rPr>
          <w:rFonts w:ascii="Times New Roman;Times;serif" w:hAnsi="Times New Roman;Times;serif"/>
          <w:b/>
          <w:sz w:val="20"/>
        </w:rPr>
        <w:t>ITEM 7A.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otherwise required by this Item 3.</w:t>
      </w:r>
    </w:p>
    <w:p>
      <w:pPr>
        <w:pStyle w:val="TextBody"/>
        <w:bidi w:val="0"/>
        <w:spacing w:before="0" w:after="240"/>
        <w:ind w:left="0" w:right="0" w:hanging="0"/>
        <w:jc w:val="left"/>
        <w:rPr>
          <w:rFonts w:ascii="Times New Roman;Times;serif" w:hAnsi="Times New Roman;Times;serif"/>
          <w:b/>
          <w:sz w:val="20"/>
        </w:rPr>
      </w:pPr>
      <w:bookmarkStart w:id="110" w:name="ITEM8FINANCIALSTATEMENTSANDSUPPLEMENTARY"/>
      <w:bookmarkStart w:id="111" w:name="_f8de08d8_2a2d_4ee1_b5c4_043f6fc11243"/>
      <w:bookmarkEnd w:id="110"/>
      <w:bookmarkEnd w:id="111"/>
      <w:r>
        <w:rPr>
          <w:rFonts w:ascii="Times New Roman;Times;serif" w:hAnsi="Times New Roman;Times;serif"/>
          <w:b/>
          <w:sz w:val="20"/>
        </w:rPr>
        <w:t>ITEM 8. FINANCIAL STATEMENTS AND SUPPLEMENTARY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information appears following Item 15 of this report and is included herein by reference.</w:t>
      </w:r>
    </w:p>
    <w:p>
      <w:pPr>
        <w:pStyle w:val="TextBody"/>
        <w:bidi w:val="0"/>
        <w:spacing w:before="0" w:after="240"/>
        <w:ind w:left="0" w:right="0" w:hanging="0"/>
        <w:jc w:val="both"/>
        <w:rPr>
          <w:rFonts w:ascii="Times New Roman;Times;serif" w:hAnsi="Times New Roman;Times;serif"/>
          <w:b/>
          <w:sz w:val="20"/>
        </w:rPr>
      </w:pPr>
      <w:bookmarkStart w:id="112" w:name="ITEM9CHANGESINANDDISAGREEMENTSWITHACCOUN"/>
      <w:bookmarkStart w:id="113" w:name="_031b893d_f2a8_413a_a335_d6b925b57302"/>
      <w:bookmarkEnd w:id="112"/>
      <w:bookmarkEnd w:id="113"/>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29, 2023, the Company engaged WithumSmith+Brown, PC (“Withum”) as the Company’s independent registered public accounting firm to audit the Company’s consolidated financial statements for the year ending December 31, 2023. The Company’s Board of Directors and audit committee approved Withum’s engagement. Withum served as the independent registered public accounting firm of Zura Bio Limited, a limited company incorporated under the laws of England and Wales (“Zura”), prior to the closing of the Business Combination. Accordingly, Marcum LLP (“Marcum”), the Company’s independent registered public accounting firm prior to the Business Combination, was terminated as of such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Marcum’s report of independent registered public accounting firm dated March 28, 2023 on the Company’s balance sheet as of December 31, 2022, the related statements of operations, shareholders’ deficit and cash flows for the period from March 10, 2021 (the Company’s inception) through December 31, 2022 and the related notes to the financial statements did not contain any adverse opinion or disclaimer of opinion, and were not qualified or modified as to uncertainties, audit scope or accounting principles.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period from March 10, 2021 (the Company’s inception) through December 31, 2022 and the subsequent interim period through March 29, 2023, there were no “disagreements” (as such term is defined in Item 304(a)(1)(iv) of Regulation S-K) with Marcum on any matter of accounting principles or practices, financial statement disclosure, or auditing scope or procedures, which disagreements, if not resolved to the satisfaction of Marcum, would have caused Marcum to make reference thereto in its reports on the Company’s financial statements for such periods. During the period from March 10, 2021 (the Company’s inception) through December 31, 2022 and the subsequent interim period through March 29, 2023, there have been no “reportable events” (as such term is defined in Item 304(a)(1)(v) of Regulation S-K) other than the material weakness in internal controls identified by management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lack of ability to account for complex financial instruments and the improper accounting and reporting in the Company’s historical financial statements of certain proceeds from the Company’s initial public offering.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period from March 10, 2021 (the Company’s inception) through December 31, 2022 and the subsequent interim period through March 29, 2023, (i) the Company did not (a) consult with Withum as to the application of accounting principles to a specified transaction, either completed or proposed, or the type of audit opinion that might be rendered on the Company’s consolidated financial statements and (b) receive a written report or oral advice that Withum concluded was an important factor considered by the Company in reaching a decision as to such accounting, auditing, or financial reporting issue; and (ii) the Company did not consult Withum on any matter that was either the subject of a “disagreement” (as that term is defined in Item 304(a)(1)(iv) of Regulation S-K and the related instructions) or a “reportable event” (as that term is defined in Item 304(a)(1)(v) of Regulation S-K).</w:t>
      </w:r>
    </w:p>
    <w:p>
      <w:pPr>
        <w:pStyle w:val="TextBody"/>
        <w:bidi w:val="0"/>
        <w:spacing w:before="0" w:after="240"/>
        <w:ind w:left="0" w:right="0" w:hanging="0"/>
        <w:jc w:val="left"/>
        <w:rPr>
          <w:rFonts w:ascii="Times New Roman;Times;serif" w:hAnsi="Times New Roman;Times;serif"/>
          <w:b/>
          <w:sz w:val="20"/>
        </w:rPr>
      </w:pPr>
      <w:bookmarkStart w:id="114" w:name="ITEM9ACONTROLSANDPROCEDURES_948383"/>
      <w:bookmarkStart w:id="115" w:name="_2bd9795f_81d4_4db1_bc27_4a16e2a4f19e"/>
      <w:bookmarkEnd w:id="114"/>
      <w:bookmarkEnd w:id="115"/>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December 31, 2023,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Management’s Report on Internal Controls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such term is defined in Exchange Act Rule 13a-15(f). Under the supervision and with the participation of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management concluded that our internal control over financial reporting was effective as of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 Attestation Report of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10-K does not contain an attestation report of our registered public accounting firm regarding internal control over financial reporting since the Company, as an “emerging growth company” is not required to provide such report pursuant to Section 404.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identified in connection with the evaluation required by Rule 13a-15(d) and 15d-15(d) of the Securities Exchange Act of 1934 that occurred during the quarter ended December 31, 2023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Inherent Limitations on Effectiveness of Internal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6" w:name="ITEM9BOTHERINFORMATION_528717"/>
      <w:bookmarkStart w:id="117" w:name="_008ffc5f_83a2_40c0_8b2b_56f2564297db"/>
      <w:bookmarkEnd w:id="116"/>
      <w:bookmarkEnd w:id="117"/>
      <w:r>
        <w:rPr>
          <w:rFonts w:ascii="Times New Roman;Times;serif" w:hAnsi="Times New Roman;Times;serif"/>
          <w:b/>
          <w:sz w:val="20"/>
        </w:rPr>
        <w:t>ITEM 9B. 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24, 2024, the Board of Directors approved a CEO transition from Someit Sidhu, our Founder, Chief Executive Officer and Director, to Robert Lisicki, effective April 8, 2024. Dr. Sidhu joined Zura Bio as the founding CEO at the time Zura Bio became a public company. Dr. Sidhu led the in-licensing of the Company’s current pipeline molecules including tibulizumab, a bispecific antibody which is a dual antagonist of BAFF and IL-17. In addition, Dr. Sidhu completed a successful capital raise enabling the Company to meaningfully advance the development of its assets.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Mr. Lisicki, the Company’s current President and Chief Operating Officer, will be promoted to the Company’s Chief Executive Officer on April 8, 2024. Dr. Sidhu will remain on the Board as a non-independent Director and Mr. Lisicki will join the Board as a non-independent Director increasing its membership from nine Directors to ten.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otherwise set forth herein, there is no arrangement or understanding between Mr. Lisicki and any other person pursuant to which he was appointed as the Chief Executive Officer, and there are no transactions in which Mr. Lisicki has an interest requiring disclosure under Item 404(a) of Regulation S-K. In connection with the appointment, the Company expects to enter into its standard indemnification agreement with Mr. Lisicki, on substantially the same terms as the indemnification agreements previously entered into between the Company and each of its directors and executive officers.</w:t>
      </w:r>
    </w:p>
    <w:p>
      <w:pPr>
        <w:pStyle w:val="TextBody"/>
        <w:bidi w:val="0"/>
        <w:spacing w:before="0" w:after="240"/>
        <w:ind w:left="0" w:right="0" w:hanging="0"/>
        <w:jc w:val="left"/>
        <w:rPr>
          <w:rFonts w:ascii="Times New Roman;Times;serif" w:hAnsi="Times New Roman;Times;serif"/>
          <w:b/>
          <w:sz w:val="20"/>
        </w:rPr>
      </w:pPr>
      <w:bookmarkStart w:id="118" w:name="ITEM9CDISCLOSUREREGARDINGFOREIGNJURISDIC"/>
      <w:bookmarkStart w:id="119" w:name="_ad17d344_1dc9_4b2b_a88f_bb13fc308cf2"/>
      <w:bookmarkEnd w:id="118"/>
      <w:bookmarkEnd w:id="119"/>
      <w:r>
        <w:rPr>
          <w:rFonts w:ascii="Times New Roman;Times;serif" w:hAnsi="Times New Roman;Times;serif"/>
          <w:b/>
          <w:sz w:val="20"/>
        </w:rPr>
        <w:t>ITEM 9C. 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0" w:name="PARTIII_610072"/>
      <w:bookmarkStart w:id="121" w:name="_9d47f181_fe2a_4afd_b3d3_95b152d016f0"/>
      <w:bookmarkEnd w:id="120"/>
      <w:bookmarkEnd w:id="12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22" w:name="ITEM10DIRECTORSEXECUTIVEOFFICERSANDCORPO"/>
      <w:bookmarkEnd w:id="122"/>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b/>
          <w:sz w:val="20"/>
        </w:rPr>
      </w:pPr>
      <w:bookmarkStart w:id="123" w:name="DirectorsandExecutiveOfficers_573908"/>
      <w:bookmarkEnd w:id="123"/>
      <w:r>
        <w:rPr>
          <w:rFonts w:ascii="Times New Roman;Times;serif" w:hAnsi="Times New Roman;Times;serif"/>
          <w:b/>
          <w:sz w:val="20"/>
        </w:rPr>
        <w:t>Directors and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Directors and Executive Officers are as follows:</w:t>
      </w:r>
    </w:p>
    <w:tbl>
      <w:tblPr>
        <w:tblW w:w="7589" w:type="dxa"/>
        <w:jc w:val="left"/>
        <w:tblInd w:w="0" w:type="dxa"/>
        <w:tblLayout w:type="fixed"/>
        <w:tblCellMar>
          <w:top w:w="0" w:type="dxa"/>
          <w:left w:w="0" w:type="dxa"/>
          <w:bottom w:w="0" w:type="dxa"/>
          <w:right w:w="0" w:type="dxa"/>
        </w:tblCellMar>
      </w:tblPr>
      <w:tblGrid>
        <w:gridCol w:w="2356"/>
        <w:gridCol w:w="326"/>
        <w:gridCol w:w="391"/>
        <w:gridCol w:w="326"/>
        <w:gridCol w:w="4036"/>
        <w:gridCol w:w="154"/>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96060" cy="29210"/>
                      <wp:effectExtent l="0" t="0" r="0" b="0"/>
                      <wp:wrapNone/>
                      <wp:docPr id="29" name="Frame23"/>
                      <a:graphic xmlns:a="http://schemas.openxmlformats.org/drawingml/2006/main">
                        <a:graphicData uri="http://schemas.microsoft.com/office/word/2010/wordprocessingShape">
                          <wps:wsp>
                            <wps:cNvSpPr txBox="1"/>
                            <wps:spPr>
                              <a:xfrm>
                                <a:off x="0" y="0"/>
                                <a:ext cx="1496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48285" cy="29210"/>
                      <wp:effectExtent l="0" t="0" r="0" b="0"/>
                      <wp:wrapNone/>
                      <wp:docPr id="30" name="Frame24"/>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562860" cy="29210"/>
                      <wp:effectExtent l="0" t="0" r="0" b="0"/>
                      <wp:wrapNone/>
                      <wp:docPr id="31" name="Frame25"/>
                      <a:graphic xmlns:a="http://schemas.openxmlformats.org/drawingml/2006/main">
                        <a:graphicData uri="http://schemas.microsoft.com/office/word/2010/wordprocessingShape">
                          <wps:wsp>
                            <wps:cNvSpPr txBox="1"/>
                            <wps:spPr>
                              <a:xfrm>
                                <a:off x="0" y="0"/>
                                <a:ext cx="2562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7790" cy="29210"/>
                      <wp:effectExtent l="0" t="0" r="0" b="0"/>
                      <wp:wrapNone/>
                      <wp:docPr id="32" name="Frame26"/>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w:t>
            </w:r>
          </w:p>
        </w:tc>
        <w:tc>
          <w:tcPr>
            <w:tcW w:w="154"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2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403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Someit Sidhu</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Founder, Chief Executive Officer and Director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Lisicki</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Operating Officer</w: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Gary Whale</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Technology Officer</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Kim Davis</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Secretary and Chief Legal Officer</w: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Kiran Nistala</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Medical Officer and Head of Development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Howell</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Scientific Officer </w: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Verender Badial</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Non-employee Directors</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Amit Munshi </w:t>
            </w:r>
            <w:r>
              <w:rPr>
                <w:rFonts w:ascii="Times New Roman;Times;serif" w:hAnsi="Times New Roman;Times;serif"/>
                <w:sz w:val="13"/>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Chairman of the Board</w: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Sandeep Kulkarni </w:t>
            </w:r>
            <w:r>
              <w:rPr>
                <w:rFonts w:ascii="Times New Roman;Times;serif" w:hAnsi="Times New Roman;Times;serif"/>
                <w:sz w:val="13"/>
              </w:rPr>
              <w:t>(2)(3)</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Arnout Ploos van Amstel </w:t>
            </w:r>
            <w:r>
              <w:rPr>
                <w:rFonts w:ascii="Times New Roman;Times;serif" w:hAnsi="Times New Roman;Times;serif"/>
                <w:sz w:val="13"/>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Steve Schoch </w:t>
            </w:r>
            <w:r>
              <w:rPr>
                <w:rFonts w:ascii="Times New Roman;Times;serif" w:hAnsi="Times New Roman;Times;serif"/>
                <w:sz w:val="13"/>
              </w:rPr>
              <w:t>(1)</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Jennifer Jarrett </w:t>
            </w:r>
            <w:r>
              <w:rPr>
                <w:rFonts w:ascii="Times New Roman;Times;serif" w:hAnsi="Times New Roman;Times;serif"/>
                <w:sz w:val="13"/>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Neil Graham </w:t>
            </w:r>
            <w:r>
              <w:rPr>
                <w:rFonts w:ascii="Times New Roman;Times;serif" w:hAnsi="Times New Roman;Times;serif"/>
                <w:sz w:val="13"/>
              </w:rPr>
              <w:t>(3)</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20"/>
              </w:rPr>
              <w:t xml:space="preserve">Parvinder Thiara </w:t>
            </w:r>
            <w:r>
              <w:rPr>
                <w:rFonts w:ascii="Times New Roman;Times;serif" w:hAnsi="Times New Roman;Times;serif"/>
                <w:sz w:val="13"/>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tbl>
      <w:tblPr>
        <w:tblW w:w="3137" w:type="dxa"/>
        <w:jc w:val="left"/>
        <w:tblInd w:w="0" w:type="dxa"/>
        <w:tblLayout w:type="fixed"/>
        <w:tblCellMar>
          <w:top w:w="0" w:type="dxa"/>
          <w:left w:w="0" w:type="dxa"/>
          <w:bottom w:w="0" w:type="dxa"/>
          <w:right w:w="0" w:type="dxa"/>
        </w:tblCellMar>
      </w:tblPr>
      <w:tblGrid>
        <w:gridCol w:w="346"/>
        <w:gridCol w:w="27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Audit Committee</w:t>
            </w:r>
          </w:p>
        </w:tc>
      </w:tr>
    </w:tbl>
    <w:tbl>
      <w:tblPr>
        <w:tblW w:w="3857" w:type="dxa"/>
        <w:jc w:val="left"/>
        <w:tblInd w:w="0" w:type="dxa"/>
        <w:tblLayout w:type="fixed"/>
        <w:tblCellMar>
          <w:top w:w="0" w:type="dxa"/>
          <w:left w:w="0" w:type="dxa"/>
          <w:bottom w:w="0" w:type="dxa"/>
          <w:right w:w="0" w:type="dxa"/>
        </w:tblCellMar>
      </w:tblPr>
      <w:tblGrid>
        <w:gridCol w:w="346"/>
        <w:gridCol w:w="35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Compensation Committee</w:t>
            </w:r>
          </w:p>
        </w:tc>
      </w:tr>
    </w:tbl>
    <w:tbl>
      <w:tblPr>
        <w:tblW w:w="5867" w:type="dxa"/>
        <w:jc w:val="left"/>
        <w:tblInd w:w="0" w:type="dxa"/>
        <w:tblLayout w:type="fixed"/>
        <w:tblCellMar>
          <w:top w:w="0" w:type="dxa"/>
          <w:left w:w="0" w:type="dxa"/>
          <w:bottom w:w="0" w:type="dxa"/>
          <w:right w:w="0" w:type="dxa"/>
        </w:tblCellMar>
      </w:tblPr>
      <w:tblGrid>
        <w:gridCol w:w="346"/>
        <w:gridCol w:w="552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Nominating and Corporate Governance Committee</w:t>
            </w:r>
          </w:p>
        </w:tc>
      </w:tr>
    </w:tbl>
    <w:p>
      <w:pPr>
        <w:pStyle w:val="TextBody"/>
        <w:bidi w:val="0"/>
        <w:spacing w:before="0" w:after="240"/>
        <w:ind w:left="0" w:right="0" w:hanging="0"/>
        <w:jc w:val="left"/>
        <w:rPr>
          <w:rFonts w:ascii="Times New Roman;Times;serif" w:hAnsi="Times New Roman;Times;serif"/>
          <w:b/>
          <w:sz w:val="20"/>
        </w:rPr>
      </w:pPr>
      <w:bookmarkStart w:id="124" w:name="ExecutiveOfficers_694591"/>
      <w:bookmarkEnd w:id="124"/>
      <w:r>
        <w:rPr>
          <w:rFonts w:ascii="Times New Roman;Times;serif" w:hAnsi="Times New Roman;Times;serif"/>
          <w:b/>
          <w:sz w:val="20"/>
        </w:rPr>
        <w:t>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Someit Sidhu, </w:t>
      </w:r>
      <w:r>
        <w:rPr>
          <w:rFonts w:ascii="Times New Roman;Times;serif" w:hAnsi="Times New Roman;Times;serif"/>
          <w:sz w:val="20"/>
        </w:rPr>
        <w:t>has served as a Founder, Chief Executive Officer and Director since March 2023. He will resign from his position as Chief Executive Officer on April 8, 2024 (he will continue to serve as a director). He is the Co-Founder and has been the CEO of Akaza Bioscience since 2019 and the CEO of Izana Bioscience since 2017 as well as the Co-Founder of Pathios Therapeutics. Since July 2021, Dr. Sidhu has served as the Chairman and Chief Executive Officer of JATT Acquisition Corp. Dr. Sidhu has broad expertise covering various topics in the life sciences industry. Prior to these companies, he advised many large international pharmaceutical companies as a management consultant at McKinsey &amp; Co, where he primarily focused on Pharmaceutical R&amp;D and Portfolio Strategy. Dr. Sidhu gained medical experience during his time in Cardiology and General Surgery after graduating from the Oxford Medical School. We believe Dr. Sidhu is well-qualified to serve as a Director due to his extensive operational and investment experience in the life sciences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Verender S. Badial,</w:t>
      </w:r>
      <w:r>
        <w:rPr>
          <w:rFonts w:ascii="Times New Roman;Times;serif" w:hAnsi="Times New Roman;Times;serif"/>
          <w:sz w:val="20"/>
        </w:rPr>
        <w:t> has served as Chief Financial Officer since March 2023. He has more than 20 years of experience as an investment banker and is currently Managing Director of Cryfield Investments, which he founded in 2015 and is responsible for the corporate finance services and capital fundraising activities. Between 1997 and 2015, Mr. Badial held executive functions in the Equity Capital Markets departments of Rothschild (ABN AMRO) and Societe Generale, allowing him to leverage rich experience in structuring and executing equity capital markets transactions as well as building up an extensive network. Mr. Badial also held the role of Managing Director with Rothschild (ABN AMRO) and Societe Generale within the investment banks and is experienced in both buy- and sell-side advisory transactions incorporating leveraged and structured equity and debt finance solutions with a key focus on financial sponsor portfolios in pharma and healthcare. Mr. Badial brings unique capabilities for the target identification and business combination processes based on his expertise from acquiring and funding numerous corporates, raising capital for M&amp;A and IPOs coupled with significant expertise in analyzing potential financial or management improvements to operational businesses. Mr. Badial graduated with an honor’s degree from the London School of Economics &amp; Political Science.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Kim Davis</w:t>
      </w:r>
      <w:r>
        <w:rPr>
          <w:rFonts w:ascii="Times New Roman;Times;serif" w:hAnsi="Times New Roman;Times;serif"/>
          <w:sz w:val="20"/>
        </w:rPr>
        <w:t> is our Secretary and Chief Legal Officer and served in such position at Legacy Zura since September 2022. Previously, Ms. Davis served as Vice President, Deputy General Counsel and Chief Compliance Officer of Arena Pharmaceuticals, Inc. from 2020 to until its acquisition by Pfizer in September 2022. From 2014 to 2020, Ms. Davis was Vice President and Chief Compliance Officer of Kaleo, Inc. From 2011 to 2014, Ms. Davis was Vice President and Health Care Law &amp; Compliance Officer of Impax Laboratories, Inc. (now Amneal Pharmaceuticals LLC). In previous roles, Ms. Davis was Executive Director from 2008 to 2011 and Associate General Counsel from 2000 to 2008 at Amgen, Inc. Ms. Davis holds a Juris Doctor from Pepperdine University School of Law, and a Bachelor of Arts in Business Management from Sweet Briar College.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Gary Whale</w:t>
      </w:r>
      <w:r>
        <w:rPr>
          <w:rFonts w:ascii="Times New Roman;Times;serif" w:hAnsi="Times New Roman;Times;serif"/>
          <w:sz w:val="20"/>
        </w:rPr>
        <w:t> has served as Chief Technology Officer since the Business Combination and served in such position at Legacy Zura since February 2023. Before joining Legacy Zura, Dr. Whale was employed as Vice President, Global Head of Technical Operations at EUSA Pharma, starting in May 2020. until the company was successfully sold in 2022 to a larger Italian specialty care company, Recordati S.p.A. Prior to this, from January 2018 to April 2020, Dr. Whale was Chief Operating Officer at VHsquared, a biotech start-up company. From March 2014 to January 2018, Dr. Whale was VP CMC &amp; Manufacturing Operations at VHsquared. Previously, Dr. Whale spent a number of years at other companies, such as: Emergent BioSolutions from January 2007 to June 2013, Microscience Ltd from September 2002 to May 2007 and Proctor and Gamble from November 1996 to October 1999, all of which were in a technical operations role. Dr. Whale holds a bachelor’s degree in Biochemistry and a master’s degree in Microbiology from the University of London, and a PhD in the purification and characterization of bacterial cell surface antigens from Robert Gordon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Michael Howell</w:t>
      </w:r>
      <w:r>
        <w:rPr>
          <w:rFonts w:ascii="Times New Roman;Times;serif" w:hAnsi="Times New Roman;Times;serif"/>
          <w:sz w:val="20"/>
        </w:rPr>
        <w:t> has served as Chief Scientific Officer since April 2023, and previously served as Senior Vice President for Translational Medicine of Zura since December 2022. Dr. Howell concurrently serves as Founder of Mountaineer Biosciences, Inc since January 2022, as Scientific Advisor of Ornovi, Inc. since August 2020 and as Co-Founder of Galileo Biosystems Inc. since June 2021. Previously, Dr. Howell served as Scientific Advisor of Galileo Biosystems Inc. from February 2020 until June 2021. From August 2020 to November 2022, Dr. Howell was Chief Scientific Officer of DermTech, Inc. Prior to this, Dr. Howell was Senior Director of Translational Medicine of Incyte Corporation from October 2016 to August 2020. In previous roles, Dr. Howell was Principal Scientist and Associate Director at MedImmune, LLC from December 2013 to November 2016, Senior Director of Biomarker and Discovery Research at the Immune Tolerance Network from June 2012 to December 2013, and Principal Scientist of Boehringer Ingelheim GmbH from April 2010 to August 2012. Dr. Howell holds a Bachelor of Science in Biology and Chemistry from Messiah University and a Ph.D. in Microbiology and Immunology from West Virginia University School of Medicine.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Kiran Nistala </w:t>
      </w:r>
      <w:r>
        <w:rPr>
          <w:rFonts w:ascii="Times New Roman;Times;serif" w:hAnsi="Times New Roman;Times;serif"/>
          <w:sz w:val="20"/>
        </w:rPr>
        <w:t>has served as Chief Medical Officer and Head of Development since November 2023. He is an experienced physician and immunologist with nearly two decades of expertise in translational medicine and the strategic design of clinical trials, spanning a diverse spectrum of medical disorders. His primary areas of specialization encompass rheumatology, dermatology, and respiratory disorders. From March 2020 to October 2023, Dr. Nistala served as the Vice President of late-stage clinical development in Immunology at AstraZeneca, where he was instrumental to their therapeutic build in autoimmune disease. His primary focus was on Immunology programs aimed at addressing conditions such as lupus, myositis, and eosinophilic disorders. He led the clinical team and set the strategy for AZ’s scleroderma Phase 3 trial. Prior to his tenure at AstraZeneca, Dr. Nistala held a series of increasingly senior positions at GlaxoSmithKline from December 2015 to February 2020, where his contributions ranged from pivotal roles in research strategy, immune safety governance boards, design of clinical protocols and championing translational medicine initiatives. In addition to his corporate roles, Dr. Nistala served as an Honorary Consultant in pediatric rheumatology at Great Ormond Street Hospital for Children NHS Foundation Trust in the United Kingdom, demonstrating his commitment to both academic and clinical excellence. Dr. Nistala earned a bachelor’s degree in Psychology from the University of Cambridge in 1993, an MBBS in 1996 and a PhD in Immunology in 2010 from University College London, and completed his scientific training with a prestigious Clinician Scientist Fellowship from the Wellcome Trust in 2015.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Robert Lisicki </w:t>
      </w:r>
      <w:r>
        <w:rPr>
          <w:rFonts w:ascii="Times New Roman;Times;serif" w:hAnsi="Times New Roman;Times;serif"/>
          <w:sz w:val="20"/>
        </w:rPr>
        <w:t>has served as President and Chief Operating Officer since January 2024. He will become our Chief Executive Officer and a director on April 8, 2024. He is an experienced executive leader with a career spanning 30 years in the biopharmaceutical industry. Mr. Robert Lisicki has been serving on the boards of Adiso Therapeutics and Cadrenal Therapeutics, Inc. since October 2023 and July 2023, respectively. He served as the Chief Commercial Officer at Arena Pharmaceuticals from October 2018 to March 2022, a prominent biopharmaceutical company acquired by Pfizer for $6.7 billion in 2022. At Arena, Mr. Robert Lisicki had accountability for building the company’s global commercial infrastructure and contributed to its mergers and acquisitions activities totaling nearly $8.0 billion. Prior to Arena, Mr. Robert Lisicki served as Vice President and General Manager of Inflammation and Cardiovascular at Regeneron Pharmaceuticals. In this dual role, he led both commercial and developmental initiatives. His career also includes senior leadership roles as CEO and Board Member, InCarda Therapeutics; CCO, Daiichi Sankyo, Inc.; and VP, Amgen, with his initial experience in sales and marketing at The Janssen Pharmaceutical Companies of Johnson &amp; Johnson. He holds a Bachelor of Science degree in Finance and Economics from the State University of New York, Albany, New York.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 w:name="NonemployeeDirectors_945563"/>
      <w:bookmarkEnd w:id="125"/>
      <w:r>
        <w:rPr>
          <w:rFonts w:ascii="Times New Roman;Times;serif" w:hAnsi="Times New Roman;Times;serif"/>
          <w:b/>
          <w:sz w:val="20"/>
        </w:rPr>
        <w:t>Non-employee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Amit D. Munshi</w:t>
      </w:r>
      <w:r>
        <w:rPr>
          <w:rFonts w:ascii="Times New Roman;Times;serif" w:hAnsi="Times New Roman;Times;serif"/>
          <w:sz w:val="20"/>
        </w:rPr>
        <w:t> has served as the Chairman of our Board of Directors since March 2023 and with Legacy Zura since November 2022. Currently, Mr. Munshi is the Chief Executive Officer &amp; President at ReNAgade Therapeutics. Prior, Mr. Munshi was President and Chief Executive Officer of Arena Pharmaceuticals Inc. from May 2016 to March 2022 and a member of the Board of Directors from June 2016 until March 2022, when Arena Pharmaceuticals was sold to Pfizer Inc. Previously, Mr. Munshi served as President and Chief Executive Officer and as a director of 288 Epirus Biopharmaceuticals, Inc., a biopharmaceutical company focused on biosimilars, and Percivia LLC, a biotechnology company which was sold to Johnson &amp; Johnson. Subsequent to an asset sale, in July 2016, Epirus filed a voluntary Chapter 7 petition in the United States Bankruptcy Court for the District of Massachusetts. Prior to Epirus and Percivia, Mr. Munshi was a co-founder and served as Chief Business Officer of Kythera Biopharmaceuticals, Inc. from 2005 to 2010, which was sold to Allergan plc, and held multiple leadership positions at Amgen Inc. from 1997 to 2005, including General Manager, Nephrology Europe. He has served as the Chairman of the Board of Enterprise Therapeutics since January 2020.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Simultaneously, Mr. Munshi has also served as a member of the Board of Directors and Audit Committee of Galecto Inc. (GLTO) since January 2020. Mr. Munshi likewise served as a member of the Board and Audit Committee of Pulmatrix Inc. (PULM) from June 2017 until March 2021. Additionally, Mr. Munshi currently serves as a director of two U.S. subsidiaries of Zura: Zura Bio Inc. and Z33 Bio Inc. Mr. Munshi holds a B.S. in Economics and a B.A. in History from the University of California, Riverside, and an M.B.A. from the Peter F. Drucker School of Management at Claremont Graduate University. Mr. Munshi has more than 30 years of global biopharmaceutical industry experience in executive management, business development, product development and portfolio management. Mr. Munshi’s vast executive management and business experience in the global biopharmaceutical industry and in-depth knowledge of product development gives him the qualifications, attributes and skills to serve as one of our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Arnout Ploos van Amstel,</w:t>
      </w:r>
      <w:r>
        <w:rPr>
          <w:rFonts w:ascii="Times New Roman;Times;serif" w:hAnsi="Times New Roman;Times;serif"/>
          <w:sz w:val="20"/>
        </w:rPr>
        <w:t> has served as a director since November 9, 2023 is an executive leader in Life Sciences/Biotech with more than 30 years of business and operations experience in a wide variety of leadership positions and geographies. Arnout consistently excelled in devising and implementing comprehensive strategies across Development, Medical, and Commercial-Access domains. He founded Apaxcel Life Sciences GmbH in April 2019, a consulting company that supports biopharma customers in creating strategies that accelerate outcomes. He is currently serving as strategic consultant through Apaxcel Life Sciences GmbH. He is a founder of MoonLake Immuntherapeutics AG since January 2020, a biotech company dedicated to next-level therapies in inflammatory diseases. From July 2010 to March 2019, he worked as the President and Managing Director and then Senior Vice President for Novartis, leading its Global Business Unit Immunology/Dermatology where he achieved remarkable portfolio growth, notably with the success of COSENTYX® (secukinumab), XOLAIR® (omalizumab) for chronic spontaneous urticaria (CSU), and with the consistent growth of "orphan blockbuster" ILARIS® (canakinumab). Mr. Ploos van Amstel’s experience includes leadership roles at Wyeth Pharmaceuticals and Novartis with executive positions in the US, Canada, Greece, the Netherlands and Switzerland. He was born and raised in the Netherlands and holds a Master’s degree in Economics from the University of Groningen.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Jennifer Jarrett,</w:t>
      </w:r>
      <w:r>
        <w:rPr>
          <w:rFonts w:ascii="Times New Roman;Times;serif" w:hAnsi="Times New Roman;Times;serif"/>
          <w:sz w:val="20"/>
        </w:rPr>
        <w:t> has served as a director since March 2023 and with Legacy Zura since January 2023. Ms. Jarrett has served as Chief Operating Officer of Arcus Biosciences, a biotechnology company, since October 2020. From January 2019 through September 2020, she served as Vice President of Corporate Development and Capital Markets of Uber Technologies, a technology company, and from June 2018 to January 2019 served as Arcus Bioscience’s Chief Operating Officer and Chief Financial Officer and as its Chief Business Officer and Chief Financial Officer from March 2017 to June 2018. From March 2016 to October 2016, Ms. Jarrett was the Chief Financial Officer of Medivation, a commercial biopharmaceutical company, which was acquired by Pfizer. Before Medivation, Ms. Jarrett spent 20 years in investment banking, most recently at Citigroup where she ran the firm’s west coast life sciences investment banking practice, and prior to that at Credit Suisse and Donaldson, Lufkin &amp; Jenrette. Ms. Jarrett currently serves on the board of Arcus Biosciences, Inc. and Syndax Pharmaceuticals, Inc., each of which is a publicly traded company, and previously served on the boards of Arena Pharmaceuticals, Inc. Audentes Therapeutics, Inc. and Consonance-HFW Acquisition Corp. Ms. Jarrett received a B.A. in Economics from Dartmouth College and her M.B.A. from the Stanford Graduate School of Business. We believe she is well-qualified to serve as a director due to her extensive finance and operational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26" w:name="NeilGrahamMBBSMDMPH_514395"/>
      <w:bookmarkEnd w:id="126"/>
      <w:r>
        <w:rPr>
          <w:rFonts w:ascii="Times New Roman;Times;serif" w:hAnsi="Times New Roman;Times;serif"/>
          <w:b/>
          <w:sz w:val="20"/>
        </w:rPr>
        <w:t>Neil Graham M.B.B.S., M.D., M.P.H.,</w:t>
      </w:r>
      <w:r>
        <w:rPr>
          <w:rFonts w:ascii="Times New Roman;Times;serif" w:hAnsi="Times New Roman;Times;serif"/>
          <w:sz w:val="20"/>
        </w:rPr>
        <w:t> has served as a director since March 2023 and with Legacy Zura since January 2023. Dr. Graham, is an expert in immunology and inflammation with more than 30 years’ experience in global drug development and commercialization, crossing early and late-stage clinical trials in dermatology, allergy, rheumatology, virology, and pulmonology. From February 2021 to January 2022, Dr. Graham served as Chief Medical Officer of Tiziana Life Sciences LTD, a biotechnology company. Prior to Tiziana, Dr. Graham was VP-Strategic Program Direction &amp; Immunology at Regeneron Pharmaceuticals, Inc. from April 2010 to January 2020. In previous roles, Dr. Graham occupied the position of Chief Operating Officer at XTL Biopharmaceuticals Ltd. from January 2002 to June 2005, SVP-Program &amp; Portfolio Management at Trimeris, Inc. from June 2005 to February 2007, Senior Vice President-Program &amp; Portfolio at Vertex, Inc. from April 2007 to November 2009 and Associate Professor at Johns Hopkins Bloomberg School of Public Health from October 1989 to March 1997. Dr. Graham currently serves on the boards of ASLAN Pharmaceuticals and Pharmaxis Ltd. Dr. Graham holds an MD, MPH, MBBS from the University of Adelaide. We believe he is well-qualified to serve as a director due to his extensive scientific and operational experience.</w:t>
      </w:r>
    </w:p>
    <w:p>
      <w:pPr>
        <w:pStyle w:val="TextBody"/>
        <w:bidi w:val="0"/>
        <w:spacing w:before="0" w:after="240"/>
        <w:ind w:left="0" w:right="0" w:firstLine="720"/>
        <w:jc w:val="both"/>
        <w:rPr>
          <w:rFonts w:ascii="Times New Roman;Times;serif" w:hAnsi="Times New Roman;Times;serif"/>
          <w:sz w:val="20"/>
        </w:rPr>
      </w:pPr>
      <w:bookmarkStart w:id="127" w:name="ParvinderThiara_596932"/>
      <w:bookmarkEnd w:id="127"/>
      <w:r>
        <w:rPr>
          <w:rFonts w:ascii="Times New Roman;Times;serif" w:hAnsi="Times New Roman;Times;serif"/>
          <w:b/>
          <w:sz w:val="20"/>
        </w:rPr>
        <w:t>Parvinder Thiara</w:t>
      </w:r>
      <w:r>
        <w:rPr>
          <w:rFonts w:ascii="Times New Roman;Times;serif" w:hAnsi="Times New Roman;Times;serif"/>
          <w:sz w:val="20"/>
        </w:rPr>
        <w:t> has served as a member of our board of directors since June 2022. Mr. Thiara founded Athanor Capital in January 2017, a New York-based hedge fund manager, and currently serves as its Chief Investment Officer. Mr. Thiara also serves as a member of Tourmaline Bio’s board of directors since September 2022. Previously, Mr. Thiara held various roles at D.E. Shaw &amp; Co., including most recently as a Senior Vice President. Mr. Thiara earned a B.A. degree in Chemistry from Harvard College and an M.Sc. degree in Theoretical Chemistry from Oxford University as a Rhodes Scholar. ZB believes Mr. Thiara is qualified to serve on its board of directors due to his medical and scientific background, combined with his significant experience as a manager and investor in the life sciences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Sandeep C. Kulkarni, M.D.,</w:t>
      </w:r>
      <w:r>
        <w:rPr>
          <w:rFonts w:ascii="Times New Roman;Times;serif" w:hAnsi="Times New Roman;Times;serif"/>
          <w:sz w:val="20"/>
        </w:rPr>
        <w:t> has served as a director of Zura since March 2023 and served as a Director of Legacy Zura since March 31, 2022. He is currently the Chief Executive Officer and co-founder of Tourmaline Bio, LLC, since September 2021. Prior to this, Dr. Kulkarni was a Managing Director at KVP Capital from August 2020 to June 2022. Prior to KVP, Dr. Kulkarni served in multiple roles at RoivantSciences from July 2018 to June 2020, including as the Chief Operating Officer of lmmunovant, Inc, Vice President Special Projects, and Ombudsman to the Investment Committee. From September 2017 to February 2018, Dr. Kulkarni was Senior Investment Analyst at Consonance Capital, a healthcare investment firm, and Investment Analyst on the Life Sciences team at QVT Financial LP from April 2013 to August 2017. From August 2009 to May 2012, Dr. Kulkarni was a consultant, then Project Leader at the Boston Consulting Group, Inc., where he focused on the biopharma sector. Dr. Kulkarni earned a B.A. in Economics from Harvard College and an M.D. from the University of California, San Francisco.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Steve Schoch,</w:t>
      </w:r>
      <w:r>
        <w:rPr>
          <w:rFonts w:ascii="Times New Roman;Times;serif" w:hAnsi="Times New Roman;Times;serif"/>
          <w:sz w:val="20"/>
        </w:rPr>
        <w:t> has served as a director since March 2023 and with Legacy Zura since January 2023. He served as a member of the Board of Directors of Arena Pharmaceuticals and chaired the Audit Committee from June, 2021 until the company was acquired by Pfizer in March of 2022. Mr. Schoch currently serves as Chief Operating Officer and Chief Financial Officer of FLYR Labs, a position he has held since 2022. Prior to joining FLYR Labs, Mr. Schoch served as Chief Financial Officer at 23andMe, Inc. from 2018 to 2022. Mr. Schoch served as the Chief Executive Officer of Miramax Films NY, LLC from 2012 – 2017, while concurrently serving as Miramax’s Chief Financial Officer, a position he held beginning in 2010. From 2001 to 2010, Mr. Schoch held various senior financial positions at Amgen, Inc., including Corporate Controller and divisional Financial Vice President. He served as the Executive Vice President and Chief Financial Officer of eToys, Inc. from 1999 to 2001. Prior to eToys, Inc., Mr. Schoch held a variety of financial positions in the media industry, including at The Walt Disney Company and the Times Mirror Company. Mr. Schoch holds a B.S. in Civil Engineering degree from Tufts University and a M.B.A. degree from the Tuck School of Business Administration, Dartmouth College.</w:t>
      </w:r>
    </w:p>
    <w:p>
      <w:pPr>
        <w:pStyle w:val="TextBody"/>
        <w:bidi w:val="0"/>
        <w:spacing w:before="0" w:after="240"/>
        <w:ind w:left="0" w:right="0" w:hanging="0"/>
        <w:jc w:val="left"/>
        <w:rPr>
          <w:rFonts w:ascii="Times New Roman;Times;serif" w:hAnsi="Times New Roman;Times;serif"/>
          <w:b/>
          <w:sz w:val="20"/>
        </w:rPr>
      </w:pPr>
      <w:bookmarkStart w:id="128" w:name="DirectorIndependence_125138"/>
      <w:bookmarkEnd w:id="128"/>
      <w:r>
        <w:rPr>
          <w:rFonts w:ascii="Times New Roman;Times;serif" w:hAnsi="Times New Roman;Times;serif"/>
          <w:b/>
          <w:sz w:val="20"/>
        </w:rPr>
        <w:t>Director Independence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Nasdaq requires that a majority of our board must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information provided by each director concerning his or her background, employment and affiliations, our board of directors determined each of Amit Munshi, Sandeep Kulkarni, Arnout Ploos van Amstel, Steve Schoch, Jennifer Jarrett, Neil Graham and Parvinder Thiara is “independent” as that term is defined under Nasdaq listing standards. Our independent directors will have regularly scheduled meetings at which only independent directors are present. Any affiliated transactions will be on terms no less favorable to us than could be obtained from independent parties. Any affiliated transactions must be approved by a majority of our independent and disinterested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9" w:name="AuditCommittee_480247"/>
      <w:bookmarkEnd w:id="129"/>
      <w:r>
        <w:rPr>
          <w:rFonts w:ascii="Times New Roman;Times;serif" w:hAnsi="Times New Roman;Times;serif"/>
          <w:b/>
          <w:sz w:val="20"/>
        </w:rPr>
        <w:t>Audit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members of our audit committee are Amit Munshi, Jennifer Jarrett and Steve Schoch, each of whom can read and understand fundamental financial statements. Each of Amit Munshi, Jennifer Jarrett and Steve Schoch is independent under the rules and regulations of the SEC and Nasdaq listing standards applicable to audit committee members. Steven Schoch serves as the chair of the audit committee. The Zura board has determined that Steven Schoch qualifies as an audit committee financial expert within the meaning of SEC regulations and meets the financial sophistication requirements of Nasdaq. In arriving at these determinations, the Zura board has examined each audit committee member’s scope of experience and the nature of their employment.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primary purpose of the audit committee is to discharge the responsibilities of our board of directors with respect to the corporate accounting and financial reporting processes, systems of internal control and financial statement audits, and to oversee the independent registered public accounting firm. Specific responsibilities of the audit committee will include:</w:t>
      </w:r>
    </w:p>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of directors oversee corporate accounting and financial reporting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the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the interim and year-end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240"/>
        <w:ind w:left="0" w:right="0" w:hanging="0"/>
        <w:jc w:val="left"/>
        <w:rPr>
          <w:rFonts w:ascii="Times New Roman;Times;serif" w:hAnsi="Times New Roman;Times;serif"/>
          <w:b/>
          <w:sz w:val="20"/>
        </w:rPr>
      </w:pPr>
      <w:bookmarkStart w:id="130" w:name="CompensationCommittee_291799"/>
      <w:bookmarkEnd w:id="130"/>
      <w:r>
        <w:rPr>
          <w:rFonts w:ascii="Times New Roman;Times;serif" w:hAnsi="Times New Roman;Times;serif"/>
          <w:b/>
          <w:sz w:val="20"/>
        </w:rPr>
        <w:t>Compensation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compensation committee consists of Sandeep Kulkarni, Amit Munshi and Parvinder Thiara. The chair of the compensation committee is Sandeep Kulkarni. The Zura board has determined that each member of the compensation committee is independent under the Nasdaq listing standards and a “non-employee director” as defined in Rule 16b-3 promulgated under the Exchange Act. The primary purpose of the compensation committee will be to discharge the responsibilities of the board of directors in overseeing the compensation policies, plans and programs and to review and determine the compensation to be paid to executive officers, directors and other senior management, as appropriate. Specific responsibilities of the compensation committee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of the chief executive officer, other executive officers and senior management;</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equity incentive plans and other benefit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employees, including the overall compensation philosophy.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1" w:name="NominatingandGovernanceCommittee_658778"/>
      <w:bookmarkEnd w:id="131"/>
      <w:r>
        <w:rPr>
          <w:rFonts w:ascii="Times New Roman;Times;serif" w:hAnsi="Times New Roman;Times;serif"/>
          <w:b/>
          <w:sz w:val="20"/>
        </w:rPr>
        <w:t>Nominating and Governance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nominating and governance committee consists of Arnout Ploos van Amstel, Neil Graham, Sandeep Kulkarni and Parvinder Thiara. The chair of the nominating and corporate governance committee is Parvinder Thiara. The Zura board has determined that each member of the nominating and corporate governance committee is independent under the Nasdaq listing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Specific responsibilities of the nominating and corporate governance committee will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shareholders, to serve on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of directors regarding the composition and chairmanship of the committees of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of directors regarding corporate governance guidelines and matters;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performance of the board of directors, including its individual directors and committees.</w:t>
            </w:r>
          </w:p>
        </w:tc>
      </w:tr>
    </w:tbl>
    <w:p>
      <w:pPr>
        <w:pStyle w:val="TextBody"/>
        <w:bidi w:val="0"/>
        <w:spacing w:before="0" w:after="240"/>
        <w:ind w:left="0" w:right="0" w:hanging="0"/>
        <w:jc w:val="both"/>
        <w:rPr>
          <w:rFonts w:ascii="Times New Roman;Times;serif" w:hAnsi="Times New Roman;Times;serif"/>
          <w:b/>
          <w:sz w:val="20"/>
        </w:rPr>
      </w:pPr>
      <w:bookmarkStart w:id="132" w:name="CompensationCommitteeInterlocksandInside"/>
      <w:bookmarkEnd w:id="132"/>
      <w:r>
        <w:rPr>
          <w:rFonts w:ascii="Times New Roman;Times;serif" w:hAnsi="Times New Roman;Times;serif"/>
          <w:b/>
          <w:sz w:val="20"/>
        </w:rPr>
        <w:t>Compensation Committee Interlocks and Insider Participation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our officers currently serves, and in the past year has not served, (i) as a member of the compensation committee or board of directors of another entity, one of whose executive officers serves on our compensation committee, or (ii) as a member of the compensation committee of another entity, one of whose executive officers serves on our board of directors.</w:t>
      </w:r>
    </w:p>
    <w:p>
      <w:pPr>
        <w:pStyle w:val="TextBody"/>
        <w:bidi w:val="0"/>
        <w:spacing w:before="0" w:after="240"/>
        <w:ind w:left="0" w:right="0" w:hanging="0"/>
        <w:jc w:val="left"/>
        <w:rPr>
          <w:rFonts w:ascii="Times New Roman;Times;serif" w:hAnsi="Times New Roman;Times;serif"/>
          <w:b/>
          <w:sz w:val="20"/>
        </w:rPr>
      </w:pPr>
      <w:bookmarkStart w:id="133" w:name="GuidelinesforSelectingDirectorNominees_7"/>
      <w:bookmarkEnd w:id="133"/>
      <w:r>
        <w:rPr>
          <w:rFonts w:ascii="Times New Roman;Times;serif" w:hAnsi="Times New Roman;Times;serif"/>
          <w:b/>
          <w:sz w:val="20"/>
        </w:rPr>
        <w:t>Guidelines for Selecting Director Nominees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guidelines for selecting nominees, which are specified in the Nominating Committee Charter, generally provide that persons to be nominated:</w:t>
      </w:r>
    </w:p>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have demonstrated notable or significant achievements in business, education or public service;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possess the requisite intelligence, education and experience to make a significant contribution to the board of directors and bring a range of skills, diverse perspectives and backgrounds to its deliberations;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have the highest ethical standards, a strong sense of professionalism and intense dedication to serving the interests of the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Nominating Committee will consider a number of qualifications relating to management and leadership experience, background,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pStyle w:val="TextBody"/>
        <w:bidi w:val="0"/>
        <w:spacing w:before="0" w:after="240"/>
        <w:ind w:left="0" w:right="0" w:hanging="0"/>
        <w:jc w:val="left"/>
        <w:rPr>
          <w:rFonts w:ascii="Times New Roman;Times;serif" w:hAnsi="Times New Roman;Times;serif"/>
          <w:b/>
          <w:sz w:val="20"/>
        </w:rPr>
      </w:pPr>
      <w:bookmarkStart w:id="134" w:name="FiduciaryDuties_106270"/>
      <w:bookmarkEnd w:id="134"/>
      <w:r>
        <w:rPr>
          <w:rFonts w:ascii="Times New Roman;Times;serif" w:hAnsi="Times New Roman;Times;serif"/>
          <w:b/>
          <w:sz w:val="20"/>
        </w:rPr>
        <w:t>Fiduciary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directors and officers owe the following fiduciary duties:</w:t>
      </w:r>
    </w:p>
    <w:tbl>
      <w:tblPr>
        <w:tblW w:w="9876" w:type="dxa"/>
        <w:jc w:val="left"/>
        <w:tblInd w:w="0" w:type="dxa"/>
        <w:tblLayout w:type="fixed"/>
        <w:tblCellMar>
          <w:top w:w="28" w:type="dxa"/>
          <w:left w:w="28" w:type="dxa"/>
          <w:bottom w:w="28" w:type="dxa"/>
          <w:right w:w="28" w:type="dxa"/>
        </w:tblCellMar>
      </w:tblPr>
      <w:tblGrid>
        <w:gridCol w:w="124"/>
        <w:gridCol w:w="211"/>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act in good faith in what the director or officer believes to be in the best interests of the company as a whole;</w:t>
            </w:r>
          </w:p>
        </w:tc>
      </w:tr>
    </w:tbl>
    <w:tbl>
      <w:tblPr>
        <w:tblW w:w="9546" w:type="dxa"/>
        <w:jc w:val="left"/>
        <w:tblInd w:w="0" w:type="dxa"/>
        <w:tblLayout w:type="fixed"/>
        <w:tblCellMar>
          <w:top w:w="28" w:type="dxa"/>
          <w:left w:w="28" w:type="dxa"/>
          <w:bottom w:w="28" w:type="dxa"/>
          <w:right w:w="28" w:type="dxa"/>
        </w:tblCellMar>
      </w:tblPr>
      <w:tblGrid>
        <w:gridCol w:w="124"/>
        <w:gridCol w:w="271"/>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powers for the purposes for which those powers were conferred and not for a collateral purpose;</w:t>
            </w:r>
          </w:p>
        </w:tc>
      </w:tr>
    </w:tbl>
    <w:tbl>
      <w:tblPr>
        <w:tblW w:w="6081" w:type="dxa"/>
        <w:jc w:val="left"/>
        <w:tblInd w:w="0" w:type="dxa"/>
        <w:tblLayout w:type="fixed"/>
        <w:tblCellMar>
          <w:top w:w="28" w:type="dxa"/>
          <w:left w:w="28" w:type="dxa"/>
          <w:bottom w:w="28" w:type="dxa"/>
          <w:right w:w="28" w:type="dxa"/>
        </w:tblCellMar>
      </w:tblPr>
      <w:tblGrid>
        <w:gridCol w:w="124"/>
        <w:gridCol w:w="331"/>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should not properly fetter the exercise of future discretion;</w:t>
            </w:r>
          </w:p>
        </w:tc>
      </w:tr>
    </w:tbl>
    <w:tbl>
      <w:tblPr>
        <w:tblW w:w="6681" w:type="dxa"/>
        <w:jc w:val="left"/>
        <w:tblInd w:w="0" w:type="dxa"/>
        <w:tblLayout w:type="fixed"/>
        <w:tblCellMar>
          <w:top w:w="28" w:type="dxa"/>
          <w:left w:w="28" w:type="dxa"/>
          <w:bottom w:w="28" w:type="dxa"/>
          <w:right w:w="28" w:type="dxa"/>
        </w:tblCellMar>
      </w:tblPr>
      <w:tblGrid>
        <w:gridCol w:w="124"/>
        <w:gridCol w:w="31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powers fairly as between different sections of shareholders;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not to put themselves in a position in which there is a conflict between their duty to the company and their personal interests; and</w:t>
            </w:r>
          </w:p>
        </w:tc>
      </w:tr>
    </w:tbl>
    <w:tbl>
      <w:tblPr>
        <w:tblW w:w="3816" w:type="dxa"/>
        <w:jc w:val="left"/>
        <w:tblInd w:w="0" w:type="dxa"/>
        <w:tblLayout w:type="fixed"/>
        <w:tblCellMar>
          <w:top w:w="28" w:type="dxa"/>
          <w:left w:w="28" w:type="dxa"/>
          <w:bottom w:w="28" w:type="dxa"/>
          <w:right w:w="28" w:type="dxa"/>
        </w:tblCellMar>
      </w:tblPr>
      <w:tblGrid>
        <w:gridCol w:w="124"/>
        <w:gridCol w:w="31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independent judgment.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pStyle w:val="TextBody"/>
        <w:bidi w:val="0"/>
        <w:spacing w:before="0" w:after="240"/>
        <w:ind w:left="0" w:right="0" w:hanging="0"/>
        <w:jc w:val="left"/>
        <w:rPr>
          <w:rFonts w:ascii="Times New Roman;Times;serif" w:hAnsi="Times New Roman;Times;serif"/>
          <w:b/>
          <w:sz w:val="20"/>
        </w:rPr>
      </w:pPr>
      <w:bookmarkStart w:id="135" w:name="CodeofConductandEthics_234773"/>
      <w:bookmarkEnd w:id="135"/>
      <w:r>
        <w:rPr>
          <w:rFonts w:ascii="Times New Roman;Times;serif" w:hAnsi="Times New Roman;Times;serif"/>
          <w:b/>
          <w:sz w:val="20"/>
        </w:rPr>
        <w:t>Code of Conduct and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Zura board has adopted a Code of Ethics. The Code of Ethics applies to all of our employees, officers, and directors, as well as all of our contractors, consultants, suppliers, and agents in connection with their work for Zura. The full text of our Code of Ethics has been posted on our website, which can be found at www.zurabio.com. We intend to disclose future amendments to, or waivers of, its Code of Conduct, as and to the extent required by SEC regulations, at the same location on its website identified above or in public filings. Information contained on our website is not incorporated by reference into this annual report, and you should not consider the information contained on our website to be part of this annual report.</w:t>
      </w:r>
    </w:p>
    <w:p>
      <w:pPr>
        <w:pStyle w:val="TextBody"/>
        <w:bidi w:val="0"/>
        <w:spacing w:before="0" w:after="240"/>
        <w:ind w:left="0" w:right="0" w:hanging="0"/>
        <w:jc w:val="left"/>
        <w:rPr>
          <w:rFonts w:ascii="Times New Roman;Times;serif" w:hAnsi="Times New Roman;Times;serif"/>
          <w:b/>
          <w:sz w:val="20"/>
        </w:rPr>
      </w:pPr>
      <w:bookmarkStart w:id="136" w:name="Section16ABeneficialOwnershipReportingCo"/>
      <w:bookmarkEnd w:id="136"/>
      <w:r>
        <w:rPr>
          <w:rFonts w:ascii="Times New Roman;Times;serif" w:hAnsi="Times New Roman;Times;serif"/>
          <w:b/>
          <w:sz w:val="20"/>
        </w:rPr>
        <w:t>Section 16(A) Beneficial Ownership Reporting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16(a) of the Securities Exchange Act of 1934, as amended, or the Exchange Act, requires our executive officers, directors and persons who beneficially own more than 10% of a registered class of our equity securities to file with the SEC initial reports of ownership and reports of changes in ownership of our ordinary shares and other equity securities. These executive officers, directors, and greater than 10% beneficial owners are required by SEC regulation to furnish us with copies of all Section 16(a) forms filed by such reporting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solely on our review of such forms furnished to us and written representations from certain reporting persons, we believe that all filing requirements applicable to our executive officers, directors and greater than 10% beneficial owners were filed in a timely manner during 2023.</w:t>
      </w:r>
    </w:p>
    <w:p>
      <w:pPr>
        <w:pStyle w:val="TextBody"/>
        <w:bidi w:val="0"/>
        <w:spacing w:before="0" w:after="0"/>
        <w:ind w:left="0" w:right="0" w:hanging="0"/>
        <w:jc w:val="left"/>
        <w:rPr>
          <w:rFonts w:ascii="Times New Roman;Times;serif" w:hAnsi="Times New Roman;Times;serif"/>
          <w:b/>
          <w:sz w:val="20"/>
        </w:rPr>
      </w:pPr>
      <w:bookmarkStart w:id="137" w:name="ITEM11EXECUTIVECOMPENSATION_971302"/>
      <w:bookmarkStart w:id="138" w:name="_9054b381_d012_43da_961a_aabd331e0aa7"/>
      <w:bookmarkEnd w:id="137"/>
      <w:bookmarkEnd w:id="138"/>
      <w:r>
        <w:rPr>
          <w:rFonts w:ascii="Times New Roman;Times;serif" w:hAnsi="Times New Roman;Times;serif"/>
          <w:b/>
          <w:sz w:val="20"/>
        </w:rPr>
        <w:t>ITEM 11. EXECUTIVE COMPENSATION</w:t>
      </w:r>
    </w:p>
    <w:p>
      <w:pPr>
        <w:pStyle w:val="TextBody"/>
        <w:bidi w:val="0"/>
        <w:spacing w:before="0" w:after="0"/>
        <w:ind w:left="0" w:right="0" w:hanging="0"/>
        <w:jc w:val="left"/>
        <w:rPr/>
      </w:pPr>
      <w:bookmarkStart w:id="139" w:name="EmploymentAgreements_677154"/>
      <w:bookmarkEnd w:id="139"/>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discusses the material components of executive compensation for our 2023 named executive officers. Our named executive officers for fiscal year ended December 31, 2023 are:</w:t>
      </w:r>
    </w:p>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Someit Sidhu, our Chief Executive Officer; </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Verender Badial, our Chief Financial Officer; </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Kim Davis, our Chief Legal Officer; </w:t>
            </w:r>
          </w:p>
        </w:tc>
      </w:tr>
    </w:tbl>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Howell, our Chief Scientific Officer;</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Cabell, our former Chief Medical Officer and Executive Vice President; and</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Preston Klassen, our former President and Chief Operating Officer;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concerning the total compensation of the following persons, whom we refer to as our named executive officers: (i) our Chief Executive Officer and our Chief  Financial Officer, (ii) our next two most highly compensated executive officers on December 31, 2023 and (iii) two individuals who would have been included in this table but for the fact that such individuals were not serving as an executive officer as of December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tbl>
      <w:tblPr>
        <w:tblW w:w="10567" w:type="dxa"/>
        <w:jc w:val="left"/>
        <w:tblInd w:w="0" w:type="dxa"/>
        <w:tblLayout w:type="fixed"/>
        <w:tblCellMar>
          <w:top w:w="0" w:type="dxa"/>
          <w:left w:w="0" w:type="dxa"/>
          <w:bottom w:w="0" w:type="dxa"/>
          <w:right w:w="0" w:type="dxa"/>
        </w:tblCellMar>
      </w:tblPr>
      <w:tblGrid>
        <w:gridCol w:w="721"/>
        <w:gridCol w:w="326"/>
        <w:gridCol w:w="781"/>
        <w:gridCol w:w="326"/>
        <w:gridCol w:w="766"/>
        <w:gridCol w:w="326"/>
        <w:gridCol w:w="766"/>
        <w:gridCol w:w="326"/>
        <w:gridCol w:w="871"/>
        <w:gridCol w:w="326"/>
        <w:gridCol w:w="1036"/>
        <w:gridCol w:w="326"/>
        <w:gridCol w:w="1036"/>
        <w:gridCol w:w="326"/>
        <w:gridCol w:w="991"/>
        <w:gridCol w:w="326"/>
        <w:gridCol w:w="991"/>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57835" cy="175260"/>
                      <wp:effectExtent l="0" t="0" r="0" b="0"/>
                      <wp:wrapNone/>
                      <wp:docPr id="33" name="Frame2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4"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35"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36"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86410" cy="175260"/>
                      <wp:effectExtent l="0" t="0" r="0" b="0"/>
                      <wp:wrapNone/>
                      <wp:docPr id="37" name="Frame3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38"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86410" cy="175260"/>
                      <wp:effectExtent l="0" t="0" r="0" b="0"/>
                      <wp:wrapNone/>
                      <wp:docPr id="39" name="Frame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0"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53085" cy="175260"/>
                      <wp:effectExtent l="0" t="0" r="0" b="0"/>
                      <wp:wrapNone/>
                      <wp:docPr id="41" name="Frame3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2"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57860" cy="175260"/>
                      <wp:effectExtent l="0" t="0" r="0" b="0"/>
                      <wp:wrapNone/>
                      <wp:docPr id="43" name="Frame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4"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57860" cy="175260"/>
                      <wp:effectExtent l="0" t="0" r="0" b="0"/>
                      <wp:wrapNone/>
                      <wp:docPr id="45" name="Frame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6"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29285" cy="175260"/>
                      <wp:effectExtent l="0" t="0" r="0" b="0"/>
                      <wp:wrapNone/>
                      <wp:docPr id="47" name="Frame4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8"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29285" cy="175260"/>
                      <wp:effectExtent l="0" t="0" r="0" b="0"/>
                      <wp:wrapNone/>
                      <wp:docPr id="49" name="Frame4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Non-Equity </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w:t>
            </w:r>
          </w:p>
        </w:tc>
      </w:tr>
      <w:tr>
        <w:trPr/>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RSU</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Incentive Plan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Incentive Plan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All Other</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Salary</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Bonus</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Awards</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 Awards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Option Awards</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Compensation</w:t>
            </w:r>
            <w:r>
              <w:rPr>
                <w:rFonts w:ascii="Times New Roman;Times;serif" w:hAnsi="Times New Roman;Times;serif"/>
                <w:sz w:val="14"/>
              </w:rPr>
              <w:t> </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72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 and Principal Position</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Fiscal Year</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w:t>
            </w:r>
          </w:p>
        </w:tc>
      </w:tr>
      <w:tr>
        <w:trPr/>
        <w:tc>
          <w:tcPr>
            <w:tcW w:w="7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Someit Sidhu </w:t>
            </w:r>
            <w:r>
              <w:rPr>
                <w:rFonts w:ascii="Times New Roman;Times;serif" w:hAnsi="Times New Roman;Times;serif"/>
                <w:i/>
                <w:sz w:val="14"/>
              </w:rPr>
              <w:t xml:space="preserve">Chief Executive Officer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420,620.04</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10,202,828.46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22,316.51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10,645,765.01</w:t>
            </w:r>
          </w:p>
        </w:tc>
      </w:tr>
      <w:tr>
        <w:trPr/>
        <w:tc>
          <w:tcPr>
            <w:tcW w:w="72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Verender Badial </w:t>
            </w:r>
            <w:r>
              <w:rPr>
                <w:rFonts w:ascii="Times New Roman;Times;serif" w:hAnsi="Times New Roman;Times;serif"/>
                <w:i/>
                <w:sz w:val="14"/>
              </w:rPr>
              <w:t>Chief Financial Officer</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332,537.23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3,008,526.34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42,379.05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3,383,442.62</w:t>
            </w:r>
          </w:p>
        </w:tc>
      </w:tr>
      <w:tr>
        <w:trPr/>
        <w:tc>
          <w:tcPr>
            <w:tcW w:w="72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Kim Davis </w:t>
            </w:r>
            <w:r>
              <w:rPr>
                <w:rFonts w:ascii="Times New Roman;Times;serif" w:hAnsi="Times New Roman;Times;serif"/>
                <w:i/>
                <w:sz w:val="14"/>
              </w:rPr>
              <w:t>Chief Legal Officer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425,000.00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121,250.00</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2,580,076.44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1,580,520.37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28,431.78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4,735,278.59</w:t>
            </w:r>
          </w:p>
        </w:tc>
      </w:tr>
      <w:tr>
        <w:trPr/>
        <w:tc>
          <w:tcPr>
            <w:tcW w:w="72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Michael Howell </w:t>
            </w:r>
            <w:r>
              <w:rPr>
                <w:rFonts w:ascii="Times New Roman;Times;serif" w:hAnsi="Times New Roman;Times;serif"/>
                <w:i/>
                <w:sz w:val="14"/>
              </w:rPr>
              <w:t>Chief Scientific Officer</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394,166.69</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45,000.00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599,429.80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1,458,943.64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70,729.59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2,568,269.72</w:t>
            </w:r>
          </w:p>
        </w:tc>
      </w:tr>
      <w:tr>
        <w:trPr/>
        <w:tc>
          <w:tcPr>
            <w:tcW w:w="72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Chris Cabell </w:t>
            </w:r>
            <w:r>
              <w:rPr>
                <w:rFonts w:ascii="Times New Roman;Times;serif" w:hAnsi="Times New Roman;Times;serif"/>
                <w:sz w:val="11"/>
              </w:rPr>
              <w:t xml:space="preserve">(3) </w:t>
            </w:r>
            <w:r>
              <w:rPr>
                <w:rFonts w:ascii="Times New Roman;Times;serif" w:hAnsi="Times New Roman;Times;serif"/>
                <w:i/>
                <w:sz w:val="14"/>
              </w:rPr>
              <w:t>former Chief Medical Officer and Executive Vice President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438,360.15</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170,920.00</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849,194.40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2,066,834.91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46,333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3,571,642.46</w:t>
            </w:r>
          </w:p>
        </w:tc>
      </w:tr>
      <w:tr>
        <w:trPr/>
        <w:tc>
          <w:tcPr>
            <w:tcW w:w="72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Preston Klassen </w:t>
            </w:r>
            <w:r>
              <w:rPr>
                <w:rFonts w:ascii="Times New Roman;Times;serif" w:hAnsi="Times New Roman;Times;serif"/>
                <w:sz w:val="11"/>
              </w:rPr>
              <w:t>(4)</w:t>
            </w:r>
            <w:r>
              <w:rPr>
                <w:rFonts w:ascii="Times New Roman;Times;serif" w:hAnsi="Times New Roman;Times;serif"/>
                <w:sz w:val="14"/>
              </w:rPr>
              <w:t xml:space="preserve"> </w:t>
            </w:r>
            <w:r>
              <w:rPr>
                <w:rFonts w:ascii="Times New Roman;Times;serif" w:hAnsi="Times New Roman;Times;serif"/>
                <w:i/>
                <w:sz w:val="14"/>
              </w:rPr>
              <w:t>former President and Chief Operating Officer</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111,888.88</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196,800.00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3,648,189.36</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3,956,878.24</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the aggregate grant-date fair value of awards granted to each named executive officer under our equity incentive plans, computed in accordance with the Financial Accounting Standards Board’s (“FASB”) Accounting Standards Codification (“ASC”) Topic 718.</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the applicable named executive officer’s total annual performance-based cash bonus for the year ending December 31, 2023.</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6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Cabell resigned effective January 2024.</w:t>
            </w:r>
          </w:p>
        </w:tc>
      </w:tr>
    </w:tbl>
    <w:tbl>
      <w:tblPr>
        <w:tblW w:w="3917" w:type="dxa"/>
        <w:jc w:val="left"/>
        <w:tblInd w:w="0" w:type="dxa"/>
        <w:tblLayout w:type="fixed"/>
        <w:tblCellMar>
          <w:top w:w="0" w:type="dxa"/>
          <w:left w:w="0" w:type="dxa"/>
          <w:bottom w:w="0" w:type="dxa"/>
          <w:right w:w="0" w:type="dxa"/>
        </w:tblCellMar>
      </w:tblPr>
      <w:tblGrid>
        <w:gridCol w:w="346"/>
        <w:gridCol w:w="35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Klassen resigned effective April 2023.</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other compensation in 2023 include government mandated defined contribution plan, employer paid benefits, travel expenses, business reimbursements, and others. </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Narrative to the Summary Compensation Table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review compensation annually for all employees, including our named executive officers. In setting our named executive officers’ base salaries and bonuses and granting equity incentive awards, we seek to align pay for performance and consider, among other factors, compensation for comparable positions in the market, the historical compensation levels of our named executive officers, individual performance as compared to our expectations and objectives, our desire to motivate our named executive officers to achieve short- and long-term results that are in the best interests of our shareholders, and a long-term commitment to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Base Salaries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2023, each of the named executive officers received an annual base salary to compensate them for services rendered to us. The base salary payable to each named executive officer was intended to provide a fixed component of compensation reflecting such executive’s skill set, experience, role, and responsibilities.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Annual Cash Bonuses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2023, each named executive officer was eligible to earn his/her bonus based on the attainment of company and individual performance metrics, as determined by the Board, in its discretion. The actual annual cash bonuses awarded to each named executive officer for 2023 performance are set forth above in the Summary Compensation Table in the column titled “Bonus”.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Employment Agreements with Our Named Executive Officers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Someit Sidhu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7, 2023, the Company entered into a Service Agreement with its Chief Executive Officer, Dr. Someit Sidhu (the “Sidhu Agreement”), effective as of March 20, 2023. The terms of the Sidhu Agreement provide the following compensation and benefits while he is employed as Chief Executive Officer:</w:t>
      </w:r>
    </w:p>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salary equal to £425,000.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to earn a discretionary bonus.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Company’s benefit plans and reimbursement of Dr. Sidhu’s reasonable travel, hotel and entertainment expenses.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Sidhu Agreement may be terminated by either party giving the other not less than three (3) months’ prior notice, subject to the Company’s right to buy out the three month notice period in its discretion by providing garden leave and its right to terminate this agreement immediately for cause (as defined under the Sidhu Agreement) without further payment of compensation except as required by law or for reimbursement of eligible incurred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Dr. Sidhu’s employment is terminated by the Company without cause, Dr. Sidhu will be entitled to receive severance payments equal to six (6) months’ salary, subject to signing a release and complying with the obligations under his agreement. The Sidhu Agreement also contains certain customary obligations, including confidentiality and cooperation.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Verender Badial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7, 2023, the Company entered into a Service Agreement with its Chief Financial Officer, Verender Badial (the “Badial Agreement”), effective as of March 20, 2023. The terms of the Badial Agreement are substantially the same as the Sidhu Agreement except that Mr. Badial’s salary is £336,000. It is anticipated that the Company will provide notice to terminate Mr. Badial’s employment without cause (as defined in the Badial Agreement) once the Company employs a successor Chief Financial Officer, at which point Mr. Badial would be entitled to severance payments equal to six (6) months’ salary, subject to signing a release and complying with the obligations under his agreement. The Badial Agreement also contains certain customary obligations, including confidentiality and cooperation.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Kiran Nistala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30, 2023, the Company entered into a Service Agreement with Dr. Kiran Nistala, our Executive Vice President and Chief Medical Officer (the “Nistala Agreement”). The terms of the Nistala Agreement provide the following compensation and benefits while he is employed:</w:t>
      </w:r>
    </w:p>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salary equal to GBP £320,000.</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to earn a performance bonus of up to 40% of his annual salary, based on performance.</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Company’s benefit plans.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Nistala Agreement, the Company may terminate the employment for cause under the Nistala Agreement with immediate effect without notice and with no liability to make any further payment to Dr. Kiran Nistala.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Robert Lisicki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3, 2024, the Company entered into an employment agreement with Mr. Robert Lisicki, our President and Chief Operating Officer (the “Lisicki Agreement”). The terms of the Lisicki Agreement provide the following compensation and benefits while he is employed:</w:t>
      </w:r>
    </w:p>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salary equal to $440,000.</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to earn a performance bonus of up to 40% of his annual salary, based on performance.</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Company’s benefit plans.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terms of the Lisicki Agreement, the Company may terminate the Lisicki Agreement at any time, with or without cause, for any reason or no reason whatsoever by the Company upon no less than ninety (90) calendar days’ written notice, or by Mr. Robert Lisicki upon no less than ninety (90) calendar days’ written notice, unless a lesser time is mutually agreed upon by both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Outstanding Equity Awards at Fiscal Year-End Table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outstanding equity awards for each of our named executive officers as of December 31, 2023:</w:t>
      </w:r>
    </w:p>
    <w:tbl>
      <w:tblPr>
        <w:tblW w:w="10205" w:type="dxa"/>
        <w:jc w:val="left"/>
        <w:tblInd w:w="0" w:type="dxa"/>
        <w:tblLayout w:type="fixed"/>
        <w:tblCellMar>
          <w:top w:w="0" w:type="dxa"/>
          <w:left w:w="0" w:type="dxa"/>
          <w:bottom w:w="0" w:type="dxa"/>
          <w:right w:w="0" w:type="dxa"/>
        </w:tblCellMar>
      </w:tblPr>
      <w:tblGrid>
        <w:gridCol w:w="682"/>
        <w:gridCol w:w="326"/>
        <w:gridCol w:w="631"/>
        <w:gridCol w:w="326"/>
        <w:gridCol w:w="826"/>
        <w:gridCol w:w="326"/>
        <w:gridCol w:w="946"/>
        <w:gridCol w:w="326"/>
        <w:gridCol w:w="616"/>
        <w:gridCol w:w="326"/>
        <w:gridCol w:w="766"/>
        <w:gridCol w:w="326"/>
        <w:gridCol w:w="603"/>
        <w:gridCol w:w="326"/>
        <w:gridCol w:w="696"/>
        <w:gridCol w:w="326"/>
        <w:gridCol w:w="734"/>
        <w:gridCol w:w="326"/>
        <w:gridCol w:w="771"/>
      </w:tblGrid>
      <w:tr>
        <w:trPr/>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3070" cy="175260"/>
                      <wp:effectExtent l="0" t="0" r="0" b="0"/>
                      <wp:wrapNone/>
                      <wp:docPr id="50" name="Frame4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1"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0685" cy="175260"/>
                      <wp:effectExtent l="0" t="0" r="0" b="0"/>
                      <wp:wrapNone/>
                      <wp:docPr id="52" name="Frame4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3"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24510" cy="175260"/>
                      <wp:effectExtent l="0" t="0" r="0" b="0"/>
                      <wp:wrapNone/>
                      <wp:docPr id="54" name="Frame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5"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00710" cy="175260"/>
                      <wp:effectExtent l="0" t="0" r="0" b="0"/>
                      <wp:wrapNone/>
                      <wp:docPr id="56" name="Frame5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7"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91160" cy="175260"/>
                      <wp:effectExtent l="0" t="0" r="0" b="0"/>
                      <wp:wrapNone/>
                      <wp:docPr id="58" name="Frame5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59"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6410" cy="175260"/>
                      <wp:effectExtent l="0" t="0" r="0" b="0"/>
                      <wp:wrapNone/>
                      <wp:docPr id="60" name="Frame5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1"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2905" cy="175260"/>
                      <wp:effectExtent l="0" t="0" r="0" b="0"/>
                      <wp:wrapNone/>
                      <wp:docPr id="62" name="Frame5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3"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1960" cy="175260"/>
                      <wp:effectExtent l="0" t="0" r="0" b="0"/>
                      <wp:wrapNone/>
                      <wp:docPr id="64" name="Frame58"/>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5"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66090" cy="175260"/>
                      <wp:effectExtent l="0" t="0" r="0" b="0"/>
                      <wp:wrapNone/>
                      <wp:docPr id="66" name="Frame60"/>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67"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89585" cy="175260"/>
                      <wp:effectExtent l="0" t="0" r="0" b="0"/>
                      <wp:wrapNone/>
                      <wp:docPr id="68" name="Frame62"/>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1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 Awards</w:t>
            </w:r>
          </w:p>
        </w:tc>
        <w:tc>
          <w:tcPr>
            <w:tcW w:w="326" w:type="dxa"/>
            <w:tcBorders/>
            <w:vAlign w:val="center"/>
          </w:tcPr>
          <w:p>
            <w:pPr>
              <w:pStyle w:val="TableContents"/>
              <w:bidi w:val="0"/>
              <w:spacing w:before="0" w:after="0"/>
              <w:ind w:left="0" w:right="0" w:hanging="0"/>
              <w:jc w:val="center"/>
              <w:rPr/>
            </w:pPr>
            <w:r>
              <w:rPr/>
              <w:t>​</w:t>
            </w:r>
          </w:p>
        </w:tc>
        <w:tc>
          <w:tcPr>
            <w:tcW w:w="37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RSU Awards</w:t>
            </w:r>
          </w:p>
        </w:tc>
      </w:tr>
      <w:tr>
        <w:trPr/>
        <w:tc>
          <w:tcPr>
            <w:tcW w:w="6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Incentive</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Incentive</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Plan Awards:</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Plan Awards:</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 Payout</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 of</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 or</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Shares</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Unearned Shares,</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Unearned</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Underlying</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 of</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 Units of</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 or Other</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 Units or</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Unexercised</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Unexercised</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 that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 that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Rights that</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Rights</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Options</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Options</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Exercise</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have not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have not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have not</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that have not</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Exercisable</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Unexercisable</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Price</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Expiration</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w:t>
            </w:r>
          </w:p>
        </w:tc>
      </w:tr>
      <w:tr>
        <w:trPr/>
        <w:tc>
          <w:tcPr>
            <w:tcW w:w="6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w:t>
            </w:r>
          </w:p>
        </w:tc>
        <w:tc>
          <w:tcPr>
            <w:tcW w:w="326" w:type="dxa"/>
            <w:tcBorders/>
            <w:vAlign w:val="center"/>
          </w:tcPr>
          <w:p>
            <w:pPr>
              <w:pStyle w:val="TableContents"/>
              <w:bidi w:val="0"/>
              <w:spacing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Granted</w:t>
            </w:r>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26" w:type="dxa"/>
            <w:tcBorders/>
            <w:vAlign w:val="center"/>
          </w:tcPr>
          <w:p>
            <w:pPr>
              <w:pStyle w:val="TableContents"/>
              <w:bidi w:val="0"/>
              <w:spacing w:before="0" w:after="0"/>
              <w:ind w:left="0" w:right="0" w:hanging="0"/>
              <w:jc w:val="center"/>
              <w:rPr/>
            </w:pPr>
            <w:r>
              <w:rPr/>
              <w:t>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0"/>
              <w:ind w:left="0" w:right="0" w:hanging="0"/>
              <w:jc w:val="center"/>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r>
      <w:tr>
        <w:trPr/>
        <w:tc>
          <w:tcPr>
            <w:tcW w:w="6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Someit Sidhu</w:t>
            </w:r>
          </w:p>
        </w:tc>
        <w:tc>
          <w:tcPr>
            <w:tcW w:w="32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5/18/2023</w:t>
            </w:r>
            <w:r>
              <w:rPr>
                <w:rFonts w:ascii="Times New Roman;Times;serif" w:hAnsi="Times New Roman;Times;serif"/>
                <w:sz w:val="11"/>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1,950,000</w:t>
            </w:r>
          </w:p>
        </w:tc>
        <w:tc>
          <w:tcPr>
            <w:tcW w:w="32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0.01</w:t>
            </w:r>
          </w:p>
        </w:tc>
        <w:tc>
          <w:tcPr>
            <w:tcW w:w="32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5/18/2033</w:t>
            </w:r>
          </w:p>
        </w:tc>
        <w:tc>
          <w:tcPr>
            <w:tcW w:w="326" w:type="dxa"/>
            <w:tcBorders/>
            <w:shd w:fill="CCEEFF" w:val="clear"/>
            <w:vAlign w:val="center"/>
          </w:tcPr>
          <w:p>
            <w:pPr>
              <w:pStyle w:val="TableContents"/>
              <w:bidi w:val="0"/>
              <w:spacing w:before="0" w:after="0"/>
              <w:ind w:left="0" w:right="0" w:hanging="0"/>
              <w:jc w:val="center"/>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71" w:type="dxa"/>
            <w:tcBorders/>
            <w:shd w:fill="CCEEFF" w:val="clear"/>
            <w:vAlign w:val="center"/>
          </w:tcPr>
          <w:p>
            <w:pPr>
              <w:pStyle w:val="TableContents"/>
              <w:bidi w:val="0"/>
              <w:spacing w:before="0" w:after="0"/>
              <w:ind w:left="0" w:right="0" w:hanging="0"/>
              <w:jc w:val="right"/>
              <w:rPr/>
            </w:pPr>
            <w:r>
              <w:rPr/>
              <w:t>—</w:t>
            </w:r>
          </w:p>
        </w:tc>
      </w:tr>
      <w:tr>
        <w:trPr/>
        <w:tc>
          <w:tcPr>
            <w:tcW w:w="6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Verender Badial</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5/18/2023</w:t>
            </w:r>
            <w:r>
              <w:rPr>
                <w:rFonts w:ascii="Times New Roman;Times;serif" w:hAnsi="Times New Roman;Times;serif"/>
                <w:sz w:val="11"/>
              </w:rPr>
              <w:t>(2)</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575,000</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0.01</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5/18/2033</w:t>
            </w:r>
          </w:p>
        </w:tc>
        <w:tc>
          <w:tcPr>
            <w:tcW w:w="32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right"/>
              <w:rPr/>
            </w:pPr>
            <w:r>
              <w:rPr/>
              <w:t>—</w:t>
            </w:r>
          </w:p>
        </w:tc>
      </w:tr>
      <w:tr>
        <w:trPr/>
        <w:tc>
          <w:tcPr>
            <w:tcW w:w="6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Kim Davis</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3/15/2023</w:t>
            </w:r>
            <w:r>
              <w:rPr>
                <w:rFonts w:ascii="Times New Roman;Times;serif" w:hAnsi="Times New Roman;Times;serif"/>
                <w:sz w:val="11"/>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206,547</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3/15/2033</w:t>
            </w:r>
          </w:p>
        </w:tc>
        <w:tc>
          <w:tcPr>
            <w:tcW w:w="32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5/18/2023</w:t>
            </w:r>
            <w:r>
              <w:rPr>
                <w:rFonts w:ascii="Times New Roman;Times;serif" w:hAnsi="Times New Roman;Times;serif"/>
                <w:sz w:val="11"/>
              </w:rPr>
              <w:t>(3)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492,381</w:t>
            </w:r>
          </w:p>
        </w:tc>
        <w:tc>
          <w:tcPr>
            <w:tcW w:w="32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2,299,419</w:t>
            </w:r>
          </w:p>
        </w:tc>
        <w:tc>
          <w:tcPr>
            <w:tcW w:w="326"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r>
      <w:tr>
        <w:trPr/>
        <w:tc>
          <w:tcPr>
            <w:tcW w:w="6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Michael Howell</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3/15/2023</w:t>
            </w:r>
            <w:r>
              <w:rPr>
                <w:rFonts w:ascii="Times New Roman;Times;serif" w:hAnsi="Times New Roman;Times;serif"/>
                <w:sz w:val="11"/>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190,659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3/15/2033</w:t>
            </w:r>
          </w:p>
        </w:tc>
        <w:tc>
          <w:tcPr>
            <w:tcW w:w="32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5/18/2023</w:t>
            </w:r>
            <w:r>
              <w:rPr>
                <w:rFonts w:ascii="Times New Roman;Times;serif" w:hAnsi="Times New Roman;Times;serif"/>
                <w:sz w:val="11"/>
              </w:rPr>
              <w:t>(4)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114,395</w:t>
            </w:r>
          </w:p>
        </w:tc>
        <w:tc>
          <w:tcPr>
            <w:tcW w:w="32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534,225</w:t>
            </w:r>
          </w:p>
        </w:tc>
        <w:tc>
          <w:tcPr>
            <w:tcW w:w="326"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r>
      <w:tr>
        <w:trPr/>
        <w:tc>
          <w:tcPr>
            <w:tcW w:w="6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Chris Cabell</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3/15/2023</w:t>
            </w:r>
            <w:r>
              <w:rPr>
                <w:rFonts w:ascii="Times New Roman;Times;serif" w:hAnsi="Times New Roman;Times;serif"/>
                <w:sz w:val="11"/>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270,100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3/15/2033</w:t>
            </w:r>
          </w:p>
        </w:tc>
        <w:tc>
          <w:tcPr>
            <w:tcW w:w="32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r>
      <w:tr>
        <w:trPr/>
        <w:tc>
          <w:tcPr>
            <w:tcW w:w="6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5/18/2023</w:t>
            </w:r>
            <w:r>
              <w:rPr>
                <w:rFonts w:ascii="Times New Roman;Times;serif" w:hAnsi="Times New Roman;Times;serif"/>
                <w:sz w:val="11"/>
              </w:rPr>
              <w:t>(5)</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162,060</w:t>
            </w:r>
          </w:p>
        </w:tc>
        <w:tc>
          <w:tcPr>
            <w:tcW w:w="32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756,820</w:t>
            </w:r>
          </w:p>
        </w:tc>
        <w:tc>
          <w:tcPr>
            <w:tcW w:w="326"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r>
      <w:tr>
        <w:trPr/>
        <w:tc>
          <w:tcPr>
            <w:tcW w:w="6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Preston Klassen</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3/15/2023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59,594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3/15/2033</w:t>
            </w:r>
          </w:p>
        </w:tc>
        <w:tc>
          <w:tcPr>
            <w:tcW w:w="32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45" w:hanging="0"/>
              <w:jc w:val="right"/>
              <w:rPr/>
            </w:pPr>
            <w:r>
              <w:rPr/>
              <w:t>—</w:t>
            </w:r>
          </w:p>
        </w:tc>
      </w:tr>
    </w:tbl>
    <w:tbl>
      <w:tblPr>
        <w:tblW w:w="8147" w:type="dxa"/>
        <w:jc w:val="left"/>
        <w:tblInd w:w="0" w:type="dxa"/>
        <w:tblLayout w:type="fixed"/>
        <w:tblCellMar>
          <w:top w:w="0" w:type="dxa"/>
          <w:left w:w="0" w:type="dxa"/>
          <w:bottom w:w="0" w:type="dxa"/>
          <w:right w:w="0" w:type="dxa"/>
        </w:tblCellMar>
      </w:tblPr>
      <w:tblGrid>
        <w:gridCol w:w="346"/>
        <w:gridCol w:w="78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options vest on May 18, 2024 and 2.083% vest at the end of each month thereafter.</w:t>
            </w:r>
          </w:p>
        </w:tc>
      </w:tr>
    </w:tbl>
    <w:tbl>
      <w:tblPr>
        <w:tblW w:w="8147" w:type="dxa"/>
        <w:jc w:val="left"/>
        <w:tblInd w:w="0" w:type="dxa"/>
        <w:tblLayout w:type="fixed"/>
        <w:tblCellMar>
          <w:top w:w="0" w:type="dxa"/>
          <w:left w:w="0" w:type="dxa"/>
          <w:bottom w:w="0" w:type="dxa"/>
          <w:right w:w="0" w:type="dxa"/>
        </w:tblCellMar>
      </w:tblPr>
      <w:tblGrid>
        <w:gridCol w:w="346"/>
        <w:gridCol w:w="78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options vest on May 18, 2024 and 2.083% vest at the end of each month thereafter.</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RSUs vest on May 18, 2024, 2025, 2026 and 2027, respectively; 25% of the options vest on March 15, 2024 and 2.083% vest at the end of each month thereafter.</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RSUs vest on May 18, 2024, 2025, 2026 and 2027, respectively; 25% of the options vest on March 15, 2024 and 2.083% vest at the end of each month thereafter.</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RSUs vest on May 18, 2024, 2025, 2026 and 2027, respectively; 25% of the options vest on March 15, 2024 and 2.083% vest at the end of each month thereafter.</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Equity Incentive Plan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equity incentive plan information, see Note 9 to the Notes to Consolidated Financial Statements.</w:t>
      </w:r>
    </w:p>
    <w:p>
      <w:pPr>
        <w:pStyle w:val="TextBody"/>
        <w:bidi w:val="0"/>
        <w:spacing w:before="0" w:after="240"/>
        <w:ind w:left="0" w:right="0" w:hanging="0"/>
        <w:jc w:val="both"/>
        <w:rPr>
          <w:rFonts w:ascii="Times New Roman;Times;serif" w:hAnsi="Times New Roman;Times;serif"/>
          <w:b/>
          <w:sz w:val="20"/>
        </w:rPr>
      </w:pPr>
      <w:bookmarkStart w:id="140" w:name="CompensationofDirectors_860332"/>
      <w:bookmarkEnd w:id="140"/>
      <w:r>
        <w:rPr>
          <w:rFonts w:ascii="Times New Roman;Times;serif" w:hAnsi="Times New Roman;Times;serif"/>
          <w:b/>
          <w:sz w:val="20"/>
        </w:rPr>
        <w:t>Compensation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2023, the Company paid each non-employee director certain directors’ fees to serve on the board. Options to purchase Class A Ordinary Shares may be issued in addition to the director’s annual fee. Expenses incurred in attending Board of Director meetings and committee meetings may be reimbursed. The following table describes all compensation for each director for the year ended December 31, 2023.</w:t>
      </w:r>
    </w:p>
    <w:tbl>
      <w:tblPr>
        <w:tblW w:w="11264" w:type="dxa"/>
        <w:jc w:val="left"/>
        <w:tblInd w:w="0" w:type="dxa"/>
        <w:tblLayout w:type="fixed"/>
        <w:tblCellMar>
          <w:top w:w="0" w:type="dxa"/>
          <w:left w:w="0" w:type="dxa"/>
          <w:bottom w:w="0" w:type="dxa"/>
          <w:right w:w="0" w:type="dxa"/>
        </w:tblCellMar>
      </w:tblPr>
      <w:tblGrid>
        <w:gridCol w:w="901"/>
        <w:gridCol w:w="326"/>
        <w:gridCol w:w="211"/>
        <w:gridCol w:w="931"/>
        <w:gridCol w:w="326"/>
        <w:gridCol w:w="211"/>
        <w:gridCol w:w="1186"/>
        <w:gridCol w:w="326"/>
        <w:gridCol w:w="211"/>
        <w:gridCol w:w="1186"/>
        <w:gridCol w:w="326"/>
        <w:gridCol w:w="211"/>
        <w:gridCol w:w="1186"/>
        <w:gridCol w:w="326"/>
        <w:gridCol w:w="285"/>
        <w:gridCol w:w="916"/>
        <w:gridCol w:w="326"/>
        <w:gridCol w:w="211"/>
        <w:gridCol w:w="1291"/>
        <w:gridCol w:w="371"/>
      </w:tblGrid>
      <w:tr>
        <w:trPr/>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26" w:type="dxa"/>
            <w:tcBorders/>
            <w:vAlign w:val="center"/>
          </w:tcPr>
          <w:p>
            <w:pPr>
              <w:pStyle w:val="TableContents"/>
              <w:bidi w:val="0"/>
              <w:spacing w:before="0" w:after="0"/>
              <w:ind w:left="0" w:right="0" w:hanging="0"/>
              <w:jc w:val="center"/>
              <w:rPr/>
            </w:pPr>
            <w:r>
              <w:rPr/>
              <w:t>    </w:t>
            </w:r>
          </w:p>
        </w:tc>
        <w:tc>
          <w:tcPr>
            <w:tcW w:w="285"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    </w:t>
            </w:r>
          </w:p>
        </w:tc>
      </w:tr>
      <w:tr>
        <w:trPr/>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w:t>
            </w:r>
          </w:p>
        </w:tc>
        <w:tc>
          <w:tcPr>
            <w:tcW w:w="32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 </w:t>
            </w:r>
          </w:p>
        </w:tc>
      </w:tr>
      <w:tr>
        <w:trPr/>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earned or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RSA</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Incentive Plan</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Calibri;Helvetica;sans-serif" w:hAnsi="Calibri;Helvetica;sans-serif"/>
                <w:b/>
                <w:sz w:val="16"/>
              </w:rPr>
            </w:pPr>
            <w:r>
              <w:rPr>
                <w:rFonts w:ascii="Calibri;Helvetica;sans-serif" w:hAnsi="Calibri;Helvetica;sans-serif"/>
                <w:b/>
                <w:sz w:val="16"/>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 </w:t>
            </w:r>
          </w:p>
        </w:tc>
      </w:tr>
      <w:tr>
        <w:trPr/>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Compensations</w:t>
            </w:r>
          </w:p>
        </w:tc>
        <w:tc>
          <w:tcPr>
            <w:tcW w:w="326" w:type="dxa"/>
            <w:tcBorders/>
            <w:vAlign w:val="center"/>
          </w:tcPr>
          <w:p>
            <w:pPr>
              <w:pStyle w:val="TableContents"/>
              <w:bidi w:val="0"/>
              <w:spacing w:before="0" w:after="0"/>
              <w:ind w:left="0" w:right="0" w:hanging="0"/>
              <w:jc w:val="center"/>
              <w:rPr/>
            </w:pPr>
            <w:r>
              <w:rPr/>
              <w:t>​</w:t>
            </w:r>
          </w:p>
        </w:tc>
        <w:tc>
          <w:tcPr>
            <w:tcW w:w="15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71" w:type="dxa"/>
            <w:tcBorders/>
            <w:vAlign w:val="center"/>
          </w:tcPr>
          <w:p>
            <w:pPr>
              <w:pStyle w:val="TableContents"/>
              <w:bidi w:val="0"/>
              <w:spacing w:before="0" w:after="0"/>
              <w:ind w:left="0" w:right="0" w:hanging="0"/>
              <w:jc w:val="center"/>
              <w:rPr/>
            </w:pPr>
            <w:r>
              <w:rPr/>
              <w:t> </w:t>
            </w:r>
          </w:p>
        </w:tc>
      </w:tr>
      <w:tr>
        <w:trPr/>
        <w:tc>
          <w:tcPr>
            <w:tcW w:w="90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(1)</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(3)</w:t>
            </w:r>
          </w:p>
        </w:tc>
        <w:tc>
          <w:tcPr>
            <w:tcW w:w="326" w:type="dxa"/>
            <w:tcBorders/>
            <w:vAlign w:val="center"/>
          </w:tcPr>
          <w:p>
            <w:pPr>
              <w:pStyle w:val="TableContents"/>
              <w:bidi w:val="0"/>
              <w:spacing w:before="0" w:after="0"/>
              <w:ind w:left="0" w:right="0" w:hanging="0"/>
              <w:jc w:val="center"/>
              <w:rPr/>
            </w:pPr>
            <w:r>
              <w:rPr/>
              <w:t>​</w:t>
            </w:r>
          </w:p>
        </w:tc>
        <w:tc>
          <w:tcPr>
            <w:tcW w:w="15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(h)</w:t>
            </w:r>
          </w:p>
        </w:tc>
        <w:tc>
          <w:tcPr>
            <w:tcW w:w="371" w:type="dxa"/>
            <w:tcBorders/>
            <w:vAlign w:val="center"/>
          </w:tcPr>
          <w:p>
            <w:pPr>
              <w:pStyle w:val="TableContents"/>
              <w:bidi w:val="0"/>
              <w:spacing w:before="0" w:after="0"/>
              <w:ind w:left="0" w:right="0" w:hanging="0"/>
              <w:jc w:val="center"/>
              <w:rPr/>
            </w:pPr>
            <w:r>
              <w:rPr/>
              <w:t> </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Amit Munshi</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89,000.00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4,079,942.88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1,427,834.00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5,589,553.34</w:t>
            </w:r>
          </w:p>
        </w:tc>
        <w:tc>
          <w:tcPr>
            <w:tcW w:w="326" w:type="dxa"/>
            <w:tcBorders/>
            <w:shd w:fill="CCEEFF" w:val="clear"/>
            <w:vAlign w:val="center"/>
          </w:tcPr>
          <w:p>
            <w:pPr>
              <w:pStyle w:val="TableContents"/>
              <w:bidi w:val="0"/>
              <w:spacing w:before="0" w:after="0"/>
              <w:ind w:left="0" w:right="0" w:hanging="0"/>
              <w:jc w:val="righ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11,097,330.22</w:t>
            </w:r>
          </w:p>
        </w:tc>
        <w:tc>
          <w:tcPr>
            <w:tcW w:w="371" w:type="dxa"/>
            <w:tcBorders/>
            <w:shd w:fill="CCEEFF" w:val="clear"/>
            <w:vAlign w:val="center"/>
          </w:tcPr>
          <w:p>
            <w:pPr>
              <w:pStyle w:val="TableContents"/>
              <w:bidi w:val="0"/>
              <w:spacing w:before="0" w:after="0"/>
              <w:ind w:left="0" w:right="0" w:hanging="0"/>
              <w:jc w:val="center"/>
              <w:rPr/>
            </w:pPr>
            <w:r>
              <w:rPr/>
              <w:t> </w:t>
            </w:r>
          </w:p>
        </w:tc>
      </w:tr>
      <w:tr>
        <w:trPr/>
        <w:tc>
          <w:tcPr>
            <w:tcW w:w="90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Garry Neil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51,521.74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30,731.60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97,595.01</w:t>
            </w:r>
          </w:p>
        </w:tc>
        <w:tc>
          <w:tcPr>
            <w:tcW w:w="326" w:type="dxa"/>
            <w:tcBorders/>
            <w:vAlign w:val="center"/>
          </w:tcPr>
          <w:p>
            <w:pPr>
              <w:pStyle w:val="TableContents"/>
              <w:bidi w:val="0"/>
              <w:spacing w:before="0" w:after="0"/>
              <w:ind w:left="0" w:right="0" w:hanging="0"/>
              <w:jc w:val="right"/>
              <w:rPr/>
            </w:pPr>
            <w:r>
              <w:rPr/>
              <w:t> </w:t>
            </w:r>
          </w:p>
        </w:tc>
        <w:tc>
          <w:tcPr>
            <w:tcW w:w="285"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128,326.61</w:t>
            </w:r>
          </w:p>
        </w:tc>
        <w:tc>
          <w:tcPr>
            <w:tcW w:w="371" w:type="dxa"/>
            <w:tcBorders/>
            <w:vAlign w:val="center"/>
          </w:tcPr>
          <w:p>
            <w:pPr>
              <w:pStyle w:val="TableContents"/>
              <w:bidi w:val="0"/>
              <w:spacing w:before="0" w:after="0"/>
              <w:ind w:left="0" w:right="0" w:hanging="0"/>
              <w:jc w:val="left"/>
              <w:rPr/>
            </w:pPr>
            <w:r>
              <w:rPr/>
              <w: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 Jarrett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58,000.00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30,731.60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97,595.01</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128,326.61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Neil Graham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56,000.00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97,595.01</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128,326.61</w:t>
            </w:r>
          </w:p>
        </w:tc>
        <w:tc>
          <w:tcPr>
            <w:tcW w:w="371" w:type="dxa"/>
            <w:tcBorders/>
            <w:vAlign w:val="center"/>
          </w:tcPr>
          <w:p>
            <w:pPr>
              <w:pStyle w:val="TableContents"/>
              <w:bidi w:val="0"/>
              <w:spacing w:before="0" w:after="0"/>
              <w:ind w:left="0" w:right="0" w:hanging="0"/>
              <w:jc w:val="left"/>
              <w:rPr/>
            </w:pPr>
            <w:r>
              <w:rPr/>
              <w: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Sandeep Kulkarni</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68,000.00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835,816.72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836,518.97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 Schoch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66,000.00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97,595.01</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128,326.61</w:t>
            </w:r>
          </w:p>
        </w:tc>
        <w:tc>
          <w:tcPr>
            <w:tcW w:w="371" w:type="dxa"/>
            <w:tcBorders/>
            <w:vAlign w:val="center"/>
          </w:tcPr>
          <w:p>
            <w:pPr>
              <w:pStyle w:val="TableContents"/>
              <w:bidi w:val="0"/>
              <w:spacing w:before="0" w:after="0"/>
              <w:ind w:left="0" w:right="0" w:hanging="0"/>
              <w:jc w:val="left"/>
              <w:rPr/>
            </w:pPr>
            <w:r>
              <w:rPr/>
              <w: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Parvinder Thiara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47,076.09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47,076.09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Arnout Ploos van Amstel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8,065.22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8,998.81</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the aggregate grant-date fair value of awards granted to each named director and former director, computed in accordance with the Financial Accounting Standards Board’s (“FASB”) Accounting Standards Codification (“ASC”) Topic 718.</w:t>
            </w:r>
          </w:p>
        </w:tc>
      </w:tr>
    </w:tbl>
    <w:tbl>
      <w:tblPr>
        <w:tblW w:w="4007" w:type="dxa"/>
        <w:jc w:val="left"/>
        <w:tblInd w:w="0" w:type="dxa"/>
        <w:tblLayout w:type="fixed"/>
        <w:tblCellMar>
          <w:top w:w="0" w:type="dxa"/>
          <w:left w:w="0" w:type="dxa"/>
          <w:bottom w:w="0" w:type="dxa"/>
          <w:right w:w="0" w:type="dxa"/>
        </w:tblCellMar>
      </w:tblPr>
      <w:tblGrid>
        <w:gridCol w:w="346"/>
        <w:gridCol w:w="36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Neil resigned effective November 2023.</w:t>
            </w:r>
          </w:p>
        </w:tc>
      </w:tr>
    </w:tbl>
    <w:tbl>
      <w:tblPr>
        <w:tblW w:w="8102" w:type="dxa"/>
        <w:jc w:val="left"/>
        <w:tblInd w:w="0" w:type="dxa"/>
        <w:tblLayout w:type="fixed"/>
        <w:tblCellMar>
          <w:top w:w="0" w:type="dxa"/>
          <w:left w:w="0" w:type="dxa"/>
          <w:bottom w:w="0" w:type="dxa"/>
          <w:right w:w="0" w:type="dxa"/>
        </w:tblCellMar>
      </w:tblPr>
      <w:tblGrid>
        <w:gridCol w:w="346"/>
        <w:gridCol w:w="77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 2023 include travel expenses, business reimbursements, and others.</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1" w:name="ITEM12SECURITYOWNERSHIPOFCERTAINBENEFICI"/>
      <w:bookmarkStart w:id="142" w:name="_01cc7820_1831_4300_8166_4110fce5c443"/>
      <w:bookmarkEnd w:id="141"/>
      <w:bookmarkEnd w:id="142"/>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certain information known to us regarding the beneficial ownership of our Class A ordinary shares as of March 25, 2024 by: (i) each of our Named Executive Officers; (ii) each of our executive officers and directors; (iii) all of our executive officers and directors as a group; and (iv) each person or entity, or group of affiliated persons or entities, known by us to beneficially own more than 5% of our outstanding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with respect to beneficial ownership is based on information furnished to us by each director, executive officer or shareholder who holds more than 5% of our outstanding ordinary shares,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March 15, 2024. Options and warrants to purchase Class A ordinary shares that are exercisable within 60 days of March 15, 2024 are deemed to be beneficially owned by the persons holding these options and warrants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Class A Ordinary Shares listed as beneficially owned by him or her, except for Class A Ordinary Shares owned jointly with that person’s spouse.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based our calculation of beneficial ownership on 43,593,678 of our Class A Ordinary Shares outstanding as of March 26, 2024. Unless otherwise indicated, the address for each of the shareholders in the table below is c/o Zura Bio Limited, 1489 W. Warm Springs Rd., #110, Henderson, Nevada.</w:t>
      </w:r>
    </w:p>
    <w:tbl>
      <w:tblPr>
        <w:tblW w:w="8906" w:type="dxa"/>
        <w:jc w:val="left"/>
        <w:tblInd w:w="0" w:type="dxa"/>
        <w:tblLayout w:type="fixed"/>
        <w:tblCellMar>
          <w:top w:w="0" w:type="dxa"/>
          <w:left w:w="0" w:type="dxa"/>
          <w:bottom w:w="0" w:type="dxa"/>
          <w:right w:w="0" w:type="dxa"/>
        </w:tblCellMar>
      </w:tblPr>
      <w:tblGrid>
        <w:gridCol w:w="5791"/>
        <w:gridCol w:w="326"/>
        <w:gridCol w:w="1036"/>
        <w:gridCol w:w="326"/>
        <w:gridCol w:w="1111"/>
        <w:gridCol w:w="31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77285" cy="175260"/>
                      <wp:effectExtent l="0" t="0" r="0" b="0"/>
                      <wp:wrapNone/>
                      <wp:docPr id="69" name="Frame63"/>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0"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57860" cy="175260"/>
                      <wp:effectExtent l="0" t="0" r="0" b="0"/>
                      <wp:wrapNone/>
                      <wp:docPr id="71" name="Frame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2"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05485" cy="175260"/>
                      <wp:effectExtent l="0" t="0" r="0" b="0"/>
                      <wp:wrapNone/>
                      <wp:docPr id="73" name="Frame6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0660" cy="175260"/>
                      <wp:effectExtent l="0" t="0" r="0" b="0"/>
                      <wp:wrapNone/>
                      <wp:docPr id="74" name="Frame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16" w:type="dxa"/>
            <w:tcBorders/>
            <w:vAlign w:val="center"/>
          </w:tcPr>
          <w:p>
            <w:pPr>
              <w:pStyle w:val="TableContents"/>
              <w:bidi w:val="0"/>
              <w:spacing w:before="0" w:after="0"/>
              <w:ind w:left="0" w:right="0" w:hanging="0"/>
              <w:jc w:val="left"/>
              <w:rPr/>
            </w:pPr>
            <w:r>
              <w:rPr/>
              <w:t> </w:t>
            </w:r>
          </w:p>
        </w:tc>
      </w:tr>
      <w:tr>
        <w:trPr/>
        <w:tc>
          <w:tcPr>
            <w:tcW w:w="5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16" w:type="dxa"/>
            <w:tcBorders/>
            <w:vAlign w:val="center"/>
          </w:tcPr>
          <w:p>
            <w:pPr>
              <w:pStyle w:val="TableContents"/>
              <w:bidi w:val="0"/>
              <w:spacing w:before="0" w:after="0"/>
              <w:ind w:left="0" w:right="0" w:hanging="0"/>
              <w:jc w:val="left"/>
              <w:rPr/>
            </w:pPr>
            <w:r>
              <w:rPr/>
              <w:t> </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5% and Greater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Athanor Capital, L.P.</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4,801,633</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JATT Ventures, L.P.</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3,134,701</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Hana Immunotherapeutics LLC</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5,404,274</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Deep Track Biotechnology Master Fund Ltd.</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4,205,000</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AI Biotechnology LLC</w:t>
            </w:r>
            <w:r>
              <w:rPr>
                <w:rFonts w:ascii="Times New Roman;Times;serif" w:hAnsi="Times New Roman;Times;serif"/>
                <w:sz w:val="15"/>
              </w:rPr>
              <w:t>(5)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4,388,560</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Ewon Comfortech Co., Ltd.</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3,653,466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Willow Gate LLC</w:t>
            </w:r>
            <w:r>
              <w:rPr>
                <w:rFonts w:ascii="Times New Roman;Times;serif" w:hAnsi="Times New Roman;Times;serif"/>
                <w:sz w:val="15"/>
              </w:rPr>
              <w:t>(10)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3,177,623</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Pfizer Inc.</w:t>
            </w:r>
            <w:r>
              <w:rPr>
                <w:rFonts w:ascii="Times New Roman;Times;serif" w:hAnsi="Times New Roman;Times;serif"/>
                <w:sz w:val="15"/>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2,970,022</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Averill Master Fund, Ltd.</w:t>
            </w:r>
            <w:r>
              <w:rPr>
                <w:rFonts w:ascii="Times New Roman;Times;serif" w:hAnsi="Times New Roman;Times;serif"/>
                <w:sz w:val="15"/>
              </w:rPr>
              <w:t>(8)</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2,850,000</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Stone Peach Properties LLC</w:t>
            </w:r>
            <w:r>
              <w:rPr>
                <w:rFonts w:ascii="Times New Roman;Times;serif" w:hAnsi="Times New Roman;Times;serif"/>
                <w:sz w:val="15"/>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2,701,543</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Officers and Directors: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Someit Sidhu</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7,678,420</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Verender Badial</w:t>
            </w:r>
            <w:r>
              <w:rPr>
                <w:rFonts w:ascii="Times New Roman;Times;serif" w:hAnsi="Times New Roman;Times;serif"/>
                <w:sz w:val="15"/>
              </w:rPr>
              <w:t>(11)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811,883</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Chris Cabell</w:t>
            </w: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108,040</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Kim Davis</w:t>
            </w:r>
            <w:r>
              <w:rPr>
                <w:rFonts w:ascii="Times New Roman;Times;serif" w:hAnsi="Times New Roman;Times;serif"/>
                <w:sz w:val="15"/>
              </w:rPr>
              <w:t>(13)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60,241</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Gary Whale</w:t>
            </w:r>
            <w:r>
              <w:rPr>
                <w:rFonts w:ascii="Times New Roman;Times;serif" w:hAnsi="Times New Roman;Times;serif"/>
                <w:sz w:val="15"/>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46,339</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Howell</w:t>
            </w:r>
            <w:r>
              <w:rPr>
                <w:rFonts w:ascii="Times New Roman;Times;serif" w:hAnsi="Times New Roman;Times;serif"/>
                <w:sz w:val="15"/>
              </w:rPr>
              <w:t>(15)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55,608</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Amit Munshi</w:t>
            </w:r>
            <w:r>
              <w:rPr>
                <w:rFonts w:ascii="Times New Roman;Times;serif" w:hAnsi="Times New Roman;Times;serif"/>
                <w:sz w:val="15"/>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242,645</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Sandeep Kulkarni</w:t>
            </w:r>
            <w:r>
              <w:rPr>
                <w:rFonts w:ascii="Times New Roman;Times;serif" w:hAnsi="Times New Roman;Times;serif"/>
                <w:sz w:val="15"/>
              </w:rPr>
              <w:t>(17)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140,353</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Arnout Ploos van Amstel</w:t>
            </w:r>
            <w:r>
              <w:rPr>
                <w:rFonts w:ascii="Times New Roman;Times;serif" w:hAnsi="Times New Roman;Times;serif"/>
                <w:sz w:val="15"/>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Steve Schoch</w:t>
            </w:r>
            <w:r>
              <w:rPr>
                <w:rFonts w:ascii="Times New Roman;Times;serif" w:hAnsi="Times New Roman;Times;serif"/>
                <w:sz w:val="15"/>
              </w:rPr>
              <w:t>(19)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Jennifer Jarrett</w:t>
            </w:r>
            <w:r>
              <w:rPr>
                <w:rFonts w:ascii="Times New Roman;Times;serif" w:hAnsi="Times New Roman;Times;serif"/>
                <w:sz w:val="15"/>
              </w:rPr>
              <w:t>(20)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Neil Graham</w:t>
            </w:r>
            <w:r>
              <w:rPr>
                <w:rFonts w:ascii="Times New Roman;Times;serif" w:hAnsi="Times New Roman;Times;serif"/>
                <w:sz w:val="15"/>
              </w:rPr>
              <w:t>(21)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Parvinder Thiara</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4,801,633</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current executive officers and directors as a group (13 individuals)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13,976,322</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Represents beneficial ownership of less than 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(1)Consists of (i) 3,357,742 Class A ordinary shares that are held of record by Athanor Master Fund, LP, a Cayman Islands limited partnership (“Athanor MF”) and (ii) 1,443,891 Class A ordinary shares that are held of record by Athanor International Master Fund, LP, a Cayman Islands limited partnership (“Athanor IMF”). Athanor Capital Partners, LP, a Delaware limited partnership (“Master GP”), is the general partner of Athanor MF. Athanor International Fund GP, LP, a Delaware limited partnership (“International Master GP”), is the general partner of Athanor IMF. Athanor Capital, LP, a Delaware limited partnership (“Athanor Capital”) is the investment adviser to Athanor MF and Athanor IMF. Athanor Capital GP, LLC, a Delaware limited liability company (“Athanor Capital GP”), is the general partner of Athanor Capital. Parvinder Thiara is the managing member of (i) Athanor Capital GP, (ii) Athanor Capital Partners GP, LLC (“ACPGP”), the general partner of Master GP, and (iii) Athanor International Fund Ultimate GP, LLC (“AIFUGP”), the general partner of International Master GP and has voting and dispositive power over the shares held by Athanor MF and Athanor IMF. The business address of each of Athanor MF, Athanor IMF, Master GP, International Master GP, Athanor Capital, Athanor Capital GP, ACPGP, AIFUGP and Parvinder Thiara is 888 Seventh Avenue, 21</w:t>
      </w:r>
      <w:r>
        <w:rPr>
          <w:rFonts w:ascii="Times New Roman;Times;serif" w:hAnsi="Times New Roman;Times;serif"/>
          <w:sz w:val="15"/>
        </w:rPr>
        <w:t>st</w:t>
      </w:r>
      <w:r>
        <w:rPr>
          <w:rFonts w:ascii="Times New Roman;Times;serif" w:hAnsi="Times New Roman;Times;serif"/>
          <w:sz w:val="20"/>
        </w:rPr>
        <w:t> Floor, New York, NY 10019. The amount reported in this table does not include 500,000 Shares that Mr. Thiara agreed to purchase pursuant to that certain Subscription Agreement, dated May 26, 2023, by and among Mr. Thiara and Zura, which Mr. Thiara assigned to Willow Gate pursuant to that certain Assignment and Assumption Agreement, dated May 9, 2023, by and among Mr. Thiara and Willow Gate LLC. The table also excludes options held by Mr. Thiara to purchase 48,149 Class A ordinary shares that are not exercisable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(2)Includes securities owned by JATT Ventures, L.P. a Cayman Islands exempted limited partnership (the “Sponsor”), which is the record holder of 351,000 Class A ordinary shares, including 2,738,701 Class A ordinary shares underlying private placement warrants. Dr. Someit Sidhu is the sole director of JATT Ventures, Ltd., which is the sole general partner of the Sponsor, and has voting and dispositive power over the Class A ordinary shares held by the Sponsor and separately and beneficially owns an additional 4,543,719 Class A ordinary shares, including 1,750,000 Class A ordinary shares underlying public warrants and 656,573 Class A ordinary shares underlying the private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(3)Consists of Class A ordinary shares, which are held of record by Hana Immunotherapeutics LLC (“Hana”). Chris Kim is the controlling shareholder of Hana. Mr. Kim has voting and dispositive power over, and may be deemed to be the beneficial owner of, the shares held by Hana. The business address of Hana is 6 Centerpointe Dr. #625, La Palma, CA 90623.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(4)Includes pre-funded warrants to purchase 1,682,000 shares of Class A ordinary shares. The pre-funded warrants do not allow for an exercise that would result in the holder of such pre-funded warrants (together with its affiliates, any “group” or any other persons whose beneficial ownership could be aggregated with the holder) would beneficially own more than 9.99% of the Class A ordinary shares outstanding immediately following exercise. Deep Track Biotechnology Master Fund, Ltd. has a principal address of 200 Greenwich Ave., Suite 3, Greenwich CT 06830-2506.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(5)Includes pre-funded warrants to purchase 2,100,000 shares of Class A ordinary shares. The pre-funded warrants do not allow for an exercise that would result in the holder of such pre-funded warrants (together with its affiliates, any “group” or any other persons whose beneficial ownership could be aggregated with the holder) would beneficially own more than 9.99% of the Class A ordinary shares outstanding immediately following exercise. AI Biotechnology LLC has a principal address c/o Access Industries Management LLC, 40W 57</w:t>
      </w:r>
      <w:r>
        <w:rPr>
          <w:rFonts w:ascii="Times New Roman;Times;serif" w:hAnsi="Times New Roman;Times;serif"/>
          <w:sz w:val="15"/>
        </w:rPr>
        <w:t>th</w:t>
      </w:r>
      <w:r>
        <w:rPr>
          <w:rFonts w:ascii="Times New Roman;Times;serif" w:hAnsi="Times New Roman;Times;serif"/>
          <w:sz w:val="20"/>
        </w:rPr>
        <w:t> St. FL 28, New York, NY 10019-4012.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(6)Consists of Class A ordinary shares, including 1,653,466 of the Company’s Class A ordinary shares underlying private placement warrants, which are held of record by Ewon Comfortech Co., Ltd. (“Ewon”). The business address of Ewon is 8 Cheomdan 1-ro Jeongeup, Jeonbuk, 56212 Republic of South Korea.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(7)Consists of Class A ordinary shares, which are held of record by Pfizer Inc. (“Pfizer”). The business address of Pfizer is 235 East 42nd Street, New York, NY 10017.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(8)Averill Master Fund, Ltd. has a principal address c/o Suvretta Capital Management LLC, 540 Madison Ave. FL 7, New York, NY 10022-3213.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(9)Consists of Class A ordinary shares, which are held of record by Stone Peach Properties LLC (“Stone Peach”). Baljit Lehal has voting and dispositive power over the shares held by Stone Peach. The business address of Stone Peach is 2057 Stanton Rd, East Point, GA 30344.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(10)Consists of Class A ordinary shares, which are held of record by Willow Gate LLC (“Willow Gate”). Shashibhushan Borade has voting and dispositive power over the shares held by Willow Gate. The business address of Willow Gate is 35 Bethune St, New York, NY 10014. Includes 500,000 shares acquired on June 5, 2023, pursuant to that certain Subscription Agreement, dated May 26, 2023, by and among Mr. Thiara and Zura, which Mr. Thiara assigned to Willow Gate pursuant to that certain Assignment and Assumption Agreement, dated May 9, 2023, by and among Mr. Thiara and Willow Gate LLC.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(11)Excludes options held by Mr. Badial to purchase 575,000 Class A ordinary shares that are not exercisable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(12)Pursuant to certain Severance And General Release Agreement dated January 18, 2024 with Mr. Cabell, 67,525 of his stock options and 40,515 of his RSUs became vested and exercisable as of January 18, 2024. The rest of his unvested options and RSUs were canceled and forfeited.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(13)Excludes (i) options held by Ms. Davis to purchase 146,306 Class A ordinary shares that are not exercisable within 60 days of March 15, 2024, and (ii) 492,381 restricted share units held by Ms. Davis that do not vest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(14)Excludes options held by Dr. Whale to purchase 168,151 Class A ordinary shares that are not exercisable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(15)Excludes (i) options held by Dr. Howell to purchase 135,051 Class A ordinary shares that are not exercisable within 60 days of March 15, 2024, and (ii) 114,395 restricted share units held by Dr. Howell that do not vest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(16)Excludes equity grants consisting of (i) 374,995 Class A ordinary shares underlying RSUs granted to Mr. Munshi which will vest in four equal annual installments commencing on March 15, 2024, (ii) performance shares providing Mr. Munshi the option to purchase 306,373 Class A ordinary shares at an exercise price per share equal to $8.16, the fair market value of a Class A ordinary share on March 20, 2023 (the date of grant), which will become exercisable if the 20-day volume weighted average trading price of the Class A ordinary shares is over $30 per share at any time prior to March 20, 2028 (the fifth anniversary of the closing of the merger of ZBHL with a wholly-owned subsidiary of JATT), and (iii) 1,130,000 options granted on June 1, 2023. The Class A ordinary shares underlying the RSUs and options are excluded because they may not vest and will not be issued within 60 days of March 15, 2024. The performance shares underlying the options are excluded because it is indeterminable whether such options will become exercisable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(17)Excludes options held by Dr. Kulkarni to purchase 413,034 Class A ordinary shares. 140,353 options are exercisable and vest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(18)Excludes options held by Dr. Ploos van Amstel to purchase 48,149 Class A ordinary shares not exercisable or vest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(19)Excludes options held by Mr. Schoch to purchase 20,406 Class A ordinary shares, 3,720 of which are exercisable and vest within 60 days of March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(20)Excludes options held by Ms. Jarrett to purchase 20,406 Class A ordinary shares, 3,720 of which are exercisable and vest within 60 days of March 15, 2024.</w:t>
      </w:r>
    </w:p>
    <w:tbl>
      <w:tblPr>
        <w:tblW w:w="10205" w:type="dxa"/>
        <w:jc w:val="left"/>
        <w:tblInd w:w="0" w:type="dxa"/>
        <w:tblLayout w:type="fixed"/>
        <w:tblCellMar>
          <w:top w:w="28" w:type="dxa"/>
          <w:left w:w="28" w:type="dxa"/>
          <w:bottom w:w="28" w:type="dxa"/>
          <w:right w:w="28" w:type="dxa"/>
        </w:tblCellMar>
      </w:tblPr>
      <w:tblGrid>
        <w:gridCol w:w="124"/>
        <w:gridCol w:w="419"/>
        <w:gridCol w:w="9662"/>
      </w:tblGrid>
      <w:tr>
        <w:trPr/>
        <w:tc>
          <w:tcPr>
            <w:tcW w:w="124" w:type="dxa"/>
            <w:tcBorders/>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6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options held by Dr. Graham to purchase 20,406 Class A ordinary shares, 3,720 of which are exercisable and vest within 60 days of March 15,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3" w:name="ITEM13CERTAINRELATIONSHIPSANDRELATEDTRAN"/>
      <w:bookmarkStart w:id="144" w:name="_d87f337e_611a_4a29_a1c5_3dec556c5319"/>
      <w:bookmarkEnd w:id="143"/>
      <w:bookmarkEnd w:id="144"/>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b/>
          <w:sz w:val="20"/>
        </w:rPr>
      </w:pPr>
      <w:bookmarkStart w:id="145" w:name="LillyZB17License_968791"/>
      <w:bookmarkEnd w:id="145"/>
      <w:r>
        <w:rPr>
          <w:rFonts w:ascii="Times New Roman;Times;serif" w:hAnsi="Times New Roman;Times;serif"/>
          <w:b/>
          <w:sz w:val="20"/>
        </w:rPr>
        <w:t>Lilly ZB17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April 26, 2023, ZB17 entered into the Lilly-ZB17 License Agreement with Lilly, pursuant to which Lilly granted to ZB17 the Lilly-ZB17 License to develop, manufacture and commercialize a certain bispecific antibody relating to IL-17 and BAFF (“ZB-106”) in the field (meaning all uses including any and all human therapeutic, diagnosis, prevention, amelioration and prophylactic uses) worldwide. During certain specified periods, Lilly shall have the exclusive right to evaluate certain clinical trial results and determine whether it wishes to negotiate an agreement for the further development and commercialization of ZB-106 by Lilly. If Lilly provides notice to the Company before the expiry of the applicable period that it wishes to seek to negotiate an agreement, the parties will have good faith negotiations to agree commercially reasonable terms and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Lilly-ZB17 License is sublicensable without Lilly’s consent to an affiliate of ZB17, provided that ZB17 provides prior written notice to Lilly. Lilly’s consent is required to sublicense to any third party other than a contact research organization or contract development and manufacturing organization. In all cases the sublicense must have terms consistent with the Lilly License. Neither ZB17 nor Lilly may assign its rights and obligations without the other party’s prior written consent, unless such transfer is to an affiliate or in the event of a change of control, in which case notice must be provided.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Lilly retains certain rights under the License Agreement, including its unrestricted ability to use certain intellectual property rights related to ZB-106 for Lilly’s and its affiliates’ research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ZB17 fails to comply with any of its obligations under the License Agreement, Lilly may have the right to terminate the License, in which event the Company would not be able to market any product related to ZB-106.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consideration, ZB17 will pay Lilly an irrevocable, non-refundable upfront fee of $18,590,000 divided into three tranches: the first tranche of $5,750,000 was paid in connection with the signing of the Lilly-ZB17 License; the second tranche consisted of 1,000,000 Class A Ordinary Shares issued pursuant to the Equity Grant Agreement (as defined and further described below); and the third tranche will be due and payable within ten business days of ZB17’s receipt of certain know-how, data, information and materials that Lilly is required to provide under the License Agreement. In addition, ZB17 agreed to the following additional payment terms:</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Lilly four development milestone payments up to an aggregate of $155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Lilly sales milestone payments up to an aggregate of $440 million based on respective thresholds of net sales of products developed from ZB-106;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Lilly over a multi-year period (twelve years, or upon the later expiration of regulatory exclusivity of ZB-106 in a country) an annual earned royalty at a marginal royalty rate in the mid-single digits to low-double digits, with increasing rates depending on net sales (as defined in the Lilly-ZB17 License Agreement) in the respective calendar year, based on a percentage of sales within varying thresholds for a certain period of years.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Lilly-ZB17 License Agreement, ZB17 is required to prepare a development plan to develop and seek regulatory approval for ZB-106 in several countries and then to commercialize each product where regulatory approval is obtained. If ZB17 fails to comply with the obligations under the Lilly-ZB17 License Agreement, or if ZB17 uses the licensed intellectual property in an unauthorized manner, ZB17 may be required to pay damages and Lilly may have the right to terminate the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expiry of the Lilly-ZB17 License Agreement, the Lilly-ZB17 License shall become fully paid-up, non-exclusive, royalty-free, perpetual and irrevocable.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royalty or milestone payments have been paid to date under the Lilly-ZB17 License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 w:name="ZB106EquityGrantAgreement_696084"/>
      <w:bookmarkEnd w:id="146"/>
      <w:r>
        <w:rPr>
          <w:rFonts w:ascii="Times New Roman;Times;serif" w:hAnsi="Times New Roman;Times;serif"/>
          <w:b/>
          <w:sz w:val="20"/>
        </w:rPr>
        <w:t>ZB-106 Equity Grant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Concurrently with the execution of the Lilly-ZB17 License Agreement, as partial consideration for Lilly entering into the Lilly-ZB17 License Agreement, the Company and Lilly entered into that certain Equity Grant Agreement (the “ZB-106 Equity Grant Agreement”), dated as of April 26, 2023, pursuant to which the Company agreed to issue and grant to Lilly 1,000,000 Shares (the “Lilly Shares”) in a private placement transaction. The ZB-106 Equity Grant Agreement also contains customary representations, warranties, and covenants of each of the Company and Lilly. The closing under the Equity Grant Agreement occurred on May 3, 2023. Other than the benefit of the Lilly-ZB17 License Agreement with ZB17, the Company did not receive any consideration from Lilly for the issuance of the Lilly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Equity Grant Agreement, the Company agreed to register the Lilly Shares under a Registration Rights Agreement (the “Registration Rights Agreement”). The Registration Rights Agreement will govern the registration of the Lilly Shares for resale and includes certain customary registration rights requiring the company to file a registration statement with respect to the Lilly Shares.</w:t>
      </w:r>
    </w:p>
    <w:p>
      <w:pPr>
        <w:pStyle w:val="TextBody"/>
        <w:bidi w:val="0"/>
        <w:spacing w:before="0" w:after="240"/>
        <w:ind w:left="0" w:right="0" w:hanging="0"/>
        <w:jc w:val="left"/>
        <w:rPr>
          <w:rFonts w:ascii="Times New Roman;Times;serif" w:hAnsi="Times New Roman;Times;serif"/>
          <w:b/>
          <w:sz w:val="20"/>
        </w:rPr>
      </w:pPr>
      <w:bookmarkStart w:id="147" w:name="April2023PrivatePlacementFinancing_24873"/>
      <w:bookmarkEnd w:id="147"/>
      <w:r>
        <w:rPr>
          <w:rFonts w:ascii="Times New Roman;Times;serif" w:hAnsi="Times New Roman;Times;serif"/>
          <w:b/>
          <w:sz w:val="20"/>
        </w:rPr>
        <w:t>April 2023 Private Placement Financing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Zura agreed to sell an aggregate of approximately 18.8 million Shares, and pre-funded warrants in lieu of Shares, to certain accredited institutional investors in the April 2023 Private Placement (as defined above). The April 2023 Private Placement resulted in gross proceeds to Zura of approximately $80 million in cash, before deducting placement agent fees and other offering expenses payable by Zura. In addition, Lilly received an aggregate of approximately $4.25 million in Shares in lieu of a portion of the upfront cash paid by Zura as consideration for the licensing transaction for ZB-106.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ZB-106 Private Placement was led by Deep Track Capital, Great Point Partners, Suvretta Capital, and a leading life sciences-focused investment fund, alongside several additional new and existing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terms of the subscription agreements entered into with the investors in the April 2023 Private Placement (the “Second PIPE Subscription Agreements”), each Class A ordinary share was sold at a price of $4.25 per share and each pre-funded warrant was sold at a price of $4.249 per pre-funded warrant. Each pre-funded warrant will have an exercise price of $0.001 per Class A ordinary share. At the initial closing, investors have committed to purchase an aggregate of approximately 3.8 million Class A ordinary shares for a total of approximately $16 million in gross proceeds, excluding the shares issued to Lilly. At the second closing, which occurred on June 5, 2023, investors purchased an aggregate of approximately 15 million Class A ordinary shares and pre-funded warrants for an additional total of approximately $64 million in gross proceeds. Following the final closing of the April 2023 Private Placement, Zura has $120 million in cash and cash equivalents on hand, which it believes will be sufficient to fund its planned operating expenses and capital expenditure requirements through 2026.</w:t>
      </w:r>
    </w:p>
    <w:p>
      <w:pPr>
        <w:pStyle w:val="TextBody"/>
        <w:bidi w:val="0"/>
        <w:spacing w:before="0" w:after="240"/>
        <w:ind w:left="0" w:right="0" w:hanging="0"/>
        <w:jc w:val="left"/>
        <w:rPr>
          <w:rFonts w:ascii="Times New Roman;Times;serif" w:hAnsi="Times New Roman;Times;serif"/>
          <w:b/>
          <w:sz w:val="20"/>
        </w:rPr>
      </w:pPr>
      <w:bookmarkStart w:id="148" w:name="ITEM14PRINCIPALACCOUNTINGFEESANDSERVICES"/>
      <w:bookmarkStart w:id="149" w:name="_8bec4dda_a62f_4c58_afad_df6c3677aaad"/>
      <w:bookmarkEnd w:id="148"/>
      <w:bookmarkEnd w:id="149"/>
      <w:r>
        <w:rPr>
          <w:rFonts w:ascii="Times New Roman;Times;serif" w:hAnsi="Times New Roman;Times;serif"/>
          <w:b/>
          <w:sz w:val="20"/>
        </w:rPr>
        <w:t>ITEM 14. PRINCIPAL ACCOUNTING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fees paid or to be paid to WithumSmith+Brown, PC, or Withum, for services rendered.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Audit Fees</w:t>
      </w:r>
      <w:r>
        <w:rPr>
          <w:rFonts w:ascii="Times New Roman;Times;serif" w:hAnsi="Times New Roman;Times;serif"/>
          <w:sz w:val="20"/>
        </w:rPr>
        <w:t>. Audit fees consist of fees billed for professional services rendered for the audit of our year-end financial statements and services that are normally provided by Withum in connection with regulatory filings. The aggregate fees billed by Withum for professional services rendered for the audit of our annual financial statements, review of the financial information for the respective periods, registration statements for the IPO and for the proposed business combination and other required filings with the SEC was $0.7 million for the fiscal year ended December 31, 2023. We paid $0.7 million and the balance amount to be paid was $-0- at December 31, 2023. The above amounts include interim procedures and audit fees, as well as attendance at audit committee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Audit-Related Fees.</w:t>
      </w:r>
      <w:r>
        <w:rPr>
          <w:rFonts w:ascii="Times New Roman;Times;serif" w:hAnsi="Times New Roman;Times;serif"/>
          <w:sz w:val="20"/>
        </w:rPr>
        <w:t> 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Withum for consultations concerning financial accounting and reporting standards for the fiscal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Tax Fees</w:t>
      </w:r>
      <w:r>
        <w:rPr>
          <w:rFonts w:ascii="Times New Roman;Times;serif" w:hAnsi="Times New Roman;Times;serif"/>
          <w:sz w:val="20"/>
        </w:rPr>
        <w:t>. We did not pay Withum for tax planning and tax advice for the fiscal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All Other Fees</w:t>
      </w:r>
      <w:r>
        <w:rPr>
          <w:rFonts w:ascii="Times New Roman;Times;serif" w:hAnsi="Times New Roman;Times;serif"/>
          <w:sz w:val="20"/>
        </w:rPr>
        <w:t>. We did not pay Withum any other fees for the fiscal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0" w:name="PreApprovalPolicy_18610"/>
      <w:bookmarkEnd w:id="150"/>
      <w:r>
        <w:rPr>
          <w:rFonts w:ascii="Times New Roman;Times;serif" w:hAnsi="Times New Roman;Times;serif"/>
          <w:b/>
          <w:sz w:val="20"/>
        </w:rPr>
        <w:t>Pre-Approval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1" w:name="PARTIV_691372"/>
      <w:bookmarkStart w:id="152" w:name="_c6c003f3_b76a_41b6_bb4e_80d2421095ad"/>
      <w:bookmarkEnd w:id="151"/>
      <w:bookmarkEnd w:id="152"/>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sz w:val="20"/>
        </w:rPr>
      </w:pPr>
      <w:bookmarkStart w:id="153" w:name="ITEM15EXHIBITSFINANCIALSTATEMENTSCHEDULE"/>
      <w:bookmarkEnd w:id="153"/>
      <w:r>
        <w:rPr>
          <w:rFonts w:ascii="Times New Roman;Times;serif" w:hAnsi="Times New Roman;Times;serif"/>
          <w:b/>
          <w:sz w:val="20"/>
        </w:rPr>
        <w:t>ITEM 15</w:t>
      </w:r>
      <w:r>
        <w:rPr>
          <w:rFonts w:ascii="Times New Roman;Times;serif" w:hAnsi="Times New Roman;Times;serif"/>
          <w:b/>
          <w:i/>
          <w:sz w:val="20"/>
        </w:rPr>
        <w:t>.</w:t>
      </w:r>
      <w:r>
        <w:rPr>
          <w:rFonts w:ascii="Times New Roman;Times;serif" w:hAnsi="Times New Roman;Times;serif"/>
          <w:sz w:val="20"/>
        </w:rPr>
        <w:t> </w:t>
      </w:r>
      <w:r>
        <w:rPr>
          <w:rFonts w:ascii="Times New Roman;Times;serif" w:hAnsi="Times New Roman;Times;serif"/>
          <w:b/>
          <w:sz w:val="20"/>
        </w:rPr>
        <w:t>EXHIBITS, FINANCIAL STATEMENT SCHEDULES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following documents are filed as part of this Form 10-K:</w:t>
      </w:r>
    </w:p>
    <w:p>
      <w:pPr>
        <w:pStyle w:val="TextBody"/>
        <w:bidi w:val="0"/>
        <w:spacing w:before="0" w:after="0"/>
        <w:ind w:left="0" w:right="0" w:hanging="0"/>
        <w:jc w:val="both"/>
        <w:rPr/>
      </w:pPr>
      <w:r>
        <w:rPr/>
        <w:t>​</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69"/>
        <w:gridCol w:w="936"/>
      </w:tblGrid>
      <w:tr>
        <w:trPr/>
        <w:tc>
          <w:tcPr>
            <w:tcW w:w="9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885815" cy="29210"/>
                      <wp:effectExtent l="0" t="0" r="0" b="0"/>
                      <wp:wrapNone/>
                      <wp:docPr id="75" name="Frame69"/>
                      <a:graphic xmlns:a="http://schemas.openxmlformats.org/drawingml/2006/main">
                        <a:graphicData uri="http://schemas.microsoft.com/office/word/2010/wordprocessingShape">
                          <wps:wsp>
                            <wps:cNvSpPr txBox="1"/>
                            <wps:spPr>
                              <a:xfrm>
                                <a:off x="0" y="0"/>
                                <a:ext cx="58858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4360" cy="29210"/>
                      <wp:effectExtent l="0" t="0" r="0" b="0"/>
                      <wp:wrapNone/>
                      <wp:docPr id="76" name="Frame70"/>
                      <a:graphic xmlns:a="http://schemas.openxmlformats.org/drawingml/2006/main">
                        <a:graphicData uri="http://schemas.microsoft.com/office/word/2010/wordprocessingShape">
                          <wps:wsp>
                            <wps:cNvSpPr txBox="1"/>
                            <wps:spPr>
                              <a:xfrm>
                                <a:off x="0" y="0"/>
                                <a:ext cx="594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269" w:type="dxa"/>
            <w:tcBorders/>
            <w:vAlign w:val="center"/>
          </w:tcPr>
          <w:p>
            <w:pPr>
              <w:pStyle w:val="TableContents"/>
              <w:pBdr/>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269" w:type="dxa"/>
            <w:tcBorders/>
            <w:shd w:fill="CCEEFF" w:val="clear"/>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9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269" w:type="dxa"/>
            <w:tcBorders/>
            <w:vAlign w:val="center"/>
          </w:tcPr>
          <w:p>
            <w:pPr>
              <w:pStyle w:val="TableContents"/>
              <w:pBdr/>
              <w:bidi w:val="0"/>
              <w:spacing w:before="0" w:after="0"/>
              <w:ind w:left="0" w:right="0" w:hanging="0"/>
              <w:jc w:val="left"/>
              <w:rPr/>
            </w:pPr>
            <w:hyperlink w:anchor="CondensedConsolidatedBalanceSheets_20331">
              <w:r>
                <w:rPr>
                  <w:rStyle w:val="InternetLink"/>
                  <w:rFonts w:ascii="Times New Roman;Times;serif" w:hAnsi="Times New Roman;Times;serif"/>
                  <w:b w:val="false"/>
                  <w:i w:val="false"/>
                  <w:caps w:val="false"/>
                  <w:smallCaps w:val="false"/>
                  <w:sz w:val="20"/>
                </w:rPr>
                <w:t>Consolidated Balance Sheets</w:t>
              </w:r>
            </w:hyperlink>
          </w:p>
        </w:tc>
        <w:tc>
          <w:tcPr>
            <w:tcW w:w="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269" w:type="dxa"/>
            <w:tcBorders/>
            <w:shd w:fill="CCEEFF" w:val="clear"/>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Consolidated Statements of Operations</w:t>
              </w:r>
            </w:hyperlink>
          </w:p>
        </w:tc>
        <w:tc>
          <w:tcPr>
            <w:tcW w:w="9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269" w:type="dxa"/>
            <w:tcBorders/>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Consolidated Statements of Changes in Redeemable Noncontrolling Interest, Convertible Preferred Shares, and Shareholders’ Equity (Deficit)</w:t>
              </w:r>
            </w:hyperlink>
          </w:p>
        </w:tc>
        <w:tc>
          <w:tcPr>
            <w:tcW w:w="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269"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Consolidated Statements of Cash Flows</w:t>
              </w:r>
            </w:hyperlink>
          </w:p>
        </w:tc>
        <w:tc>
          <w:tcPr>
            <w:tcW w:w="9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269"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Consolidated Financial Statements</w:t>
              </w:r>
            </w:hyperlink>
          </w:p>
        </w:tc>
        <w:tc>
          <w:tcPr>
            <w:tcW w:w="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 to F-27</w:t>
            </w:r>
          </w:p>
        </w:tc>
      </w:tr>
    </w:tbl>
    <w:p>
      <w:pPr>
        <w:pStyle w:val="TextBody"/>
        <w:bidi w:val="0"/>
        <w:spacing w:before="0" w:after="0"/>
        <w:ind w:left="0" w:right="0" w:hanging="0"/>
        <w:jc w:val="left"/>
        <w:rPr/>
      </w:pPr>
      <w:r>
        <w:rPr/>
        <w:t>​</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Financial Statement Schedules: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Exhibits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The following exhibits are filed as part of, or incorporated by reference into, this Annual Report.</w:t>
      </w:r>
    </w:p>
    <w:tbl>
      <w:tblPr>
        <w:tblW w:w="10205" w:type="dxa"/>
        <w:jc w:val="left"/>
        <w:tblInd w:w="0" w:type="dxa"/>
        <w:tblLayout w:type="fixed"/>
        <w:tblCellMar>
          <w:top w:w="0" w:type="dxa"/>
          <w:left w:w="0" w:type="dxa"/>
          <w:bottom w:w="0" w:type="dxa"/>
          <w:right w:w="0" w:type="dxa"/>
        </w:tblCellMar>
      </w:tblPr>
      <w:tblGrid>
        <w:gridCol w:w="646"/>
        <w:gridCol w:w="326"/>
        <w:gridCol w:w="9233"/>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10210" cy="29210"/>
                      <wp:effectExtent l="0" t="0" r="0" b="0"/>
                      <wp:wrapNone/>
                      <wp:docPr id="77" name="Frame71"/>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862955" cy="29210"/>
                      <wp:effectExtent l="0" t="0" r="0" b="0"/>
                      <wp:wrapNone/>
                      <wp:docPr id="78" name="Frame72"/>
                      <a:graphic xmlns:a="http://schemas.openxmlformats.org/drawingml/2006/main">
                        <a:graphicData uri="http://schemas.microsoft.com/office/word/2010/wordprocessingShape">
                          <wps:wsp>
                            <wps:cNvSpPr txBox="1"/>
                            <wps:spPr>
                              <a:xfrm>
                                <a:off x="0" y="0"/>
                                <a:ext cx="5862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326" w:type="dxa"/>
            <w:tcBorders/>
            <w:vAlign w:val="center"/>
          </w:tcPr>
          <w:p>
            <w:pPr>
              <w:pStyle w:val="TableContents"/>
              <w:bidi w:val="0"/>
              <w:spacing w:lineRule="auto" w:line="304" w:before="0" w:after="0"/>
              <w:ind w:left="0" w:right="0" w:hanging="0"/>
              <w:jc w:val="left"/>
              <w:rPr/>
            </w:pPr>
            <w:r>
              <w:rPr/>
              <w:t>    </w:t>
            </w:r>
          </w:p>
        </w:tc>
        <w:tc>
          <w:tcPr>
            <w:tcW w:w="9233"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8">
              <w:r>
                <w:rPr>
                  <w:rStyle w:val="InternetLink"/>
                  <w:rFonts w:ascii="Times New Roman;Times;serif" w:hAnsi="Times New Roman;Times;serif"/>
                  <w:b w:val="false"/>
                  <w:i w:val="false"/>
                  <w:caps w:val="false"/>
                  <w:smallCaps w:val="false"/>
                  <w:sz w:val="20"/>
                </w:rPr>
                <w:t>Third Amendment dated as of January 13, 2023 to the Business Combination Agreement by and among JATT Acquisition Corp., JATT Merger Sub, JATT Merger Sub 2, Zura Holdings, Ltd. and Zura Bio Limited (incorporated by reference to Exhibit 2.1 of JATT’s Current Report on Form 8-K (File No. 001-40598), filed with the SEC on January 19,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Pre-Funded Warrant to Purchase Ordinary Shares (incorporated herein by reference to Exhibit 4.1 to the Company’s Current Report on Form 8-K, filed with the SEC on May 3,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w:anchor="zura-20231231xex4d2.htm">
              <w:r>
                <w:rPr>
                  <w:rStyle w:val="InternetLink"/>
                  <w:rFonts w:ascii="Times New Roman;Times;serif" w:hAnsi="Times New Roman;Times;serif"/>
                  <w:b w:val="false"/>
                  <w:i w:val="false"/>
                  <w:caps w:val="false"/>
                  <w:smallCaps w:val="false"/>
                  <w:sz w:val="20"/>
                </w:rPr>
                <w:t>Description of registrant's securities.</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0">
              <w:r>
                <w:rPr>
                  <w:rStyle w:val="InternetLink"/>
                  <w:rFonts w:ascii="Times New Roman;Times;serif" w:hAnsi="Times New Roman;Times;serif"/>
                  <w:b w:val="false"/>
                  <w:i w:val="false"/>
                  <w:caps w:val="false"/>
                  <w:smallCaps w:val="false"/>
                  <w:sz w:val="20"/>
                </w:rPr>
                <w:t>License Agreement between Zura Bio Limited and Lonza Sales AG, dated July 22, 2022 (incorporated by reference to Exhibit 10.17 of JATT’s Form S-4/A (File No. 333-267005) filed with the SEC on February 17,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1">
              <w:r>
                <w:rPr>
                  <w:rStyle w:val="InternetLink"/>
                  <w:rFonts w:ascii="Times New Roman;Times;serif" w:hAnsi="Times New Roman;Times;serif"/>
                  <w:b w:val="false"/>
                  <w:i w:val="false"/>
                  <w:caps w:val="false"/>
                  <w:smallCaps w:val="false"/>
                  <w:sz w:val="20"/>
                </w:rPr>
                <w:t>License, Development and Commercialization Agreement, dated as of December 8, 2022, by and between Eli Lilly and Company and Z33 Bio Inc (incorporated by reference to Exhibit 10.22 of JATT’s Form S-4/A (File No. 333-267005) filed with the SEC on February 17,2023).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2">
              <w:r>
                <w:rPr>
                  <w:rStyle w:val="InternetLink"/>
                  <w:rFonts w:ascii="Times New Roman;Times;serif" w:hAnsi="Times New Roman;Times;serif"/>
                  <w:b w:val="false"/>
                  <w:i w:val="false"/>
                  <w:caps w:val="false"/>
                  <w:smallCaps w:val="false"/>
                  <w:sz w:val="20"/>
                </w:rPr>
                <w:t>Zura Bio Limited 2022 Equity Incentive Plan (incorporated by reference to Exhibit 10.29 of JATT’s Form S-4/A (File No. 333-267005) filed with the SEC on February 2,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Subscription Agreement by and among Zura Bio Limited and the other parties signatories thereto (incorporated by reference to Exhibit 10.1 to the Current Report on Form 8-K filed by the Issuer with the SEC on May 3,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4">
              <w:r>
                <w:rPr>
                  <w:rStyle w:val="InternetLink"/>
                  <w:rFonts w:ascii="Times New Roman;Times;serif" w:hAnsi="Times New Roman;Times;serif"/>
                  <w:b w:val="false"/>
                  <w:i w:val="false"/>
                  <w:caps w:val="false"/>
                  <w:smallCaps w:val="false"/>
                  <w:sz w:val="20"/>
                </w:rPr>
                <w:t>Severance and General Release Agreement, dated April 7, 2023, by and between Zura Bio Limited and Preston Klassen (incorporated by reference to Exhibit 10.1 to the Current Report on Form 8-K filed by the Issuer with the SEC on April 7,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Employment Agreement for Someit Sidhu (incorporated by reference to Exhibit 10.31 of JATT’s Form S-4/A (File No. 333-267005) filed with the SEC on February 8,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Second PIPE Subscription Agreement (incorporated by reference to Exhibit 10.1 to the Current Report on Form 8-K filed by the Issuer with the SEC on May 2,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lineRule="auto" w:line="304" w:before="0" w:after="0"/>
              <w:ind w:left="0" w:right="0" w:hanging="0"/>
              <w:jc w:val="left"/>
              <w:rPr/>
            </w:pPr>
            <w:r>
              <w:rPr/>
              <w:t>​</w:t>
            </w:r>
          </w:p>
        </w:tc>
        <w:tc>
          <w:tcPr>
            <w:tcW w:w="9233" w:type="dxa"/>
            <w:tcBorders/>
            <w:vAlign w:val="center"/>
          </w:tcPr>
          <w:p>
            <w:pPr>
              <w:pStyle w:val="TableContents"/>
              <w:bidi w:val="0"/>
              <w:spacing w:lineRule="auto" w:line="304"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"https://www.sec.gov/Archives/edgar/data/1855644/000110465923062684/tm2315164-1_def14a.htm" \l "tANC"</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Share Option Award Agreement (incorporated by reference to Annex C of the Definitive Proxy Statement on Schedule 14A filed by the Issuer with the SEC on May 19, 2023).</w:t>
            </w:r>
            <w:r>
              <w:rPr>
                <w:rStyle w:val="InternetLink"/>
                <w:smallCaps w:val="false"/>
                <w:caps w:val="false"/>
                <w:sz w:val="20"/>
                <w:i w:val="false"/>
                <w:b w:val="false"/>
                <w:rFonts w:ascii="Times New Roman;Times;serif" w:hAnsi="Times New Roman;Times;serif"/>
              </w:rPr>
              <w:fldChar w:fldCharType="end"/>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53"/>
        <w:gridCol w:w="109"/>
        <w:gridCol w:w="9343"/>
      </w:tblGrid>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17">
              <w:r>
                <w:rPr>
                  <w:rStyle w:val="InternetLink"/>
                  <w:rFonts w:ascii="Times New Roman;Times;serif" w:hAnsi="Times New Roman;Times;serif"/>
                  <w:b w:val="false"/>
                  <w:i w:val="false"/>
                  <w:caps w:val="false"/>
                  <w:smallCaps w:val="false"/>
                  <w:sz w:val="20"/>
                </w:rPr>
                <w:t>License, Development and Commercialization Agreement between ZB17 LLC and Eli Lilly and Company, dated April 26, 2023 (incorporated by reference to Exhibit 10.38 to the Registration Statement filed by the Issuer with the SEC on August 25, 2023)</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18">
              <w:r>
                <w:rPr>
                  <w:rStyle w:val="InternetLink"/>
                  <w:rFonts w:ascii="Times New Roman;Times;serif" w:hAnsi="Times New Roman;Times;serif"/>
                  <w:b w:val="false"/>
                  <w:i w:val="false"/>
                  <w:caps w:val="false"/>
                  <w:smallCaps w:val="false"/>
                  <w:sz w:val="20"/>
                </w:rPr>
                <w:t>Service Agreement, dated as of April 7, 2023, by and between the Company and Dr. Someit Sidhu (incorporated by reference to Exhibit 10.1 to the Current Report on Form 8-K filed by the Issuer with the SEC on April 10, 2023).</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19">
              <w:r>
                <w:rPr>
                  <w:rStyle w:val="InternetLink"/>
                  <w:rFonts w:ascii="Times New Roman;Times;serif" w:hAnsi="Times New Roman;Times;serif"/>
                  <w:b w:val="false"/>
                  <w:i w:val="false"/>
                  <w:caps w:val="false"/>
                  <w:smallCaps w:val="false"/>
                  <w:sz w:val="20"/>
                </w:rPr>
                <w:t>Service Agreement, dated as of April 7, 2023, by and between the Company and Verender Badial (incorporated by reference to Exhibit 10.2 to the Current Report on Form 8-K filed by the Issuer with the SEC on April 10, 2023).</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20">
              <w:r>
                <w:rPr>
                  <w:rStyle w:val="InternetLink"/>
                  <w:rFonts w:ascii="Times New Roman;Times;serif" w:hAnsi="Times New Roman;Times;serif"/>
                  <w:b w:val="false"/>
                  <w:i w:val="false"/>
                  <w:caps w:val="false"/>
                  <w:smallCaps w:val="false"/>
                  <w:sz w:val="20"/>
                </w:rPr>
                <w:t>Offer Letter, dated March 2, 2023, to Amit Munshi, (incorporated by reference to Exhibit 10.28 of JATT’s Form 10-Q (File No. 001-40598) filed with the SEC on May 12, 2023).</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21">
              <w:r>
                <w:rPr>
                  <w:rStyle w:val="InternetLink"/>
                  <w:rFonts w:ascii="Times New Roman;Times;serif" w:hAnsi="Times New Roman;Times;serif"/>
                  <w:b w:val="false"/>
                  <w:i w:val="false"/>
                  <w:caps w:val="false"/>
                  <w:smallCaps w:val="false"/>
                  <w:sz w:val="20"/>
                </w:rPr>
                <w:t>Service Agreement between Zura Bio Limited and Kiran Nistala (incorporated by reference to Exhibit 10.1 to the Current Report on Form 8-K filed by the Issuer with the SEC on December 6, 2023).</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22">
              <w:r>
                <w:rPr>
                  <w:rStyle w:val="InternetLink"/>
                  <w:rFonts w:ascii="Times New Roman;Times;serif" w:hAnsi="Times New Roman;Times;serif"/>
                  <w:b w:val="false"/>
                  <w:i w:val="false"/>
                  <w:caps w:val="false"/>
                  <w:smallCaps w:val="false"/>
                  <w:sz w:val="20"/>
                </w:rPr>
                <w:t>Employment Agreement between Zura Bio Limited and Robert Lisicki (incorporated by reference to Exhibit 10.1 to the Current Report on Form 8-K filed by the Issuer with the SEC on January 8, 2023).</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21.2</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r:id="rId23">
              <w:r>
                <w:rPr>
                  <w:rStyle w:val="InternetLink"/>
                  <w:rFonts w:ascii="Times New Roman;Times;serif" w:hAnsi="Times New Roman;Times;serif"/>
                  <w:b w:val="false"/>
                  <w:i w:val="false"/>
                  <w:caps w:val="false"/>
                  <w:smallCaps w:val="false"/>
                  <w:sz w:val="20"/>
                </w:rPr>
                <w:t>List of Subsidiaries of Zura Bio Limited (incorporated by reference to Exhibit 21.2 of JATT’s Form S-4/A (File No. 333-267005) filed with the SEC on October 25, 2022).</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w:anchor="zura-202312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w:anchor="zura-202312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w:anchor="zura-202312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w:anchor="zura-202312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both"/>
              <w:rPr/>
            </w:pPr>
            <w:hyperlink w:anchor="zura-20231231xex97.htm">
              <w:r>
                <w:rPr>
                  <w:rStyle w:val="InternetLink"/>
                  <w:rFonts w:ascii="Times New Roman;Times;serif" w:hAnsi="Times New Roman;Times;serif"/>
                  <w:b w:val="false"/>
                  <w:i w:val="false"/>
                  <w:caps w:val="false"/>
                  <w:smallCaps w:val="false"/>
                  <w:sz w:val="20"/>
                </w:rPr>
                <w:t>Clawback Policy</w:t>
              </w:r>
            </w:hyperlink>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Labels Linkbase Document.</w:t>
            </w:r>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75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6017" w:type="dxa"/>
        <w:jc w:val="left"/>
        <w:tblInd w:w="0" w:type="dxa"/>
        <w:tblLayout w:type="fixed"/>
        <w:tblCellMar>
          <w:top w:w="0" w:type="dxa"/>
          <w:left w:w="0" w:type="dxa"/>
          <w:bottom w:w="0" w:type="dxa"/>
          <w:right w:w="0" w:type="dxa"/>
        </w:tblCellMar>
      </w:tblPr>
      <w:tblGrid>
        <w:gridCol w:w="241"/>
        <w:gridCol w:w="5776"/>
      </w:tblGrid>
      <w:tr>
        <w:trPr/>
        <w:tc>
          <w:tcPr>
            <w:tcW w:w="241" w:type="dxa"/>
            <w:tcBorders/>
            <w:vAlign w:val="center"/>
          </w:tcPr>
          <w:p>
            <w:pPr>
              <w:pStyle w:val="TableContents"/>
              <w:bidi w:val="0"/>
              <w:spacing w:before="0" w:after="0"/>
              <w:jc w:val="left"/>
              <w:rPr/>
            </w:pPr>
            <w:r>
              <w:rPr/>
              <w:t>†</w:t>
            </w:r>
          </w:p>
        </w:tc>
        <w:tc>
          <w:tcPr>
            <w:tcW w:w="577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pPr>
            <w:r>
              <w:rPr/>
              <w:t>††</w:t>
            </w:r>
          </w:p>
        </w:tc>
        <w:tc>
          <w:tcPr>
            <w:tcW w:w="99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 has redacted provisions or terms of this Exhibit pursuant to Regulation S-K Item 601(b)(10)(iv). While portions of the Exhibits have been omitted, these Exhibits include a prominent statement on the first page of each redacted Exhibit that certain identified information has been excluded from the exhibit because it is both not material and is the type that the Registrant treats as private or confidential. The Registrant agrees to furnish an unredacted copy of the Exhibit to the SEC upon its request.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 The Registrant agrees to furnish a copy of all omitted exhibits and schedules to the SEC upon its request.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Portions of this Exhibit have been omitted pursuant to Item 601(b)(2) of Regulation S-K.</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4" w:name="ITEM16FORM10KSUMMARY_949803"/>
      <w:bookmarkStart w:id="155" w:name="_b87f0777_adcf_49c6_b94b_ec6e4f51baa2"/>
      <w:bookmarkEnd w:id="154"/>
      <w:bookmarkEnd w:id="155"/>
      <w:r>
        <w:rPr>
          <w:rFonts w:ascii="Times New Roman;Times;serif" w:hAnsi="Times New Roman;Times;serif"/>
          <w:b/>
          <w:sz w:val="20"/>
        </w:rPr>
        <w:t>ITEM 16. FORM 10-K SUMMARY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6" w:name="_fb3cd7ca_ca6f_4d33_b83a_eb1456be096b"/>
      <w:bookmarkEnd w:id="156"/>
      <w:r>
        <w:rPr>
          <w:rFonts w:ascii="Times New Roman;Times;serif" w:hAnsi="Times New Roman;Times;serif"/>
          <w:b/>
          <w:sz w:val="20"/>
        </w:rPr>
        <w:t>SIGNATURES</w:t>
      </w:r>
    </w:p>
    <w:p>
      <w:pPr>
        <w:pStyle w:val="TextBody"/>
        <w:bidi w:val="0"/>
        <w:spacing w:before="0" w:after="240"/>
        <w:ind w:left="0" w:right="0" w:firstLine="3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240"/>
        <w:ind w:left="0" w:right="0" w:firstLine="360"/>
        <w:jc w:val="left"/>
        <w:rPr/>
      </w:pPr>
      <w:r>
        <w:rPr/>
        <w:t>​</w:t>
      </w:r>
    </w:p>
    <w:tbl>
      <w:tblPr>
        <w:tblW w:w="4368" w:type="dxa"/>
        <w:jc w:val="left"/>
        <w:tblInd w:w="0" w:type="dxa"/>
        <w:tblLayout w:type="fixed"/>
        <w:tblCellMar>
          <w:top w:w="0" w:type="dxa"/>
          <w:left w:w="0" w:type="dxa"/>
          <w:bottom w:w="0" w:type="dxa"/>
          <w:right w:w="0" w:type="dxa"/>
        </w:tblCellMar>
      </w:tblPr>
      <w:tblGrid>
        <w:gridCol w:w="1891"/>
        <w:gridCol w:w="406"/>
        <w:gridCol w:w="207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477" w:type="dxa"/>
            <w:gridSpan w:val="2"/>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Zura Bio Limited</w:t>
            </w:r>
          </w:p>
        </w:tc>
      </w:tr>
      <w:tr>
        <w:trPr/>
        <w:tc>
          <w:tcPr>
            <w:tcW w:w="18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Someit Sidhu, MD</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lineRule="auto" w:line="304"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Someit Sidhu, MD</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ind w:left="0" w:right="0" w:firstLine="720"/>
        <w:jc w:val="both"/>
        <w:rPr/>
      </w:pPr>
      <w:r>
        <w:rPr/>
        <w:t>​</w:t>
      </w:r>
    </w:p>
    <w:tbl>
      <w:tblPr>
        <w:tblW w:w="7555" w:type="dxa"/>
        <w:jc w:val="left"/>
        <w:tblInd w:w="0" w:type="dxa"/>
        <w:tblLayout w:type="fixed"/>
        <w:tblCellMar>
          <w:top w:w="0" w:type="dxa"/>
          <w:left w:w="0" w:type="dxa"/>
          <w:bottom w:w="0" w:type="dxa"/>
          <w:right w:w="0" w:type="dxa"/>
        </w:tblCellMar>
      </w:tblPr>
      <w:tblGrid>
        <w:gridCol w:w="2386"/>
        <w:gridCol w:w="326"/>
        <w:gridCol w:w="3076"/>
        <w:gridCol w:w="326"/>
        <w:gridCol w:w="144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0"/>
              <w:ind w:left="0" w:right="0" w:hanging="0"/>
              <w:jc w:val="right"/>
              <w:rPr/>
            </w:pPr>
            <w:r>
              <w:rPr/>
              <w:t>    </w:t>
            </w:r>
          </w:p>
        </w:tc>
        <w:tc>
          <w:tcPr>
            <w:tcW w:w="30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26" w:type="dxa"/>
            <w:tcBorders/>
            <w:vAlign w:val="center"/>
          </w:tcPr>
          <w:p>
            <w:pPr>
              <w:pStyle w:val="TableContents"/>
              <w:bidi w:val="0"/>
              <w:spacing w:before="0" w:after="0"/>
              <w:ind w:left="0" w:right="0" w:hanging="0"/>
              <w:jc w:val="righ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Someit Sidhu</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and Director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Someit Sidhu</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Verender Badial</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Verender Badial</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Amit Munshi</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Chairman of the Board</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Amit Munshi</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Sandeep Kulkarni</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Sandeep Kulkarni</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Arnout Ploos van Amstel</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Arnout Ploos van Amstel</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Steve Schoch</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Steve Schoch</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Jennifer Jarrett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Jennifer Jarrett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Neil Graham</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Neil Graham</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Parvinder Thiara</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Parvinder Thiara</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30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7" w:name="_8ed3b703_fb83_4129_89fa_eb6c0c0a29e0"/>
      <w:bookmarkEnd w:id="157"/>
      <w:r>
        <w:rPr>
          <w:rFonts w:ascii="Times New Roman;Times;serif" w:hAnsi="Times New Roman;Times;serif"/>
          <w:b/>
          <w:sz w:val="20"/>
        </w:rPr>
        <w:t>ZURA BIO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173"/>
        <w:gridCol w:w="109"/>
        <w:gridCol w:w="923"/>
      </w:tblGrid>
      <w:tr>
        <w:trPr/>
        <w:tc>
          <w:tcPr>
            <w:tcW w:w="9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824855" cy="175260"/>
                      <wp:effectExtent l="0" t="0" r="0" b="0"/>
                      <wp:wrapNone/>
                      <wp:docPr id="79" name="Frame73"/>
                      <a:graphic xmlns:a="http://schemas.openxmlformats.org/drawingml/2006/main">
                        <a:graphicData uri="http://schemas.microsoft.com/office/word/2010/wordprocessingShape">
                          <wps:wsp>
                            <wps:cNvSpPr txBox="1"/>
                            <wps:spPr>
                              <a:xfrm>
                                <a:off x="0" y="0"/>
                                <a:ext cx="582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86105" cy="29210"/>
                      <wp:effectExtent l="0" t="0" r="0" b="0"/>
                      <wp:wrapNone/>
                      <wp:docPr id="80" name="Frame74"/>
                      <a:graphic xmlns:a="http://schemas.openxmlformats.org/drawingml/2006/main">
                        <a:graphicData uri="http://schemas.microsoft.com/office/word/2010/wordprocessingShape">
                          <wps:wsp>
                            <wps:cNvSpPr txBox="1"/>
                            <wps:spPr>
                              <a:xfrm>
                                <a:off x="0" y="0"/>
                                <a:ext cx="5861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173" w:type="dxa"/>
            <w:tcBorders/>
            <w:shd w:fill="CCEEFF" w:val="clear"/>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923"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173" w:type="dxa"/>
            <w:tcBorders/>
            <w:vAlign w:val="center"/>
          </w:tcPr>
          <w:p>
            <w:pPr>
              <w:pStyle w:val="TableContents"/>
              <w:pBdr/>
              <w:bidi w:val="0"/>
              <w:spacing w:before="0" w:after="0"/>
              <w:ind w:left="0" w:right="0" w:hanging="0"/>
              <w:jc w:val="left"/>
              <w:rPr/>
            </w:pPr>
            <w:hyperlink w:anchor="CondensedConsolidatedBalanceSheets_20331">
              <w:r>
                <w:rPr>
                  <w:rStyle w:val="InternetLink"/>
                  <w:rFonts w:ascii="Times New Roman;Times;serif" w:hAnsi="Times New Roman;Times;serif"/>
                  <w:b w:val="false"/>
                  <w:i w:val="false"/>
                  <w:caps w:val="false"/>
                  <w:smallCaps w:val="false"/>
                  <w:sz w:val="20"/>
                </w:rPr>
                <w:t>Consolidated Balance Sheets</w:t>
              </w:r>
            </w:hyperlink>
          </w:p>
        </w:tc>
        <w:tc>
          <w:tcPr>
            <w:tcW w:w="109" w:type="dxa"/>
            <w:tcBorders/>
            <w:vAlign w:val="center"/>
          </w:tcPr>
          <w:p>
            <w:pPr>
              <w:pStyle w:val="TableContents"/>
              <w:bidi w:val="0"/>
              <w:spacing w:before="0" w:after="0"/>
              <w:ind w:left="0" w:right="0" w:hanging="0"/>
              <w:jc w:val="center"/>
              <w:rPr/>
            </w:pPr>
            <w:r>
              <w:rPr/>
              <w:t>​</w:t>
            </w:r>
          </w:p>
        </w:tc>
        <w:tc>
          <w:tcPr>
            <w:tcW w:w="9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173" w:type="dxa"/>
            <w:tcBorders/>
            <w:shd w:fill="CCEEFF" w:val="clear"/>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Consolidated Statements of Operations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9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173" w:type="dxa"/>
            <w:tcBorders/>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Consolidated Statements of Changes in in Redeemable Noncontrolling Interest, Convertible Preferred Shares, and Shareholders’ Equity (Deficit)</w:t>
              </w:r>
            </w:hyperlink>
          </w:p>
        </w:tc>
        <w:tc>
          <w:tcPr>
            <w:tcW w:w="109" w:type="dxa"/>
            <w:tcBorders/>
            <w:vAlign w:val="center"/>
          </w:tcPr>
          <w:p>
            <w:pPr>
              <w:pStyle w:val="TableContents"/>
              <w:bidi w:val="0"/>
              <w:spacing w:before="0" w:after="0"/>
              <w:ind w:left="0" w:right="0" w:hanging="0"/>
              <w:jc w:val="center"/>
              <w:rPr/>
            </w:pPr>
            <w:r>
              <w:rPr/>
              <w:t>​</w:t>
            </w:r>
          </w:p>
        </w:tc>
        <w:tc>
          <w:tcPr>
            <w:tcW w:w="9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173"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Consolidated Statements of Cash Flows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9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173"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Consolidated Financial Statements</w:t>
              </w:r>
            </w:hyperlink>
          </w:p>
        </w:tc>
        <w:tc>
          <w:tcPr>
            <w:tcW w:w="109" w:type="dxa"/>
            <w:tcBorders/>
            <w:vAlign w:val="center"/>
          </w:tcPr>
          <w:p>
            <w:pPr>
              <w:pStyle w:val="TableContents"/>
              <w:bidi w:val="0"/>
              <w:spacing w:before="0" w:after="0"/>
              <w:ind w:left="0" w:right="0" w:hanging="0"/>
              <w:jc w:val="center"/>
              <w:rPr/>
            </w:pPr>
            <w:r>
              <w:rPr/>
              <w:t>​</w:t>
            </w:r>
          </w:p>
        </w:tc>
        <w:tc>
          <w:tcPr>
            <w:tcW w:w="9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 to F-27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8" w:name="REPORTOFINDEPENDENTREGISTEREDPUBLICACCOU"/>
      <w:bookmarkStart w:id="159" w:name="_3f131af0_1f32_46ee_8b92_e3d1e6d4ea11"/>
      <w:bookmarkEnd w:id="158"/>
      <w:bookmarkEnd w:id="159"/>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Zura Bio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Zura Bio Limited (the “Company”) as of December 31, 2023 and 2022, and the related consolidated statements of operations, changes in redeemable noncontrolling interest, convertible preferred shares, and shareholders’ equity (deficit), and cash flows for the year ended December 31, 2023 and the period from January 18, 2022 (date of inception) through December 31, 2022, and the related consolidated notes (collectively referred to as the “consolidated financial statements”). In our opinion, the financial statements present fairly, in all material respects, the financial position of the Company as of December 31, 2023 and 2022, and the results of its operations and its cash flows for the year ended December 31, 2023 and the period from January 18, 2022 (date of inception) through December 31, 2022,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WithumSmith+Brown, PC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 Brunswick, New Jersey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27,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PCAOB ID Number 100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60" w:name="PARTIFINANCIALINFORMATION_184627"/>
      <w:bookmarkStart w:id="161" w:name="_d4f4a3fe_e860_4c86_9110_fd405ad44b57"/>
      <w:bookmarkEnd w:id="160"/>
      <w:bookmarkEnd w:id="161"/>
      <w:r>
        <w:rPr>
          <w:rFonts w:ascii="Times New Roman;Times;serif" w:hAnsi="Times New Roman;Times;serif"/>
          <w:b/>
          <w:sz w:val="20"/>
        </w:rPr>
        <w:t>PART I—FINANCIAL INFORMATION</w:t>
      </w:r>
    </w:p>
    <w:p>
      <w:pPr>
        <w:pStyle w:val="TextBody"/>
        <w:bidi w:val="0"/>
        <w:spacing w:before="0" w:after="240"/>
        <w:ind w:left="0" w:right="0" w:hanging="0"/>
        <w:jc w:val="both"/>
        <w:rPr>
          <w:rFonts w:ascii="Times New Roman;Times;serif" w:hAnsi="Times New Roman;Times;serif"/>
          <w:b/>
          <w:sz w:val="20"/>
        </w:rPr>
      </w:pPr>
      <w:bookmarkStart w:id="162" w:name="Item1FinancialStatements_99631"/>
      <w:bookmarkEnd w:id="162"/>
      <w:r>
        <w:rPr>
          <w:rFonts w:ascii="Times New Roman;Times;serif" w:hAnsi="Times New Roman;Times;serif"/>
          <w:b/>
          <w:sz w:val="20"/>
        </w:rPr>
        <w:t>Item 1. Financial Statements.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163" w:name="CondensedConsolidatedBalanceSheets_20331"/>
      <w:bookmarkEnd w:id="163"/>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164" w:name="Tc_1Ip1Od8yokCa2xQBTM9eHg_35_5"/>
      <w:bookmarkStart w:id="165" w:name="Tc_wwKPqnSR-EmqQABfErTtRA_35_2"/>
      <w:bookmarkStart w:id="166" w:name="Tc_jjEwC7-TeEuu05oT5lPAJQ_35_0"/>
      <w:bookmarkStart w:id="167" w:name="Tc_3pbf8C3Y5E6M2Cchq3J5Ug_34_0"/>
      <w:bookmarkStart w:id="168" w:name="Tc_XVnlcFTftkCe1XFKHV3RhQ_33_6"/>
      <w:bookmarkStart w:id="169" w:name="Tc_pc4os_pPH0qdLOdG3H8TzA_33_0"/>
      <w:bookmarkStart w:id="170" w:name="Tc_f2seRrmbjUSZy2lLg1fP1Q_32_0"/>
      <w:bookmarkStart w:id="171" w:name="Tc_9fpuDPp2TU23uGqupx96RA_31_0"/>
      <w:bookmarkStart w:id="172" w:name="Tc_eyj30LvkgUOE7z0aAxz9_A_30_6"/>
      <w:bookmarkStart w:id="173" w:name="Tc_gqh9z6er4Ea5i6BnFN-R3w_30_0"/>
      <w:bookmarkStart w:id="174" w:name="Tc_VazvcckTiUG2y3jk4JNvsA_29_6"/>
      <w:bookmarkStart w:id="175" w:name="Tc_Vm84m5ICy06o3vZXBdvhQA_29_0"/>
      <w:bookmarkStart w:id="176" w:name="_3ad64334_4528_4aa7_963a_278e1b3aeecd_3"/>
      <w:bookmarkStart w:id="177" w:name="_3ad64334_4528_4aa7_963a_278e1b3aeecd_2"/>
      <w:bookmarkStart w:id="178" w:name="_3ad64334_4528_4aa7_963a_278e1b3aeecd"/>
      <w:bookmarkStart w:id="179" w:name="Tc_DNHbXbodjU25fAGVq5tK5g_28_0"/>
      <w:bookmarkStart w:id="180" w:name="Tc_lTLCmM4vL0aFKfFA2MHPjA_27_0"/>
      <w:bookmarkStart w:id="181" w:name="Tc_ID4F3PaxPEum7FrFO17MAg_25_3"/>
      <w:bookmarkStart w:id="182" w:name="Tc_RFFjLU7CNkKQxI4-6yGs_Q_25_0"/>
      <w:bookmarkStart w:id="183" w:name="Tc_PrZCHhRK6UKrYY3fvBQF3A_24_0"/>
      <w:bookmarkStart w:id="184" w:name="Tc_7HEkPyhkUUeBIfKDF4lS6w_22_0"/>
      <w:bookmarkStart w:id="185" w:name="Tc_AM1FtRk6kkuBA7h2vsnuxQ_20_0"/>
      <w:bookmarkStart w:id="186" w:name="Tc_q68_g_s2UEa_w-HrwM_Crw_18_0"/>
      <w:bookmarkStart w:id="187" w:name="Tc_9CRrwqWWdUSwz42LcEV-Ow_17_6"/>
      <w:bookmarkStart w:id="188" w:name="Tc_WbFVKbDRpEGgUGNeyhBCQQ_17_0"/>
      <w:bookmarkStart w:id="189" w:name="Tc_9RUAfKwtxka5dedOngdpWQ_16_0"/>
      <w:bookmarkStart w:id="190" w:name="Tc_HM8Mn0psVE283NWV0EhT2g_15_3"/>
      <w:bookmarkStart w:id="191" w:name="Tc_Xz6vf5spK0-Wn0EF1OgOYQ_15_0"/>
      <w:bookmarkStart w:id="192" w:name="Tc_D3qVzdenfk2E5ZBzdLZWIg_14_3"/>
      <w:bookmarkStart w:id="193" w:name="Tc_TRJFnzURukOII-GkzwABiw_14_0"/>
      <w:bookmarkStart w:id="194" w:name="Tc_vZcU5HgccUqn5yA3VM2rMw_13_5"/>
      <w:bookmarkStart w:id="195" w:name="Tc_UyHA0q2nSUuclMWTh-DcAg_13_2"/>
      <w:bookmarkStart w:id="196" w:name="Tc_8Gb56og8MEuuKyntE60c7A_13_0"/>
      <w:bookmarkStart w:id="197" w:name="Tc_4B8Hc3rsT0m1MFCo4H7C2A_12_0"/>
      <w:bookmarkStart w:id="198" w:name="Tc_aIXrmqz4wkexq-vyfCcKUQ_11_0"/>
      <w:bookmarkStart w:id="199" w:name="Tc_MhyxChU2R0yVl4mf1EwYJg_9_5"/>
      <w:bookmarkStart w:id="200" w:name="Tc_Y2XQ4Y3RhkOfVCc3kn-EQQ_9_2"/>
      <w:bookmarkStart w:id="201" w:name="Tc_czzUh5hoVU-l44iMsqMy3g_9_0"/>
      <w:bookmarkStart w:id="202" w:name="Tc_Rtg2myyus0OTgcmkcWsr7w_8_3"/>
      <w:bookmarkStart w:id="203" w:name="Tc_F1qkUp_tSU24LCEoDqo7mw_8_0"/>
      <w:bookmarkStart w:id="204" w:name="Tc_nPFqn-GNgUi3amwyZ2zFog_7_0"/>
      <w:bookmarkStart w:id="205" w:name="Tc_8Nta3azDx0-nffr6PAy7fw_6_0"/>
      <w:bookmarkStart w:id="206" w:name="Tc_ToochEx1eUajcd06VeSupA_5_5"/>
      <w:bookmarkStart w:id="207" w:name="Tc__rLbLJjUK0q0xVhQyclh3g_5_2"/>
      <w:bookmarkStart w:id="208" w:name="Tc_V151COXvjEy_eVImQcfreg_5_0"/>
      <w:bookmarkStart w:id="209" w:name="Tc_6aRGOW_Vg0KFOOiDB23_mA_4_0"/>
      <w:bookmarkStart w:id="210" w:name="Tc_0KjS34NErEyg0XOX3dfaww_3_0"/>
      <w:bookmarkStart w:id="211" w:name="Tc__Eg94BQcjk6uq8LyYc2EHw_2_5"/>
      <w:bookmarkStart w:id="212" w:name="Tc_UD_3IrlZA0KxCDYEprGGKg_2_2"/>
      <w:bookmarkStart w:id="213" w:name="Tc_O0fdrPoGGE2G1srCCkgJsA_1_5"/>
      <w:bookmarkStart w:id="214" w:name="Tc_Sk5nB5M2Tk-c2YbgoxfQ_Q_1_2"/>
      <w:bookmarkStart w:id="215" w:name="_e5f7411f_6674_4a27_98db_fd0d471e8f4b"/>
      <w:bookmarkStart w:id="216" w:name="Tc_1Ip1Od8yokCa2xQBTM9eHg_35_5"/>
      <w:bookmarkStart w:id="217" w:name="Tc_wwKPqnSR-EmqQABfErTtRA_35_2"/>
      <w:bookmarkStart w:id="218" w:name="Tc_jjEwC7-TeEuu05oT5lPAJQ_35_0"/>
      <w:bookmarkStart w:id="219" w:name="Tc_3pbf8C3Y5E6M2Cchq3J5Ug_34_0"/>
      <w:bookmarkStart w:id="220" w:name="Tc_XVnlcFTftkCe1XFKHV3RhQ_33_6"/>
      <w:bookmarkStart w:id="221" w:name="Tc_pc4os_pPH0qdLOdG3H8TzA_33_0"/>
      <w:bookmarkStart w:id="222" w:name="Tc_f2seRrmbjUSZy2lLg1fP1Q_32_0"/>
      <w:bookmarkStart w:id="223" w:name="Tc_9fpuDPp2TU23uGqupx96RA_31_0"/>
      <w:bookmarkStart w:id="224" w:name="Tc_eyj30LvkgUOE7z0aAxz9_A_30_6"/>
      <w:bookmarkStart w:id="225" w:name="Tc_gqh9z6er4Ea5i6BnFN-R3w_30_0"/>
      <w:bookmarkStart w:id="226" w:name="Tc_VazvcckTiUG2y3jk4JNvsA_29_6"/>
      <w:bookmarkStart w:id="227" w:name="Tc_Vm84m5ICy06o3vZXBdvhQA_29_0"/>
      <w:bookmarkStart w:id="228" w:name="_3ad64334_4528_4aa7_963a_278e1b3aeecd_3"/>
      <w:bookmarkStart w:id="229" w:name="_3ad64334_4528_4aa7_963a_278e1b3aeecd_2"/>
      <w:bookmarkStart w:id="230" w:name="_3ad64334_4528_4aa7_963a_278e1b3aeecd"/>
      <w:bookmarkStart w:id="231" w:name="Tc_DNHbXbodjU25fAGVq5tK5g_28_0"/>
      <w:bookmarkStart w:id="232" w:name="Tc_lTLCmM4vL0aFKfFA2MHPjA_27_0"/>
      <w:bookmarkStart w:id="233" w:name="Tc_ID4F3PaxPEum7FrFO17MAg_25_3"/>
      <w:bookmarkStart w:id="234" w:name="Tc_RFFjLU7CNkKQxI4-6yGs_Q_25_0"/>
      <w:bookmarkStart w:id="235" w:name="Tc_PrZCHhRK6UKrYY3fvBQF3A_24_0"/>
      <w:bookmarkStart w:id="236" w:name="Tc_7HEkPyhkUUeBIfKDF4lS6w_22_0"/>
      <w:bookmarkStart w:id="237" w:name="Tc_AM1FtRk6kkuBA7h2vsnuxQ_20_0"/>
      <w:bookmarkStart w:id="238" w:name="Tc_q68_g_s2UEa_w-HrwM_Crw_18_0"/>
      <w:bookmarkStart w:id="239" w:name="Tc_9CRrwqWWdUSwz42LcEV-Ow_17_6"/>
      <w:bookmarkStart w:id="240" w:name="Tc_WbFVKbDRpEGgUGNeyhBCQQ_17_0"/>
      <w:bookmarkStart w:id="241" w:name="Tc_9RUAfKwtxka5dedOngdpWQ_16_0"/>
      <w:bookmarkStart w:id="242" w:name="Tc_HM8Mn0psVE283NWV0EhT2g_15_3"/>
      <w:bookmarkStart w:id="243" w:name="Tc_Xz6vf5spK0-Wn0EF1OgOYQ_15_0"/>
      <w:bookmarkStart w:id="244" w:name="Tc_D3qVzdenfk2E5ZBzdLZWIg_14_3"/>
      <w:bookmarkStart w:id="245" w:name="Tc_TRJFnzURukOII-GkzwABiw_14_0"/>
      <w:bookmarkStart w:id="246" w:name="Tc_vZcU5HgccUqn5yA3VM2rMw_13_5"/>
      <w:bookmarkStart w:id="247" w:name="Tc_UyHA0q2nSUuclMWTh-DcAg_13_2"/>
      <w:bookmarkStart w:id="248" w:name="Tc_8Gb56og8MEuuKyntE60c7A_13_0"/>
      <w:bookmarkStart w:id="249" w:name="Tc_4B8Hc3rsT0m1MFCo4H7C2A_12_0"/>
      <w:bookmarkStart w:id="250" w:name="Tc_aIXrmqz4wkexq-vyfCcKUQ_11_0"/>
      <w:bookmarkStart w:id="251" w:name="Tc_MhyxChU2R0yVl4mf1EwYJg_9_5"/>
      <w:bookmarkStart w:id="252" w:name="Tc_Y2XQ4Y3RhkOfVCc3kn-EQQ_9_2"/>
      <w:bookmarkStart w:id="253" w:name="Tc_czzUh5hoVU-l44iMsqMy3g_9_0"/>
      <w:bookmarkStart w:id="254" w:name="Tc_Rtg2myyus0OTgcmkcWsr7w_8_3"/>
      <w:bookmarkStart w:id="255" w:name="Tc_F1qkUp_tSU24LCEoDqo7mw_8_0"/>
      <w:bookmarkStart w:id="256" w:name="Tc_nPFqn-GNgUi3amwyZ2zFog_7_0"/>
      <w:bookmarkStart w:id="257" w:name="Tc_8Nta3azDx0-nffr6PAy7fw_6_0"/>
      <w:bookmarkStart w:id="258" w:name="Tc_ToochEx1eUajcd06VeSupA_5_5"/>
      <w:bookmarkStart w:id="259" w:name="Tc__rLbLJjUK0q0xVhQyclh3g_5_2"/>
      <w:bookmarkStart w:id="260" w:name="Tc_V151COXvjEy_eVImQcfreg_5_0"/>
      <w:bookmarkStart w:id="261" w:name="Tc_6aRGOW_Vg0KFOOiDB23_mA_4_0"/>
      <w:bookmarkStart w:id="262" w:name="Tc_0KjS34NErEyg0XOX3dfaww_3_0"/>
      <w:bookmarkStart w:id="263" w:name="Tc__Eg94BQcjk6uq8LyYc2EHw_2_5"/>
      <w:bookmarkStart w:id="264" w:name="Tc_UD_3IrlZA0KxCDYEprGGKg_2_2"/>
      <w:bookmarkStart w:id="265" w:name="Tc_O0fdrPoGGE2G1srCCkgJsA_1_5"/>
      <w:bookmarkStart w:id="266" w:name="Tc_Sk5nB5M2Tk-c2YbgoxfQ_Q_1_2"/>
      <w:bookmarkStart w:id="267" w:name="_e5f7411f_6674_4a27_98db_fd0d471e8f4b"/>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W w:w="10205" w:type="dxa"/>
        <w:jc w:val="left"/>
        <w:tblInd w:w="0" w:type="dxa"/>
        <w:tblLayout w:type="fixed"/>
        <w:tblCellMar>
          <w:top w:w="0" w:type="dxa"/>
          <w:left w:w="0" w:type="dxa"/>
          <w:bottom w:w="0" w:type="dxa"/>
          <w:right w:w="0" w:type="dxa"/>
        </w:tblCellMar>
      </w:tblPr>
      <w:tblGrid>
        <w:gridCol w:w="7429"/>
        <w:gridCol w:w="326"/>
        <w:gridCol w:w="211"/>
        <w:gridCol w:w="863"/>
        <w:gridCol w:w="326"/>
        <w:gridCol w:w="217"/>
        <w:gridCol w:w="833"/>
      </w:tblGrid>
      <w:tr>
        <w:trPr/>
        <w:tc>
          <w:tcPr>
            <w:tcW w:w="7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717415" cy="175260"/>
                      <wp:effectExtent l="0" t="0" r="0" b="0"/>
                      <wp:wrapNone/>
                      <wp:docPr id="81" name="Frame75"/>
                      <a:graphic xmlns:a="http://schemas.openxmlformats.org/drawingml/2006/main">
                        <a:graphicData uri="http://schemas.microsoft.com/office/word/2010/wordprocessingShape">
                          <wps:wsp>
                            <wps:cNvSpPr txBox="1"/>
                            <wps:spPr>
                              <a:xfrm>
                                <a:off x="0" y="0"/>
                                <a:ext cx="4717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2"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3"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48005" cy="175260"/>
                      <wp:effectExtent l="0" t="0" r="0" b="0"/>
                      <wp:wrapNone/>
                      <wp:docPr id="84" name="Frame78"/>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5"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7795" cy="175260"/>
                      <wp:effectExtent l="0" t="0" r="0" b="0"/>
                      <wp:wrapNone/>
                      <wp:docPr id="86" name="Frame8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28955" cy="175260"/>
                      <wp:effectExtent l="0" t="0" r="0" b="0"/>
                      <wp:wrapNone/>
                      <wp:docPr id="87" name="Frame81"/>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    </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4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7" w:type="dxa"/>
            <w:tcBorders/>
            <w:shd w:fill="CCEEFF" w:val="clear"/>
            <w:vAlign w:val="center"/>
          </w:tcPr>
          <w:p>
            <w:pPr>
              <w:pStyle w:val="TableContents"/>
              <w:bidi w:val="0"/>
              <w:spacing w:before="0" w:after="1"/>
              <w:ind w:left="0" w:right="0" w:hanging="0"/>
              <w:jc w:val="center"/>
              <w:rPr/>
            </w:pPr>
            <w:r>
              <w:rPr/>
              <w:t>​</w:t>
            </w:r>
          </w:p>
        </w:tc>
        <w:tc>
          <w:tcPr>
            <w:tcW w:w="833" w:type="dxa"/>
            <w:tcBorders/>
            <w:shd w:fill="CCEEFF" w:val="clear"/>
            <w:vAlign w:val="center"/>
          </w:tcPr>
          <w:p>
            <w:pPr>
              <w:pStyle w:val="TableContents"/>
              <w:bidi w:val="0"/>
              <w:spacing w:before="0" w:after="1"/>
              <w:ind w:left="0" w:right="0" w:hanging="0"/>
              <w:jc w:val="lef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  </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99,806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5,262</w:t>
            </w:r>
          </w:p>
        </w:tc>
      </w:tr>
      <w:tr>
        <w:trPr/>
        <w:tc>
          <w:tcPr>
            <w:tcW w:w="74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Redeemable Noncontrolling Interest, Convertible Preferred Shares, and Shareholders’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4,428</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license consideration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14,818</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21,292</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14,818</w:t>
            </w:r>
          </w:p>
        </w:tc>
      </w:tr>
      <w:tr>
        <w:trPr/>
        <w:tc>
          <w:tcPr>
            <w:tcW w:w="74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74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18,680</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4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preferred shares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A-1 convertible preferred shares, $0.001 par value, -0- and 13,510,415 shares </w:t>
            </w:r>
            <w:r>
              <w:rPr>
                <w:rFonts w:ascii="Times New Roman;Times;serif" w:hAnsi="Times New Roman;Times;serif"/>
                <w:b w:val="false"/>
                <w:i w:val="false"/>
                <w:caps w:val="false"/>
                <w:smallCaps w:val="false"/>
                <w:sz w:val="20"/>
              </w:rPr>
              <w:t>authorized</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w:t>
            </w:r>
            <w:r>
              <w:rPr>
                <w:rFonts w:ascii="Times New Roman;Times;serif" w:hAnsi="Times New Roman;Times;serif"/>
                <w:b w:val="false"/>
                <w:i w:val="false"/>
                <w:caps w:val="false"/>
                <w:smallCaps w:val="false"/>
                <w:sz w:val="20"/>
              </w:rPr>
              <w:t>December 31, 2023</w:t>
            </w:r>
            <w:r>
              <w:rPr>
                <w:rFonts w:ascii="Times New Roman;Times;serif" w:hAnsi="Times New Roman;Times;serif"/>
                <w:sz w:val="20"/>
              </w:rPr>
              <w:t xml:space="preserve"> and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12,500</w:t>
            </w:r>
          </w:p>
        </w:tc>
      </w:tr>
      <w:tr>
        <w:trPr/>
        <w:tc>
          <w:tcPr>
            <w:tcW w:w="74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Shares, $0.0001 par value, 1,000,000 and -0- authorized as of December 31, 2023 and 2022, respectively; -0- issued and outstanding as of December 31, 2023 and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Class A Ordinary Shares, $0.0001 par value, 300,000,000 authorized, 43,593,678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as of December 31, 2023; 1,884,649 authorized, 279,720 issued and outstanding as of </w:t>
            </w:r>
            <w:r>
              <w:rPr>
                <w:rFonts w:ascii="Times New Roman;Times;serif" w:hAnsi="Times New Roman;Times;serif"/>
                <w:b w:val="false"/>
                <w:i w:val="false"/>
                <w:caps w:val="false"/>
                <w:smallCaps w:val="false"/>
                <w:sz w:val="20"/>
              </w:rPr>
              <w:t>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162,820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(103,494)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(32,056)</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Zura Bio Limited shareholders’ equity (deficit)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59,330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(32,056)</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42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shareholders’ equity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60,871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(32,056)</w:t>
            </w:r>
          </w:p>
        </w:tc>
      </w:tr>
      <w:tr>
        <w:trPr/>
        <w:tc>
          <w:tcPr>
            <w:tcW w:w="742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redeemable noncontrolling interest, convertible preferred shares, and shareholders’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5,262</w:t>
            </w:r>
          </w:p>
        </w:tc>
      </w:tr>
    </w:tbl>
    <w:p>
      <w:pPr>
        <w:pStyle w:val="TextBody"/>
        <w:bidi w:val="0"/>
        <w:spacing w:before="0" w:after="240"/>
        <w:ind w:left="0" w:right="0" w:firstLine="360"/>
        <w:jc w:val="both"/>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268" w:name="_c0223af6_2b46_4a3c_afa9_3cab824ed313"/>
      <w:bookmarkEnd w:id="268"/>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269" w:name="CondensedConsolidatedStatementsofOperati"/>
      <w:bookmarkEnd w:id="269"/>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270" w:name="Tc_Kgb3-eILUkWMhsKpxfKzrg_28_0"/>
      <w:bookmarkStart w:id="271" w:name="Tc__oLHAXRAVkat0OFMCfb_Ww_27_5"/>
      <w:bookmarkStart w:id="272" w:name="Tc_ET8IuiKmt0-fsjxK-eCmXg_27_2"/>
      <w:bookmarkStart w:id="273" w:name="Tc_P8lJCmDjJkqeIhEyW6oAZw_27_0"/>
      <w:bookmarkStart w:id="274" w:name="Tc_8LcEMSUR2UqrhrvsrO2SAQ_26_5"/>
      <w:bookmarkStart w:id="275" w:name="Tc_3b1foG90rkmmFG_uJIIRww_26_2"/>
      <w:bookmarkStart w:id="276" w:name="Tc__500RDbHSECfzNgfwJONSA_26_0"/>
      <w:bookmarkStart w:id="277" w:name="Tc_WsazxyjYrUm6dht0MPvYhA_25_6"/>
      <w:bookmarkStart w:id="278" w:name="Tc_bgbLNK54nkW1U8MaD8v9Hw_25_0"/>
      <w:bookmarkStart w:id="279" w:name="Tc_7RpkoAcwYkqQDWrLdxsYpQ_24_6"/>
      <w:bookmarkStart w:id="280" w:name="Tc_cSHG8iQH2Uygqkc115_jqA_24_0"/>
      <w:bookmarkStart w:id="281" w:name="Tc_HVkOunLzhEixo9tiKGKKMQ_23_0"/>
      <w:bookmarkStart w:id="282" w:name="Tc_IRXKWTjjzEmDNKtufee3Zg_22_0"/>
      <w:bookmarkStart w:id="283" w:name="Tc_5LHzburQqkKl5ndNq8nL_w_21_0"/>
      <w:bookmarkStart w:id="284" w:name="Tc_k_-nJMoa50OLICOWa_reoQ_20_0"/>
      <w:bookmarkStart w:id="285" w:name="Tc__xJshi5UA0iUcOraYDED_w_19_6"/>
      <w:bookmarkStart w:id="286" w:name="Tc_IIkucr3QK0SMcUoTtq_04g_19_3"/>
      <w:bookmarkStart w:id="287" w:name="Tc_QmmF6KP15UiFX1vUGHd2qA_19_0"/>
      <w:bookmarkStart w:id="288" w:name="Tc_3-v56ibGxk-M3QhM71ckeg_18_0"/>
      <w:bookmarkStart w:id="289" w:name="Tc_xnv4eGwGNEOLmn-rYBWQpA_17_0"/>
      <w:bookmarkStart w:id="290" w:name="Tc_n_dG28UUjEGp08mxGghCPA_16_0"/>
      <w:bookmarkStart w:id="291" w:name="Tc_30pB_3s9Ck23j-IYH3L1xA_15_6"/>
      <w:bookmarkStart w:id="292" w:name="Tc_y4G6vt7IUUGFnmVbTjC-iA_15_0"/>
      <w:bookmarkStart w:id="293" w:name="Tc_9W7ufP170UOJq-AXr8GhXw_14_6"/>
      <w:bookmarkStart w:id="294" w:name="Tc__sMwQwcac0i27iqRjwnliw_14_0"/>
      <w:bookmarkStart w:id="295" w:name="Tc_KtSwyl5GzkuCBWOtAQiatg_13_0"/>
      <w:bookmarkStart w:id="296" w:name="Tc_F8YJd8k8CEuHdUz0R4_agg_12_0"/>
      <w:bookmarkStart w:id="297" w:name="Tc_t0LSeiMiKEeXNGmMgDV1Dg_11_0"/>
      <w:bookmarkStart w:id="298" w:name="Tc_mXHWi-odCEaDI9S5nHM7ow_10_0"/>
      <w:bookmarkStart w:id="299" w:name="Tc_7-i9EgLhOk6lhkLaisz60A_9_0"/>
      <w:bookmarkStart w:id="300" w:name="Tc_uz08_XEeuEGacyJ5x32ZgA_8_0"/>
      <w:bookmarkStart w:id="301" w:name="Tc_qH40rOW6wUuzz6piuhSewQ_7_5"/>
      <w:bookmarkStart w:id="302" w:name="Tc_uBJM-0Fut02GtAA9BLUI-Q_7_2"/>
      <w:bookmarkStart w:id="303" w:name="Tc_eLm4I9SCSkORtEvmWz88xg_7_0"/>
      <w:bookmarkStart w:id="304" w:name="Tc_hRq_PZrGs0KahL-GjX_Y8A_6_0"/>
      <w:bookmarkStart w:id="305" w:name="Tc_PJG89Yq_jUSNNYtO9DG4jw_5_5"/>
      <w:bookmarkStart w:id="306" w:name="Tc_P5Y85NMpRUOkt7h3Rg76QA_5_2"/>
      <w:bookmarkStart w:id="307" w:name="Tc_7GGgArZTaEusFiI4Fwv_gA_4_5"/>
      <w:bookmarkStart w:id="308" w:name="Tc_ddO17THJ8EuJT232zCHXkA_4_2"/>
      <w:bookmarkStart w:id="309" w:name="Tc_5yT2BgYql06mkge18Z5e9w_3_5"/>
      <w:bookmarkStart w:id="310" w:name="Tc_mI85TMDqA0-eKjuNxBZqOg_3_2"/>
      <w:bookmarkStart w:id="311" w:name="Tc_X_WIItCvYUO_bDt6hNt0hA_2_5"/>
      <w:bookmarkStart w:id="312" w:name="Tc_TJocI8NIbk-RiqombjHCjA_1_5"/>
      <w:bookmarkStart w:id="313" w:name="_654e9950_05b0_4ce9_b06b_c2eb25a56e40"/>
      <w:bookmarkStart w:id="314" w:name="_b2604325_1678_42d7_ac7a_f4fad9a5d5df"/>
      <w:bookmarkStart w:id="315" w:name="Tc_Kgb3-eILUkWMhsKpxfKzrg_28_0"/>
      <w:bookmarkStart w:id="316" w:name="Tc__oLHAXRAVkat0OFMCfb_Ww_27_5"/>
      <w:bookmarkStart w:id="317" w:name="Tc_ET8IuiKmt0-fsjxK-eCmXg_27_2"/>
      <w:bookmarkStart w:id="318" w:name="Tc_P8lJCmDjJkqeIhEyW6oAZw_27_0"/>
      <w:bookmarkStart w:id="319" w:name="Tc_8LcEMSUR2UqrhrvsrO2SAQ_26_5"/>
      <w:bookmarkStart w:id="320" w:name="Tc_3b1foG90rkmmFG_uJIIRww_26_2"/>
      <w:bookmarkStart w:id="321" w:name="Tc__500RDbHSECfzNgfwJONSA_26_0"/>
      <w:bookmarkStart w:id="322" w:name="Tc_WsazxyjYrUm6dht0MPvYhA_25_6"/>
      <w:bookmarkStart w:id="323" w:name="Tc_bgbLNK54nkW1U8MaD8v9Hw_25_0"/>
      <w:bookmarkStart w:id="324" w:name="Tc_7RpkoAcwYkqQDWrLdxsYpQ_24_6"/>
      <w:bookmarkStart w:id="325" w:name="Tc_cSHG8iQH2Uygqkc115_jqA_24_0"/>
      <w:bookmarkStart w:id="326" w:name="Tc_HVkOunLzhEixo9tiKGKKMQ_23_0"/>
      <w:bookmarkStart w:id="327" w:name="Tc_IRXKWTjjzEmDNKtufee3Zg_22_0"/>
      <w:bookmarkStart w:id="328" w:name="Tc_5LHzburQqkKl5ndNq8nL_w_21_0"/>
      <w:bookmarkStart w:id="329" w:name="Tc_k_-nJMoa50OLICOWa_reoQ_20_0"/>
      <w:bookmarkStart w:id="330" w:name="Tc__xJshi5UA0iUcOraYDED_w_19_6"/>
      <w:bookmarkStart w:id="331" w:name="Tc_IIkucr3QK0SMcUoTtq_04g_19_3"/>
      <w:bookmarkStart w:id="332" w:name="Tc_QmmF6KP15UiFX1vUGHd2qA_19_0"/>
      <w:bookmarkStart w:id="333" w:name="Tc_3-v56ibGxk-M3QhM71ckeg_18_0"/>
      <w:bookmarkStart w:id="334" w:name="Tc_xnv4eGwGNEOLmn-rYBWQpA_17_0"/>
      <w:bookmarkStart w:id="335" w:name="Tc_n_dG28UUjEGp08mxGghCPA_16_0"/>
      <w:bookmarkStart w:id="336" w:name="Tc_30pB_3s9Ck23j-IYH3L1xA_15_6"/>
      <w:bookmarkStart w:id="337" w:name="Tc_y4G6vt7IUUGFnmVbTjC-iA_15_0"/>
      <w:bookmarkStart w:id="338" w:name="Tc_9W7ufP170UOJq-AXr8GhXw_14_6"/>
      <w:bookmarkStart w:id="339" w:name="Tc__sMwQwcac0i27iqRjwnliw_14_0"/>
      <w:bookmarkStart w:id="340" w:name="Tc_KtSwyl5GzkuCBWOtAQiatg_13_0"/>
      <w:bookmarkStart w:id="341" w:name="Tc_F8YJd8k8CEuHdUz0R4_agg_12_0"/>
      <w:bookmarkStart w:id="342" w:name="Tc_t0LSeiMiKEeXNGmMgDV1Dg_11_0"/>
      <w:bookmarkStart w:id="343" w:name="Tc_mXHWi-odCEaDI9S5nHM7ow_10_0"/>
      <w:bookmarkStart w:id="344" w:name="Tc_7-i9EgLhOk6lhkLaisz60A_9_0"/>
      <w:bookmarkStart w:id="345" w:name="Tc_uz08_XEeuEGacyJ5x32ZgA_8_0"/>
      <w:bookmarkStart w:id="346" w:name="Tc_qH40rOW6wUuzz6piuhSewQ_7_5"/>
      <w:bookmarkStart w:id="347" w:name="Tc_uBJM-0Fut02GtAA9BLUI-Q_7_2"/>
      <w:bookmarkStart w:id="348" w:name="Tc_eLm4I9SCSkORtEvmWz88xg_7_0"/>
      <w:bookmarkStart w:id="349" w:name="Tc_hRq_PZrGs0KahL-GjX_Y8A_6_0"/>
      <w:bookmarkStart w:id="350" w:name="Tc_PJG89Yq_jUSNNYtO9DG4jw_5_5"/>
      <w:bookmarkStart w:id="351" w:name="Tc_P5Y85NMpRUOkt7h3Rg76QA_5_2"/>
      <w:bookmarkStart w:id="352" w:name="Tc_7GGgArZTaEusFiI4Fwv_gA_4_5"/>
      <w:bookmarkStart w:id="353" w:name="Tc_ddO17THJ8EuJT232zCHXkA_4_2"/>
      <w:bookmarkStart w:id="354" w:name="Tc_5yT2BgYql06mkge18Z5e9w_3_5"/>
      <w:bookmarkStart w:id="355" w:name="Tc_mI85TMDqA0-eKjuNxBZqOg_3_2"/>
      <w:bookmarkStart w:id="356" w:name="Tc_X_WIItCvYUO_bDt6hNt0hA_2_5"/>
      <w:bookmarkStart w:id="357" w:name="Tc_TJocI8NIbk-RiqombjHCjA_1_5"/>
      <w:bookmarkStart w:id="358" w:name="_654e9950_05b0_4ce9_b06b_c2eb25a56e40"/>
      <w:bookmarkStart w:id="359" w:name="_b2604325_1678_42d7_ac7a_f4fad9a5d5df"/>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tbl>
      <w:tblPr>
        <w:tblW w:w="10205" w:type="dxa"/>
        <w:jc w:val="left"/>
        <w:tblInd w:w="0" w:type="dxa"/>
        <w:tblLayout w:type="fixed"/>
        <w:tblCellMar>
          <w:top w:w="0" w:type="dxa"/>
          <w:left w:w="0" w:type="dxa"/>
          <w:bottom w:w="0" w:type="dxa"/>
          <w:right w:w="0" w:type="dxa"/>
        </w:tblCellMar>
      </w:tblPr>
      <w:tblGrid>
        <w:gridCol w:w="6446"/>
        <w:gridCol w:w="326"/>
        <w:gridCol w:w="233"/>
        <w:gridCol w:w="1147"/>
        <w:gridCol w:w="326"/>
        <w:gridCol w:w="331"/>
        <w:gridCol w:w="1396"/>
      </w:tblGrid>
      <w:tr>
        <w:trPr/>
        <w:tc>
          <w:tcPr>
            <w:tcW w:w="6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093210" cy="175260"/>
                      <wp:effectExtent l="0" t="0" r="0" b="0"/>
                      <wp:wrapNone/>
                      <wp:docPr id="88" name="Frame82"/>
                      <a:graphic xmlns:a="http://schemas.openxmlformats.org/drawingml/2006/main">
                        <a:graphicData uri="http://schemas.microsoft.com/office/word/2010/wordprocessingShape">
                          <wps:wsp>
                            <wps:cNvSpPr txBox="1"/>
                            <wps:spPr>
                              <a:xfrm>
                                <a:off x="0" y="0"/>
                                <a:ext cx="409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89"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7955" cy="175260"/>
                      <wp:effectExtent l="0" t="0" r="0" b="0"/>
                      <wp:wrapNone/>
                      <wp:docPr id="90" name="Frame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28345" cy="175260"/>
                      <wp:effectExtent l="0" t="0" r="0" b="0"/>
                      <wp:wrapNone/>
                      <wp:docPr id="91" name="Frame85"/>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2"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0185" cy="175260"/>
                      <wp:effectExtent l="0" t="0" r="0" b="0"/>
                      <wp:wrapNone/>
                      <wp:docPr id="93" name="Frame8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886460" cy="175260"/>
                      <wp:effectExtent l="0" t="0" r="0" b="0"/>
                      <wp:wrapNone/>
                      <wp:docPr id="94" name="Frame88"/>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8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 the Period from</w:t>
            </w:r>
            <w:r>
              <w:rPr>
                <w:rFonts w:ascii="Times New Roman;Times;serif" w:hAnsi="Times New Roman;Times;serif"/>
                <w:sz w:val="16"/>
              </w:rPr>
              <w:t> </w:t>
            </w:r>
          </w:p>
        </w:tc>
      </w:tr>
      <w:tr>
        <w:trPr/>
        <w:tc>
          <w:tcPr>
            <w:tcW w:w="6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January 18, 2022</w:t>
            </w:r>
            <w:r>
              <w:rPr>
                <w:rFonts w:ascii="Times New Roman;Times;serif" w:hAnsi="Times New Roman;Times;serif"/>
                <w:sz w:val="16"/>
              </w:rPr>
              <w:t> </w:t>
            </w:r>
          </w:p>
        </w:tc>
      </w:tr>
      <w:tr>
        <w:trPr/>
        <w:tc>
          <w:tcPr>
            <w:tcW w:w="6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326" w:type="dxa"/>
            <w:tcBorders/>
            <w:vAlign w:val="center"/>
          </w:tcPr>
          <w:p>
            <w:pPr>
              <w:pStyle w:val="TableContents"/>
              <w:bidi w:val="0"/>
              <w:spacing w:before="0" w:after="1"/>
              <w:ind w:left="0" w:right="0" w:hanging="0"/>
              <w:jc w:val="left"/>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(date of inception) to</w:t>
            </w:r>
            <w:r>
              <w:rPr>
                <w:rFonts w:ascii="Times New Roman;Times;serif" w:hAnsi="Times New Roman;Times;serif"/>
                <w:sz w:val="16"/>
              </w:rPr>
              <w:t> </w:t>
            </w:r>
          </w:p>
        </w:tc>
      </w:tr>
      <w:tr>
        <w:trPr/>
        <w:tc>
          <w:tcPr>
            <w:tcW w:w="6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left"/>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7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pPr>
            <w:r>
              <w:rPr/>
              <w:t>  </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43,999</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23,689</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18,639</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62,638</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27,162</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(62,638)</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(27,162)</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expense/(income), net: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pPr>
            <w:r>
              <w:rPr/>
              <w:t>​</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pPr>
            <w:r>
              <w:rPr/>
              <w:t>—</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pPr>
            <w:r>
              <w:rPr/>
              <w:t>—</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expense/(income), net</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(60,563)</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(27,333)</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(60,563)</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(27,333)</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1,595</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(60,360)</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(25,738)</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(6,652)</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contribution from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9,212</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pPr>
            <w:r>
              <w:rPr/>
              <w:t>—</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Class A Ordinary Shareholders of Zura</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(69,243)</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(32,390)</w:t>
            </w:r>
          </w:p>
        </w:tc>
      </w:tr>
      <w:tr>
        <w:trPr/>
        <w:tc>
          <w:tcPr>
            <w:tcW w:w="6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Class A Ordinary Shareholders of Zura, basic and diluted</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(141.97)</w:t>
            </w:r>
          </w:p>
        </w:tc>
      </w:tr>
      <w:tr>
        <w:trPr/>
        <w:tc>
          <w:tcPr>
            <w:tcW w:w="6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Class A Ordinary Shares used in computing net loss per share attributable to Class A Ordinary Shareholders of Zura,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33,064,036</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228,148</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360" w:name="_f062d655_97a7_4bf1_a238_f1e1e93199ec"/>
      <w:bookmarkEnd w:id="360"/>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361" w:name="CondensedConsolidatedStatementsofChanges"/>
      <w:bookmarkEnd w:id="361"/>
      <w:r>
        <w:rPr>
          <w:rFonts w:ascii="Times New Roman;Times;serif" w:hAnsi="Times New Roman;Times;serif"/>
          <w:b/>
          <w:sz w:val="20"/>
        </w:rPr>
        <w:t>Consolidated Statements of Changes in Redeemable Noncontrolling Interest, Convertible Preferred Shares, and Shareholders’ Equity (Deficit)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362" w:name="Tc_Iybp6QB1M0mC-yzWeAXYrQ_33_25"/>
      <w:bookmarkStart w:id="363" w:name="Tc_04b-QVVw60eeeqMYcV-WRA_33_23"/>
      <w:bookmarkStart w:id="364" w:name="Tc_H6W4hsqm5EqrSC3avmQgiw_33_22"/>
      <w:bookmarkStart w:id="365" w:name="Tc_EYARZsDnq0CGdmQpJ92qcA_33_19"/>
      <w:bookmarkStart w:id="366" w:name="Tc_SGlJLWFqAUKvX9JHAnMs0g_33_17"/>
      <w:bookmarkStart w:id="367" w:name="Tc_EC5Nb1ZV0UWScRkh4fiwDQ_33_16"/>
      <w:bookmarkStart w:id="368" w:name="Tc_BDrwbrf1ZEaXCsg-5-crfQ_33_14"/>
      <w:bookmarkStart w:id="369" w:name="Tc_mrYi3C-rCE-PPsnOqtKiLA_33_13"/>
      <w:bookmarkStart w:id="370" w:name="Tc_5r-0VI3u10OhcjmhCbmFdg_33_7"/>
      <w:bookmarkStart w:id="371" w:name="Tc_ld4kdnG8MkiSV1SJzWzJqQ_33_2"/>
      <w:bookmarkStart w:id="372" w:name="Tc_H2m2xPrwsUm-OllM8kiQ8Q_33_0"/>
      <w:bookmarkStart w:id="373" w:name="Tc_rA5grki1TEip0z07My7edQ_32_23"/>
      <w:bookmarkStart w:id="374" w:name="Tc_38xrgUP070uesNpexueKhQ_32_14"/>
      <w:bookmarkStart w:id="375" w:name="Tc_YR5kA3MsK0CXaDdQ7d-ABQ_32_11"/>
      <w:bookmarkStart w:id="376" w:name="Tc_5oI2RfA_FUa2t0Wa2cOQ_g_32_8"/>
      <w:bookmarkStart w:id="377" w:name="Tc__1AFBtiJOEaueksQ61wVVA_32_5"/>
      <w:bookmarkStart w:id="378" w:name="Tc__uZCWlO9NUeizPG24EwPhg_32_0"/>
      <w:bookmarkStart w:id="379" w:name="Tc_D4oJxbyhOk69OYjz-w9e-Q_31_23"/>
      <w:bookmarkStart w:id="380" w:name="Tc_sHhBLBkjgEChEsPD8VGZaQ_31_17"/>
      <w:bookmarkStart w:id="381" w:name="Tc_N7OBU1q0X0Wljg7W3CgXdg_31_14"/>
      <w:bookmarkStart w:id="382" w:name="Tc_Qfg9ySfbOEqp3JcL8VhBCg_31_11"/>
      <w:bookmarkStart w:id="383" w:name="Tc_cybSdqygNE-lBELe3CEg7g_31_8"/>
      <w:bookmarkStart w:id="384" w:name="Tc_cv3K21wYmEOm9IaqFP_A1w_31_5"/>
      <w:bookmarkStart w:id="385" w:name="Tc_46OpqiDF8EKF0bEyfgiU4Q_31_0"/>
      <w:bookmarkStart w:id="386" w:name="Tc_wOhv9XBIhUmlQ368yrNtEw_30_23"/>
      <w:bookmarkStart w:id="387" w:name="Tc_zUfVvg1aXE6NFrxHivGyxQ_30_20"/>
      <w:bookmarkStart w:id="388" w:name="Tc_uRpad-Usn0SYLOwp5qjmBQ_30_14"/>
      <w:bookmarkStart w:id="389" w:name="Tc_XxXu7jENZUaOUIK1MuJtFQ_30_11"/>
      <w:bookmarkStart w:id="390" w:name="Tc_L2s53sYYs0azQ1UMtestUA_30_8"/>
      <w:bookmarkStart w:id="391" w:name="Tc_xn7TbbqKkE6SuGYZTuyMkg_30_5"/>
      <w:bookmarkStart w:id="392" w:name="Tc_Nta3MhEHy0-uD7W4bSaiGw_30_3"/>
      <w:bookmarkStart w:id="393" w:name="Tc_nHTtFkEyv0m5wCpG_9hvLg_30_0"/>
      <w:bookmarkStart w:id="394" w:name="Tc_6idsjLuzFkWSh3th4BYs2A_29_26"/>
      <w:bookmarkStart w:id="395" w:name="Tc_9cmR0mduHkSY16WcgVlLdA_29_23"/>
      <w:bookmarkStart w:id="396" w:name="Tc_nsCYVEMuxESinIOOCzCvMg_29_20"/>
      <w:bookmarkStart w:id="397" w:name="Tc_AmbJRdj5Vk6RZtv-burM8g_29_17"/>
      <w:bookmarkStart w:id="398" w:name="Tc_HU18e9p7IUmVvrOJpibEmw_29_14"/>
      <w:bookmarkStart w:id="399" w:name="Tc_7lBHliMYyEu8eYvmhfR-PQ_29_8"/>
      <w:bookmarkStart w:id="400" w:name="Tc_1I4dJGvCjE2y2anhglQHrg_29_5"/>
      <w:bookmarkStart w:id="401" w:name="Tc__HvtiCBBr0yc7g9-EHbAmg_29_3"/>
      <w:bookmarkStart w:id="402" w:name="Tc_L4b1cK0BHEu2ug1AhwExyA_29_0"/>
      <w:bookmarkStart w:id="403" w:name="Tc_eo0cAN7lz0eZOGREwIY7Ew_28_26"/>
      <w:bookmarkStart w:id="404" w:name="Tc_aBWrcRwLqUe3SNtv_larzQ_28_23"/>
      <w:bookmarkStart w:id="405" w:name="Tc_5J9sAa7k1kq4_3cXLYuTyA_28_20"/>
      <w:bookmarkStart w:id="406" w:name="Tc_q2WhGEqTIEWZMZomeN1MQw_28_17"/>
      <w:bookmarkStart w:id="407" w:name="Tc_Baq1oXSeIkWN6h9lej17ug_28_14"/>
      <w:bookmarkStart w:id="408" w:name="Tc_Q-Q6ayY8lUCqzBavAOKyiQ_28_11"/>
      <w:bookmarkStart w:id="409" w:name="Tc_xMIToZ78SUi7G3EYelmaSQ_28_8"/>
      <w:bookmarkStart w:id="410" w:name="Tc_2-0tGIQhOke6yaW5Iyxpyg_28_5"/>
      <w:bookmarkStart w:id="411" w:name="Tc_TOraKqAAxkaTKOBzBMRhMg_28_0"/>
      <w:bookmarkStart w:id="412" w:name="Tc_p0QwuG0bCUysF-n7tb-v2w_27_26"/>
      <w:bookmarkStart w:id="413" w:name="Tc_-B54mmdo_kmQocW99Wn1aw_27_23"/>
      <w:bookmarkStart w:id="414" w:name="Tc_jEo9pGM9aEe-UaltgZuZ9Q_27_20"/>
      <w:bookmarkStart w:id="415" w:name="Tc_EiC3R1pgDEOSdGCPJZwWUw_27_17"/>
      <w:bookmarkStart w:id="416" w:name="Tc_dxJM7MXbWkWsdABMHmoOlA_27_14"/>
      <w:bookmarkStart w:id="417" w:name="Tc_n-KGj01A8EmIcaOezBS0Ew_27_11"/>
      <w:bookmarkStart w:id="418" w:name="Tc_M2SjWJlSzEOiRd4JXJ7ezg_27_3"/>
      <w:bookmarkStart w:id="419" w:name="Tc__dYUxmxo80SOlFDb83c0tg_27_0"/>
      <w:bookmarkStart w:id="420" w:name="Tc_y1IJDiqUf0qE79gaUzidMw_26_26"/>
      <w:bookmarkStart w:id="421" w:name="Tc_KFI73O1EVU21x3y90JjS4Q_26_23"/>
      <w:bookmarkStart w:id="422" w:name="Tc_Q-0PG2KHsUavgEUeKYtkJw_26_20"/>
      <w:bookmarkStart w:id="423" w:name="Tc_IGWrb12Ns0GVtkZ7gO1vCQ_26_17"/>
      <w:bookmarkStart w:id="424" w:name="Tc_27P7bbqSqUuB8ve9T8_CGQ_26_14"/>
      <w:bookmarkStart w:id="425" w:name="Tc_bi6YfgSur0iVl1VvpNKCjw_26_11"/>
      <w:bookmarkStart w:id="426" w:name="Tc_QwN6Q0fNNEqI2FNJ7hMXoQ_26_3"/>
      <w:bookmarkStart w:id="427" w:name="Tc_WGNaxbXfH0WCyKYGSql_XA_26_0"/>
      <w:bookmarkStart w:id="428" w:name="Tc_nnDRXiH5dUyLY0boj6hrdA_25_26"/>
      <w:bookmarkStart w:id="429" w:name="Tc_gIxP1i7n6kOQqPlgPcutZw_25_23"/>
      <w:bookmarkStart w:id="430" w:name="Tc_eWmPeTOsXEeRr7R6DaSivw_25_20"/>
      <w:bookmarkStart w:id="431" w:name="Tc_9L1bw_zABUOs5EQmQP2NcQ_25_17"/>
      <w:bookmarkStart w:id="432" w:name="Tc_slHZJUQVukSQHKn1XSW3Mw_25_14"/>
      <w:bookmarkStart w:id="433" w:name="Tc_BUtnxPaIpU2qkdEkCJ8fbA_25_8"/>
      <w:bookmarkStart w:id="434" w:name="Tc_iK9QqkfRik6Bo9z1C549jg_25_5"/>
      <w:bookmarkStart w:id="435" w:name="Tc_U6T2VC9l30Wm0HWJY0oL3A_25_3"/>
      <w:bookmarkStart w:id="436" w:name="Tc_3YI9qyiPrUKokAripysxYw_25_0"/>
      <w:bookmarkStart w:id="437" w:name="Tc_1K1IYQhv4kyR3l38DWXSwg_24_25"/>
      <w:bookmarkStart w:id="438" w:name="Tc_jxPb3lWbBUmzXEYOtkKzIQ_24_22"/>
      <w:bookmarkStart w:id="439" w:name="Tc_37D8Mm_iTku7Dqp8MwpYfw_24_19"/>
      <w:bookmarkStart w:id="440" w:name="Tc_WWpiZPTbQ0iOfwSTqqOzdw_24_16"/>
      <w:bookmarkStart w:id="441" w:name="Tc_qQBVih_Jqky0GCOg5ldNpw_24_13"/>
      <w:bookmarkStart w:id="442" w:name="Tc_gyycvo8GVU2GeAyiKczzxQ_24_7"/>
      <w:bookmarkStart w:id="443" w:name="Tc_xXsE5ih79k-o1djE0Ief2g_24_2"/>
      <w:bookmarkStart w:id="444" w:name="Tc_Bp6siLA3KkCOYfrg5nE9pA_24_0"/>
      <w:bookmarkStart w:id="445" w:name="Tc_5hekZhxXXkaCoVzvMXA_fw_22_25"/>
      <w:bookmarkStart w:id="446" w:name="Tc_81yvotJjnkW4346RwaTUgA_22_22"/>
      <w:bookmarkStart w:id="447" w:name="Tc_pT-TN5y-Z0eR0bB-f4Bzgw_22_19"/>
      <w:bookmarkStart w:id="448" w:name="Tc_W1rp_a0Ki02wgnplm6fynw_22_16"/>
      <w:bookmarkStart w:id="449" w:name="Tc_d-QlDZkWMUKznW3RjWAA9g_22_13"/>
      <w:bookmarkStart w:id="450" w:name="Tc_AaLp8xu4HESq-9M-02X4jg_22_8"/>
      <w:bookmarkStart w:id="451" w:name="Tc_L83grS13_02f3jPV5Xb72A_22_7"/>
      <w:bookmarkStart w:id="452" w:name="Tc_9jVER_EQf0yE4yha2mEx1w_22_5"/>
      <w:bookmarkStart w:id="453" w:name="Tc_7_1uq5BDMEuKjRSePbGOrA_22_2"/>
      <w:bookmarkStart w:id="454" w:name="Tc_nEFF-Pc8bk-7PhANhrMViQ_22_0"/>
      <w:bookmarkStart w:id="455" w:name="Tc_fhRFdS0IoEG6Hiv9BtNVIQ_21_23"/>
      <w:bookmarkStart w:id="456" w:name="Tc_o1xxeJVW9k6ajgYlfzkLPw_21_17"/>
      <w:bookmarkStart w:id="457" w:name="Tc_amC26yuE7Uy2you1ZS37Gw_21_14"/>
      <w:bookmarkStart w:id="458" w:name="Tc_Lm7YIEwBX06rGL-87K2l-g_21_11"/>
      <w:bookmarkStart w:id="459" w:name="Tc_EQCxs1pcU066hYyz9IYuMQ_21_8"/>
      <w:bookmarkStart w:id="460" w:name="Tc_YJqgyRWApUm1XEEQFfVhrQ_21_5"/>
      <w:bookmarkStart w:id="461" w:name="Tc_6LTvRIA7sEOZry3sJp2rNw_21_0"/>
      <w:bookmarkStart w:id="462" w:name="Tc_UMuegoeoYkGNFTowOgX0uA_20_23"/>
      <w:bookmarkStart w:id="463" w:name="Tc_VVUY-gC5yE-i2vbIGvAI_g_20_20"/>
      <w:bookmarkStart w:id="464" w:name="Tc_m22p6ZLxl0StLFghh2i8JA_20_14"/>
      <w:bookmarkStart w:id="465" w:name="Tc_1hB-gEBc3kCOVzIT6v6Cfw_20_11"/>
      <w:bookmarkStart w:id="466" w:name="Tc_SuROe4psKUWalxHXNORBXw_20_8"/>
      <w:bookmarkStart w:id="467" w:name="Tc_U9bT-PjMAEKtNCZypBRHLQ_20_5"/>
      <w:bookmarkStart w:id="468" w:name="Tc_Fv86Map1Z0aHxQQVKgmbjg_20_0"/>
      <w:bookmarkStart w:id="469" w:name="Tc_q4aPlWPVfUiSOMPaAjPHTQ_19_20"/>
      <w:bookmarkStart w:id="470" w:name="Tc_H9tu2ODK9Ey7cpgKclzf7w_19_17"/>
      <w:bookmarkStart w:id="471" w:name="Tc_uZTOPs_WCkGpwLiCfIC7Ew_19_14"/>
      <w:bookmarkStart w:id="472" w:name="Tc_ou1evywJF0OeD1E3rLRtNQ_19_11"/>
      <w:bookmarkStart w:id="473" w:name="Tc_DOoFUDCLQUKDIeksCR2fbQ_19_8"/>
      <w:bookmarkStart w:id="474" w:name="Tc_dGlUgVmeBEe-L06hVQrNWw_19_5"/>
      <w:bookmarkStart w:id="475" w:name="Tc_f5gwK-IkNUiWHU-fmnc8Bg_19_3"/>
      <w:bookmarkStart w:id="476" w:name="Tc_55gS_vNLGku4SnzxNZiz1Q_19_0"/>
      <w:bookmarkStart w:id="477" w:name="Tc_r9j8PjP7EE-yZlVCN-sWiw_18_23"/>
      <w:bookmarkStart w:id="478" w:name="Tc_ogZK_5ojDkGCcvYu0ylEIQ_18_14"/>
      <w:bookmarkStart w:id="479" w:name="Tc_ZybJv_6gSkKN9e47y9Ebhg_18_11"/>
      <w:bookmarkStart w:id="480" w:name="Tc_DJZfqPmrY0Cv-_olW3c0gw_18_8"/>
      <w:bookmarkStart w:id="481" w:name="Tc_5IEI1DafTkmr4F-TTSS46g_18_5"/>
      <w:bookmarkStart w:id="482" w:name="Tc_PJk82TlVH0-VLJ0gJW7gHg_18_0"/>
      <w:bookmarkStart w:id="483" w:name="Tc_mU7m1982pEWlSoxj3b0eRA_17_23"/>
      <w:bookmarkStart w:id="484" w:name="Tc_4RMb34f080yg98Vy87v72w_17_17"/>
      <w:bookmarkStart w:id="485" w:name="Tc_00azQcvEkUipyjcdRjtxKQ_17_14"/>
      <w:bookmarkStart w:id="486" w:name="Tc_v_GKLv2f1Ue6pyAdfv6iLg_17_11"/>
      <w:bookmarkStart w:id="487" w:name="Tc_VgwHlbdVB0C8YeRDx_g3sA_17_8"/>
      <w:bookmarkStart w:id="488" w:name="Tc_LV8tua5a5kqeahlHvxsdNQ_17_5"/>
      <w:bookmarkStart w:id="489" w:name="Tc_FnOfnS9IT02HgTmzg_RNKA_17_0"/>
      <w:bookmarkStart w:id="490" w:name="Tc_QxOReD-tOU208NXQJmeEvg_16_23"/>
      <w:bookmarkStart w:id="491" w:name="Tc_ePEWKbgCkkKDeE4CYhcfyg_16_20"/>
      <w:bookmarkStart w:id="492" w:name="Tc_L3M4-fvmoU2WrrBnsj8vPw_16_14"/>
      <w:bookmarkStart w:id="493" w:name="Tc_FgTaBH3FOUKqccN1b2HI2A_16_11"/>
      <w:bookmarkStart w:id="494" w:name="Tc_CPZy331iokO3AO1RLiulBA_16_8"/>
      <w:bookmarkStart w:id="495" w:name="Tc_Iy7eENkl8EuiIkDmIVHRHQ_16_5"/>
      <w:bookmarkStart w:id="496" w:name="Tc_o-f96AjyAk21kSzOUoGAow_16_3"/>
      <w:bookmarkStart w:id="497" w:name="Tc_XA1Sn23YqEOuapVH0vGbqQ_16_0"/>
      <w:bookmarkStart w:id="498" w:name="Tc_uYcXrURdTUKTlNLjWM_Fvg_15_26"/>
      <w:bookmarkStart w:id="499" w:name="Tc_o24cPl0B_kitI30rTJFg9Q_15_23"/>
      <w:bookmarkStart w:id="500" w:name="Tc_9VH0EukMsUqRWj8ZYnz0PQ_15_20"/>
      <w:bookmarkStart w:id="501" w:name="Tc_FOXVJQAXpEWLpThYnToP1A_15_17"/>
      <w:bookmarkStart w:id="502" w:name="Tc_w-_R1Lfsw0qUbTNRNdKHGg_15_14"/>
      <w:bookmarkStart w:id="503" w:name="Tc_8dV56RM-XEGWprHr9mlrSw_15_8"/>
      <w:bookmarkStart w:id="504" w:name="Tc_80TA2kkfuEWYFc2dBnRdIg_15_5"/>
      <w:bookmarkStart w:id="505" w:name="Tc_ZejccY88qE-SMO5vo2uPGA_15_3"/>
      <w:bookmarkStart w:id="506" w:name="Tc__DE4UO_4iUCGN9xzS03nwQ_15_0"/>
      <w:bookmarkStart w:id="507" w:name="Tc_4Up-fG5PPk6RZuT5W2IwOw_14_23"/>
      <w:bookmarkStart w:id="508" w:name="Tc_MZowmxvbX0-_JN7wDQiFPQ_14_20"/>
      <w:bookmarkStart w:id="509" w:name="Tc_C8wZy7ArkUCH_JugmgZ6xA_14_14"/>
      <w:bookmarkStart w:id="510" w:name="Tc_FboZ-Bm-FEa4rcYHKrLEqA_14_8"/>
      <w:bookmarkStart w:id="511" w:name="Tc_kY7cbvEesECdtRA9x2kpFA_14_5"/>
      <w:bookmarkStart w:id="512" w:name="Tc_r62gM4hcekK5ulpmEOmnlQ_14_3"/>
      <w:bookmarkStart w:id="513" w:name="Tc_31_bgnTA9EGdtwvdahdWgQ_14_0"/>
      <w:bookmarkStart w:id="514" w:name="Tc_mC3UgKhONEipjm18RyUdqA_13_23"/>
      <w:bookmarkStart w:id="515" w:name="Tc_TbP4liy1VUuI9KOqe4KxOw_13_20"/>
      <w:bookmarkStart w:id="516" w:name="Tc_3livGdHGB0uMIMs_ydDFdg_13_14"/>
      <w:bookmarkStart w:id="517" w:name="Tc_rzvMuSPTv0ir7bkY743RCg_13_11"/>
      <w:bookmarkStart w:id="518" w:name="Tc_b8kuCm6lkkmU0TsJDfZIvw_13_8"/>
      <w:bookmarkStart w:id="519" w:name="Tc_G-rL-pCl4UCi6Lp1YWUIyg_13_5"/>
      <w:bookmarkStart w:id="520" w:name="Tc_E1zGiQM0z0yENH0Z7pMfIg_13_3"/>
      <w:bookmarkStart w:id="521" w:name="Tc_IyOC9b9yjEW2barNjEmPhw_13_0"/>
      <w:bookmarkStart w:id="522" w:name="Tc_rLHKgPuwq0iQfLCveYiT4A_12_23"/>
      <w:bookmarkStart w:id="523" w:name="Tc_rUJln7v1BE6zM2vG1LRpdw_12_20"/>
      <w:bookmarkStart w:id="524" w:name="Tc_ro2QB35WwU-BEIYQqqd0xQ_12_8"/>
      <w:bookmarkStart w:id="525" w:name="Tc_QDPHd3hodkSSgzeXN97FbA_12_5"/>
      <w:bookmarkStart w:id="526" w:name="Tc_pUV7XdYQG0G_kMM7vXrpHg_12_3"/>
      <w:bookmarkStart w:id="527" w:name="Tc_9vvCzeVmxEmd7qJ63__I3A_12_0"/>
      <w:bookmarkStart w:id="528" w:name="Tc_k6TKqY18a0OYByIveSwS8w_11_23"/>
      <w:bookmarkStart w:id="529" w:name="Tc_EbolEniVNE2m_vKwaKXmUg_11_20"/>
      <w:bookmarkStart w:id="530" w:name="Tc_2aPm3H0VwkOtwskm63it5A_11_14"/>
      <w:bookmarkStart w:id="531" w:name="Tc_IhoqRt0dOEKXIvAWZT_0pQ_11_11"/>
      <w:bookmarkStart w:id="532" w:name="Tc_pOBwewJukE6Y5tsrg-iPQQ_11_8"/>
      <w:bookmarkStart w:id="533" w:name="Tc_-CxUG3ZTEkO3nHm9aSqnmA_11_5"/>
      <w:bookmarkStart w:id="534" w:name="Tc_PJPKxl1X3keFsDOrUvc8DQ_11_3"/>
      <w:bookmarkStart w:id="535" w:name="Tc_DgHjtUz4E0mlMU02yswphw_11_0"/>
      <w:bookmarkStart w:id="536" w:name="Tc_ZtM4QFUG00acibYI7OVgdg_10_23"/>
      <w:bookmarkStart w:id="537" w:name="Tc_rqG6GLEksE6yALyzDgr7GQ_10_20"/>
      <w:bookmarkStart w:id="538" w:name="Tc_mTiEGPc06EukU3JKZoPiQQ_10_14"/>
      <w:bookmarkStart w:id="539" w:name="Tc_FljW_4jwtUOgWi6uKL9_BQ_10_8"/>
      <w:bookmarkStart w:id="540" w:name="Tc_9c-kbJq160msCqFOmMxicw_10_5"/>
      <w:bookmarkStart w:id="541" w:name="Tc_7khwAuFGqUGDxCClCEk3FA_10_3"/>
      <w:bookmarkStart w:id="542" w:name="Tc_Z43BjKLpmEGsNoSLqVLR0w_10_0"/>
      <w:bookmarkStart w:id="543" w:name="Tc_CDwtVUeFqk2RCkx_KO82Pw_9_23"/>
      <w:bookmarkStart w:id="544" w:name="Tc_YiDU6Pc2R0OtECbmrEyjNQ_9_20"/>
      <w:bookmarkStart w:id="545" w:name="Tc_rL33fLFByUyH92GcM3Xb0Q_9_8"/>
      <w:bookmarkStart w:id="546" w:name="Tc_fBDv2oyurkWjNh26GUZGXw_9_5"/>
      <w:bookmarkStart w:id="547" w:name="Tc_MSqPXXUQI0-ZJGAwgJ9C4A_9_3"/>
      <w:bookmarkStart w:id="548" w:name="Tc_ugl7wNw8e0eo0AaslhN5eg_9_0"/>
      <w:bookmarkStart w:id="549" w:name="Tc_kItS4_nmPkG4P0NUQdUdTQ_8_23"/>
      <w:bookmarkStart w:id="550" w:name="Tc_KNScsrz020SciMd-Jhs3fw_8_20"/>
      <w:bookmarkStart w:id="551" w:name="Tc_12xDOzgm_k6eirzTLcBN0A_8_3"/>
      <w:bookmarkStart w:id="552" w:name="Tc_ZAb5KcHnkEmoPwop6ZC5rQ_8_0"/>
      <w:bookmarkStart w:id="553" w:name="Tc_URAz2oTFrUybWZvgHOm1aA_7_26"/>
      <w:bookmarkStart w:id="554" w:name="Tc_i0CfXUS87E-S9krJEAGuVQ_7_23"/>
      <w:bookmarkStart w:id="555" w:name="Tc_9umIClZN0kef7aPMrormtA_7_20"/>
      <w:bookmarkStart w:id="556" w:name="Tc_4_ng1vZ5MUGuXS59Q3QF-A_7_17"/>
      <w:bookmarkStart w:id="557" w:name="Tc_RldFJpunr0GlsWTI6px1TA_7_14"/>
      <w:bookmarkStart w:id="558" w:name="Tc_sfjqXmLF9ECh9hMz8Iym_g_7_11"/>
      <w:bookmarkStart w:id="559" w:name="Tc_wvN3xquATUy1T2DG4V1CMA_7_3"/>
      <w:bookmarkStart w:id="560" w:name="Tc_QvDqW4Az-UmuuanjgwGSpQ_7_0"/>
      <w:bookmarkStart w:id="561" w:name="Tc_ES-UjaeYUUqcjQwPVFKnfg_6_23"/>
      <w:bookmarkStart w:id="562" w:name="Tc_r56hh2MhnkyN5swM8bP6nw_6_17"/>
      <w:bookmarkStart w:id="563" w:name="Tc_ZDIj0uDClkWnpuyy7ce4yg_6_14"/>
      <w:bookmarkStart w:id="564" w:name="Tc_6jWsOtb49ECOQgcXcFnNfw_6_0"/>
      <w:bookmarkStart w:id="565" w:name="Tc_0oU1D179_k2XH89d1Wdpaw_5_26"/>
      <w:bookmarkStart w:id="566" w:name="Tc_yrEAVfnpykO_Sa9hw-TTng_5_23"/>
      <w:bookmarkStart w:id="567" w:name="Tc_GTYVg9hbNkWiPPM5iBO-fA_5_20"/>
      <w:bookmarkStart w:id="568" w:name="Tc__-Y4JR9z80m-ugkOnEVmsA_5_17"/>
      <w:bookmarkStart w:id="569" w:name="Tc_ucGVLOngzEqU3Hk3wUHSVg_5_14"/>
      <w:bookmarkStart w:id="570" w:name="Tc_hju7Otm8m0-XT08-hhMEow_5_8"/>
      <w:bookmarkStart w:id="571" w:name="Tc_qpweGgE9EEOXLqGPqGVMLg_5_3"/>
      <w:bookmarkStart w:id="572" w:name="Tc_m_s17_DlQ0CXgN7Rtz2InQ_5_0"/>
      <w:bookmarkStart w:id="573" w:name="Tc_G53qxHjIe0aKmeVIseUZQA_4_25"/>
      <w:bookmarkStart w:id="574" w:name="Tc_vjdxu03Am0WSeUK9nz0qgw_4_23"/>
      <w:bookmarkStart w:id="575" w:name="Tc_bW0w-B405UyY4MGGeoXXow_4_22"/>
      <w:bookmarkStart w:id="576" w:name="Tc_EX7HkE2MUUmy67z0nGRsLg_4_19"/>
      <w:bookmarkStart w:id="577" w:name="Tc_1DLJXlzrd0OWnZtbDz0hgg_4_17"/>
      <w:bookmarkStart w:id="578" w:name="Tc_rKC7VRHVc0GUYAwi2aajgg_4_16"/>
      <w:bookmarkStart w:id="579" w:name="Tc_ow7yY_84AEOu1O2R62fArw_4_14"/>
      <w:bookmarkStart w:id="580" w:name="Tc_N9M5KBPO3UCOFVU-LSBLuA_4_13"/>
      <w:bookmarkStart w:id="581" w:name="Tc_5a9r3JtPY0ibB98sdS5UPA_4_7"/>
      <w:bookmarkStart w:id="582" w:name="Tc_JZ56V-CvKUyOPBuIWlh8tA_4_2"/>
      <w:bookmarkStart w:id="583" w:name="Tc_g4XpqERAG0uZJL6CtGyztw_4_0"/>
      <w:bookmarkStart w:id="584" w:name="Tc_fAgxI0k3-0yGEdG_IU8z6A_3_25"/>
      <w:bookmarkStart w:id="585" w:name="Tc_hAdeiqJfOkePlkWZbEnnCg_3_22"/>
      <w:bookmarkStart w:id="586" w:name="Tc_GLSCULCw1Ei-d4V6lUe4lg_3_19"/>
      <w:bookmarkStart w:id="587" w:name="Tc_mwhTN8E7jEytKDUQLunGdg_3_16"/>
      <w:bookmarkStart w:id="588" w:name="Tc_8NHgfSEdmUOzJdZ67QSnmw_3_13"/>
      <w:bookmarkStart w:id="589" w:name="Tc__S6UtTmxMEmwuk1caCLKnw_3_11"/>
      <w:bookmarkStart w:id="590" w:name="Tc_MbyehlyvNE-N_4bxSWAgKQ_3_7"/>
      <w:bookmarkStart w:id="591" w:name="Tc_M2b7TE9XQ0qW0_1GMsu5Ng_3_5"/>
      <w:bookmarkStart w:id="592" w:name="Tc_yU91UwjnDUuNtebhj_u4qQ_3_2"/>
      <w:bookmarkStart w:id="593" w:name="Tc_EUqwRmz_b0Ov1LRQDV5DZQ_2_25"/>
      <w:bookmarkStart w:id="594" w:name="Tc_MNskTQ1L20qofwp3rqtXIg_2_22"/>
      <w:bookmarkStart w:id="595" w:name="Tc_65cWe3uB5EaM6LfbxT5jUg_2_19"/>
      <w:bookmarkStart w:id="596" w:name="Tc_LPKIR564yEydnlwV0jt24g_2_16"/>
      <w:bookmarkStart w:id="597" w:name="Tc_fVuSOrJT80e-qgNS2c1plQ_2_11"/>
      <w:bookmarkStart w:id="598" w:name="Tc_ckvNtvjWpEqh4tRh9WxNDA_2_5"/>
      <w:bookmarkStart w:id="599" w:name="Tc_r07MsrhYx0mOJ8JOEirJtQ_2_2"/>
      <w:bookmarkStart w:id="600" w:name="Tc_e4ZXgPUIeU6XBNnCbYm2mA_1_25"/>
      <w:bookmarkStart w:id="601" w:name="Tc_2H_YEqQMyU2VcPPZPUW_zQ_1_16"/>
      <w:bookmarkStart w:id="602" w:name="Tc_kNVlABXR8Uiv3CuPHDcyEg_1_11"/>
      <w:bookmarkStart w:id="603" w:name="Tc_XN46FGsajUKJaK3QZV5XnQ_1_5"/>
      <w:bookmarkStart w:id="604" w:name="Tc_l01QrDg8bkqOZDWwcHydSA_1_2"/>
      <w:bookmarkStart w:id="605" w:name="_9500d7f2_42a4_4672_bc0d_d8271679dd14"/>
      <w:bookmarkStart w:id="606" w:name="Tc_Iybp6QB1M0mC-yzWeAXYrQ_33_25"/>
      <w:bookmarkStart w:id="607" w:name="Tc_04b-QVVw60eeeqMYcV-WRA_33_23"/>
      <w:bookmarkStart w:id="608" w:name="Tc_H6W4hsqm5EqrSC3avmQgiw_33_22"/>
      <w:bookmarkStart w:id="609" w:name="Tc_EYARZsDnq0CGdmQpJ92qcA_33_19"/>
      <w:bookmarkStart w:id="610" w:name="Tc_SGlJLWFqAUKvX9JHAnMs0g_33_17"/>
      <w:bookmarkStart w:id="611" w:name="Tc_EC5Nb1ZV0UWScRkh4fiwDQ_33_16"/>
      <w:bookmarkStart w:id="612" w:name="Tc_BDrwbrf1ZEaXCsg-5-crfQ_33_14"/>
      <w:bookmarkStart w:id="613" w:name="Tc_mrYi3C-rCE-PPsnOqtKiLA_33_13"/>
      <w:bookmarkStart w:id="614" w:name="Tc_5r-0VI3u10OhcjmhCbmFdg_33_7"/>
      <w:bookmarkStart w:id="615" w:name="Tc_ld4kdnG8MkiSV1SJzWzJqQ_33_2"/>
      <w:bookmarkStart w:id="616" w:name="Tc_H2m2xPrwsUm-OllM8kiQ8Q_33_0"/>
      <w:bookmarkStart w:id="617" w:name="Tc_rA5grki1TEip0z07My7edQ_32_23"/>
      <w:bookmarkStart w:id="618" w:name="Tc_38xrgUP070uesNpexueKhQ_32_14"/>
      <w:bookmarkStart w:id="619" w:name="Tc_YR5kA3MsK0CXaDdQ7d-ABQ_32_11"/>
      <w:bookmarkStart w:id="620" w:name="Tc_5oI2RfA_FUa2t0Wa2cOQ_g_32_8"/>
      <w:bookmarkStart w:id="621" w:name="Tc__1AFBtiJOEaueksQ61wVVA_32_5"/>
      <w:bookmarkStart w:id="622" w:name="Tc__uZCWlO9NUeizPG24EwPhg_32_0"/>
      <w:bookmarkStart w:id="623" w:name="Tc_D4oJxbyhOk69OYjz-w9e-Q_31_23"/>
      <w:bookmarkStart w:id="624" w:name="Tc_sHhBLBkjgEChEsPD8VGZaQ_31_17"/>
      <w:bookmarkStart w:id="625" w:name="Tc_N7OBU1q0X0Wljg7W3CgXdg_31_14"/>
      <w:bookmarkStart w:id="626" w:name="Tc_Qfg9ySfbOEqp3JcL8VhBCg_31_11"/>
      <w:bookmarkStart w:id="627" w:name="Tc_cybSdqygNE-lBELe3CEg7g_31_8"/>
      <w:bookmarkStart w:id="628" w:name="Tc_cv3K21wYmEOm9IaqFP_A1w_31_5"/>
      <w:bookmarkStart w:id="629" w:name="Tc_46OpqiDF8EKF0bEyfgiU4Q_31_0"/>
      <w:bookmarkStart w:id="630" w:name="Tc_wOhv9XBIhUmlQ368yrNtEw_30_23"/>
      <w:bookmarkStart w:id="631" w:name="Tc_zUfVvg1aXE6NFrxHivGyxQ_30_20"/>
      <w:bookmarkStart w:id="632" w:name="Tc_uRpad-Usn0SYLOwp5qjmBQ_30_14"/>
      <w:bookmarkStart w:id="633" w:name="Tc_XxXu7jENZUaOUIK1MuJtFQ_30_11"/>
      <w:bookmarkStart w:id="634" w:name="Tc_L2s53sYYs0azQ1UMtestUA_30_8"/>
      <w:bookmarkStart w:id="635" w:name="Tc_xn7TbbqKkE6SuGYZTuyMkg_30_5"/>
      <w:bookmarkStart w:id="636" w:name="Tc_Nta3MhEHy0-uD7W4bSaiGw_30_3"/>
      <w:bookmarkStart w:id="637" w:name="Tc_nHTtFkEyv0m5wCpG_9hvLg_30_0"/>
      <w:bookmarkStart w:id="638" w:name="Tc_6idsjLuzFkWSh3th4BYs2A_29_26"/>
      <w:bookmarkStart w:id="639" w:name="Tc_9cmR0mduHkSY16WcgVlLdA_29_23"/>
      <w:bookmarkStart w:id="640" w:name="Tc_nsCYVEMuxESinIOOCzCvMg_29_20"/>
      <w:bookmarkStart w:id="641" w:name="Tc_AmbJRdj5Vk6RZtv-burM8g_29_17"/>
      <w:bookmarkStart w:id="642" w:name="Tc_HU18e9p7IUmVvrOJpibEmw_29_14"/>
      <w:bookmarkStart w:id="643" w:name="Tc_7lBHliMYyEu8eYvmhfR-PQ_29_8"/>
      <w:bookmarkStart w:id="644" w:name="Tc_1I4dJGvCjE2y2anhglQHrg_29_5"/>
      <w:bookmarkStart w:id="645" w:name="Tc__HvtiCBBr0yc7g9-EHbAmg_29_3"/>
      <w:bookmarkStart w:id="646" w:name="Tc_L4b1cK0BHEu2ug1AhwExyA_29_0"/>
      <w:bookmarkStart w:id="647" w:name="Tc_eo0cAN7lz0eZOGREwIY7Ew_28_26"/>
      <w:bookmarkStart w:id="648" w:name="Tc_aBWrcRwLqUe3SNtv_larzQ_28_23"/>
      <w:bookmarkStart w:id="649" w:name="Tc_5J9sAa7k1kq4_3cXLYuTyA_28_20"/>
      <w:bookmarkStart w:id="650" w:name="Tc_q2WhGEqTIEWZMZomeN1MQw_28_17"/>
      <w:bookmarkStart w:id="651" w:name="Tc_Baq1oXSeIkWN6h9lej17ug_28_14"/>
      <w:bookmarkStart w:id="652" w:name="Tc_Q-Q6ayY8lUCqzBavAOKyiQ_28_11"/>
      <w:bookmarkStart w:id="653" w:name="Tc_xMIToZ78SUi7G3EYelmaSQ_28_8"/>
      <w:bookmarkStart w:id="654" w:name="Tc_2-0tGIQhOke6yaW5Iyxpyg_28_5"/>
      <w:bookmarkStart w:id="655" w:name="Tc_TOraKqAAxkaTKOBzBMRhMg_28_0"/>
      <w:bookmarkStart w:id="656" w:name="Tc_p0QwuG0bCUysF-n7tb-v2w_27_26"/>
      <w:bookmarkStart w:id="657" w:name="Tc_-B54mmdo_kmQocW99Wn1aw_27_23"/>
      <w:bookmarkStart w:id="658" w:name="Tc_jEo9pGM9aEe-UaltgZuZ9Q_27_20"/>
      <w:bookmarkStart w:id="659" w:name="Tc_EiC3R1pgDEOSdGCPJZwWUw_27_17"/>
      <w:bookmarkStart w:id="660" w:name="Tc_dxJM7MXbWkWsdABMHmoOlA_27_14"/>
      <w:bookmarkStart w:id="661" w:name="Tc_n-KGj01A8EmIcaOezBS0Ew_27_11"/>
      <w:bookmarkStart w:id="662" w:name="Tc_M2SjWJlSzEOiRd4JXJ7ezg_27_3"/>
      <w:bookmarkStart w:id="663" w:name="Tc__dYUxmxo80SOlFDb83c0tg_27_0"/>
      <w:bookmarkStart w:id="664" w:name="Tc_y1IJDiqUf0qE79gaUzidMw_26_26"/>
      <w:bookmarkStart w:id="665" w:name="Tc_KFI73O1EVU21x3y90JjS4Q_26_23"/>
      <w:bookmarkStart w:id="666" w:name="Tc_Q-0PG2KHsUavgEUeKYtkJw_26_20"/>
      <w:bookmarkStart w:id="667" w:name="Tc_IGWrb12Ns0GVtkZ7gO1vCQ_26_17"/>
      <w:bookmarkStart w:id="668" w:name="Tc_27P7bbqSqUuB8ve9T8_CGQ_26_14"/>
      <w:bookmarkStart w:id="669" w:name="Tc_bi6YfgSur0iVl1VvpNKCjw_26_11"/>
      <w:bookmarkStart w:id="670" w:name="Tc_QwN6Q0fNNEqI2FNJ7hMXoQ_26_3"/>
      <w:bookmarkStart w:id="671" w:name="Tc_WGNaxbXfH0WCyKYGSql_XA_26_0"/>
      <w:bookmarkStart w:id="672" w:name="Tc_nnDRXiH5dUyLY0boj6hrdA_25_26"/>
      <w:bookmarkStart w:id="673" w:name="Tc_gIxP1i7n6kOQqPlgPcutZw_25_23"/>
      <w:bookmarkStart w:id="674" w:name="Tc_eWmPeTOsXEeRr7R6DaSivw_25_20"/>
      <w:bookmarkStart w:id="675" w:name="Tc_9L1bw_zABUOs5EQmQP2NcQ_25_17"/>
      <w:bookmarkStart w:id="676" w:name="Tc_slHZJUQVukSQHKn1XSW3Mw_25_14"/>
      <w:bookmarkStart w:id="677" w:name="Tc_BUtnxPaIpU2qkdEkCJ8fbA_25_8"/>
      <w:bookmarkStart w:id="678" w:name="Tc_iK9QqkfRik6Bo9z1C549jg_25_5"/>
      <w:bookmarkStart w:id="679" w:name="Tc_U6T2VC9l30Wm0HWJY0oL3A_25_3"/>
      <w:bookmarkStart w:id="680" w:name="Tc_3YI9qyiPrUKokAripysxYw_25_0"/>
      <w:bookmarkStart w:id="681" w:name="Tc_1K1IYQhv4kyR3l38DWXSwg_24_25"/>
      <w:bookmarkStart w:id="682" w:name="Tc_jxPb3lWbBUmzXEYOtkKzIQ_24_22"/>
      <w:bookmarkStart w:id="683" w:name="Tc_37D8Mm_iTku7Dqp8MwpYfw_24_19"/>
      <w:bookmarkStart w:id="684" w:name="Tc_WWpiZPTbQ0iOfwSTqqOzdw_24_16"/>
      <w:bookmarkStart w:id="685" w:name="Tc_qQBVih_Jqky0GCOg5ldNpw_24_13"/>
      <w:bookmarkStart w:id="686" w:name="Tc_gyycvo8GVU2GeAyiKczzxQ_24_7"/>
      <w:bookmarkStart w:id="687" w:name="Tc_xXsE5ih79k-o1djE0Ief2g_24_2"/>
      <w:bookmarkStart w:id="688" w:name="Tc_Bp6siLA3KkCOYfrg5nE9pA_24_0"/>
      <w:bookmarkStart w:id="689" w:name="Tc_5hekZhxXXkaCoVzvMXA_fw_22_25"/>
      <w:bookmarkStart w:id="690" w:name="Tc_81yvotJjnkW4346RwaTUgA_22_22"/>
      <w:bookmarkStart w:id="691" w:name="Tc_pT-TN5y-Z0eR0bB-f4Bzgw_22_19"/>
      <w:bookmarkStart w:id="692" w:name="Tc_W1rp_a0Ki02wgnplm6fynw_22_16"/>
      <w:bookmarkStart w:id="693" w:name="Tc_d-QlDZkWMUKznW3RjWAA9g_22_13"/>
      <w:bookmarkStart w:id="694" w:name="Tc_AaLp8xu4HESq-9M-02X4jg_22_8"/>
      <w:bookmarkStart w:id="695" w:name="Tc_L83grS13_02f3jPV5Xb72A_22_7"/>
      <w:bookmarkStart w:id="696" w:name="Tc_9jVER_EQf0yE4yha2mEx1w_22_5"/>
      <w:bookmarkStart w:id="697" w:name="Tc_7_1uq5BDMEuKjRSePbGOrA_22_2"/>
      <w:bookmarkStart w:id="698" w:name="Tc_nEFF-Pc8bk-7PhANhrMViQ_22_0"/>
      <w:bookmarkStart w:id="699" w:name="Tc_fhRFdS0IoEG6Hiv9BtNVIQ_21_23"/>
      <w:bookmarkStart w:id="700" w:name="Tc_o1xxeJVW9k6ajgYlfzkLPw_21_17"/>
      <w:bookmarkStart w:id="701" w:name="Tc_amC26yuE7Uy2you1ZS37Gw_21_14"/>
      <w:bookmarkStart w:id="702" w:name="Tc_Lm7YIEwBX06rGL-87K2l-g_21_11"/>
      <w:bookmarkStart w:id="703" w:name="Tc_EQCxs1pcU066hYyz9IYuMQ_21_8"/>
      <w:bookmarkStart w:id="704" w:name="Tc_YJqgyRWApUm1XEEQFfVhrQ_21_5"/>
      <w:bookmarkStart w:id="705" w:name="Tc_6LTvRIA7sEOZry3sJp2rNw_21_0"/>
      <w:bookmarkStart w:id="706" w:name="Tc_UMuegoeoYkGNFTowOgX0uA_20_23"/>
      <w:bookmarkStart w:id="707" w:name="Tc_VVUY-gC5yE-i2vbIGvAI_g_20_20"/>
      <w:bookmarkStart w:id="708" w:name="Tc_m22p6ZLxl0StLFghh2i8JA_20_14"/>
      <w:bookmarkStart w:id="709" w:name="Tc_1hB-gEBc3kCOVzIT6v6Cfw_20_11"/>
      <w:bookmarkStart w:id="710" w:name="Tc_SuROe4psKUWalxHXNORBXw_20_8"/>
      <w:bookmarkStart w:id="711" w:name="Tc_U9bT-PjMAEKtNCZypBRHLQ_20_5"/>
      <w:bookmarkStart w:id="712" w:name="Tc_Fv86Map1Z0aHxQQVKgmbjg_20_0"/>
      <w:bookmarkStart w:id="713" w:name="Tc_q4aPlWPVfUiSOMPaAjPHTQ_19_20"/>
      <w:bookmarkStart w:id="714" w:name="Tc_H9tu2ODK9Ey7cpgKclzf7w_19_17"/>
      <w:bookmarkStart w:id="715" w:name="Tc_uZTOPs_WCkGpwLiCfIC7Ew_19_14"/>
      <w:bookmarkStart w:id="716" w:name="Tc_ou1evywJF0OeD1E3rLRtNQ_19_11"/>
      <w:bookmarkStart w:id="717" w:name="Tc_DOoFUDCLQUKDIeksCR2fbQ_19_8"/>
      <w:bookmarkStart w:id="718" w:name="Tc_dGlUgVmeBEe-L06hVQrNWw_19_5"/>
      <w:bookmarkStart w:id="719" w:name="Tc_f5gwK-IkNUiWHU-fmnc8Bg_19_3"/>
      <w:bookmarkStart w:id="720" w:name="Tc_55gS_vNLGku4SnzxNZiz1Q_19_0"/>
      <w:bookmarkStart w:id="721" w:name="Tc_r9j8PjP7EE-yZlVCN-sWiw_18_23"/>
      <w:bookmarkStart w:id="722" w:name="Tc_ogZK_5ojDkGCcvYu0ylEIQ_18_14"/>
      <w:bookmarkStart w:id="723" w:name="Tc_ZybJv_6gSkKN9e47y9Ebhg_18_11"/>
      <w:bookmarkStart w:id="724" w:name="Tc_DJZfqPmrY0Cv-_olW3c0gw_18_8"/>
      <w:bookmarkStart w:id="725" w:name="Tc_5IEI1DafTkmr4F-TTSS46g_18_5"/>
      <w:bookmarkStart w:id="726" w:name="Tc_PJk82TlVH0-VLJ0gJW7gHg_18_0"/>
      <w:bookmarkStart w:id="727" w:name="Tc_mU7m1982pEWlSoxj3b0eRA_17_23"/>
      <w:bookmarkStart w:id="728" w:name="Tc_4RMb34f080yg98Vy87v72w_17_17"/>
      <w:bookmarkStart w:id="729" w:name="Tc_00azQcvEkUipyjcdRjtxKQ_17_14"/>
      <w:bookmarkStart w:id="730" w:name="Tc_v_GKLv2f1Ue6pyAdfv6iLg_17_11"/>
      <w:bookmarkStart w:id="731" w:name="Tc_VgwHlbdVB0C8YeRDx_g3sA_17_8"/>
      <w:bookmarkStart w:id="732" w:name="Tc_LV8tua5a5kqeahlHvxsdNQ_17_5"/>
      <w:bookmarkStart w:id="733" w:name="Tc_FnOfnS9IT02HgTmzg_RNKA_17_0"/>
      <w:bookmarkStart w:id="734" w:name="Tc_QxOReD-tOU208NXQJmeEvg_16_23"/>
      <w:bookmarkStart w:id="735" w:name="Tc_ePEWKbgCkkKDeE4CYhcfyg_16_20"/>
      <w:bookmarkStart w:id="736" w:name="Tc_L3M4-fvmoU2WrrBnsj8vPw_16_14"/>
      <w:bookmarkStart w:id="737" w:name="Tc_FgTaBH3FOUKqccN1b2HI2A_16_11"/>
      <w:bookmarkStart w:id="738" w:name="Tc_CPZy331iokO3AO1RLiulBA_16_8"/>
      <w:bookmarkStart w:id="739" w:name="Tc_Iy7eENkl8EuiIkDmIVHRHQ_16_5"/>
      <w:bookmarkStart w:id="740" w:name="Tc_o-f96AjyAk21kSzOUoGAow_16_3"/>
      <w:bookmarkStart w:id="741" w:name="Tc_XA1Sn23YqEOuapVH0vGbqQ_16_0"/>
      <w:bookmarkStart w:id="742" w:name="Tc_uYcXrURdTUKTlNLjWM_Fvg_15_26"/>
      <w:bookmarkStart w:id="743" w:name="Tc_o24cPl0B_kitI30rTJFg9Q_15_23"/>
      <w:bookmarkStart w:id="744" w:name="Tc_9VH0EukMsUqRWj8ZYnz0PQ_15_20"/>
      <w:bookmarkStart w:id="745" w:name="Tc_FOXVJQAXpEWLpThYnToP1A_15_17"/>
      <w:bookmarkStart w:id="746" w:name="Tc_w-_R1Lfsw0qUbTNRNdKHGg_15_14"/>
      <w:bookmarkStart w:id="747" w:name="Tc_8dV56RM-XEGWprHr9mlrSw_15_8"/>
      <w:bookmarkStart w:id="748" w:name="Tc_80TA2kkfuEWYFc2dBnRdIg_15_5"/>
      <w:bookmarkStart w:id="749" w:name="Tc_ZejccY88qE-SMO5vo2uPGA_15_3"/>
      <w:bookmarkStart w:id="750" w:name="Tc__DE4UO_4iUCGN9xzS03nwQ_15_0"/>
      <w:bookmarkStart w:id="751" w:name="Tc_4Up-fG5PPk6RZuT5W2IwOw_14_23"/>
      <w:bookmarkStart w:id="752" w:name="Tc_MZowmxvbX0-_JN7wDQiFPQ_14_20"/>
      <w:bookmarkStart w:id="753" w:name="Tc_C8wZy7ArkUCH_JugmgZ6xA_14_14"/>
      <w:bookmarkStart w:id="754" w:name="Tc_FboZ-Bm-FEa4rcYHKrLEqA_14_8"/>
      <w:bookmarkStart w:id="755" w:name="Tc_kY7cbvEesECdtRA9x2kpFA_14_5"/>
      <w:bookmarkStart w:id="756" w:name="Tc_r62gM4hcekK5ulpmEOmnlQ_14_3"/>
      <w:bookmarkStart w:id="757" w:name="Tc_31_bgnTA9EGdtwvdahdWgQ_14_0"/>
      <w:bookmarkStart w:id="758" w:name="Tc_mC3UgKhONEipjm18RyUdqA_13_23"/>
      <w:bookmarkStart w:id="759" w:name="Tc_TbP4liy1VUuI9KOqe4KxOw_13_20"/>
      <w:bookmarkStart w:id="760" w:name="Tc_3livGdHGB0uMIMs_ydDFdg_13_14"/>
      <w:bookmarkStart w:id="761" w:name="Tc_rzvMuSPTv0ir7bkY743RCg_13_11"/>
      <w:bookmarkStart w:id="762" w:name="Tc_b8kuCm6lkkmU0TsJDfZIvw_13_8"/>
      <w:bookmarkStart w:id="763" w:name="Tc_G-rL-pCl4UCi6Lp1YWUIyg_13_5"/>
      <w:bookmarkStart w:id="764" w:name="Tc_E1zGiQM0z0yENH0Z7pMfIg_13_3"/>
      <w:bookmarkStart w:id="765" w:name="Tc_IyOC9b9yjEW2barNjEmPhw_13_0"/>
      <w:bookmarkStart w:id="766" w:name="Tc_rLHKgPuwq0iQfLCveYiT4A_12_23"/>
      <w:bookmarkStart w:id="767" w:name="Tc_rUJln7v1BE6zM2vG1LRpdw_12_20"/>
      <w:bookmarkStart w:id="768" w:name="Tc_ro2QB35WwU-BEIYQqqd0xQ_12_8"/>
      <w:bookmarkStart w:id="769" w:name="Tc_QDPHd3hodkSSgzeXN97FbA_12_5"/>
      <w:bookmarkStart w:id="770" w:name="Tc_pUV7XdYQG0G_kMM7vXrpHg_12_3"/>
      <w:bookmarkStart w:id="771" w:name="Tc_9vvCzeVmxEmd7qJ63__I3A_12_0"/>
      <w:bookmarkStart w:id="772" w:name="Tc_k6TKqY18a0OYByIveSwS8w_11_23"/>
      <w:bookmarkStart w:id="773" w:name="Tc_EbolEniVNE2m_vKwaKXmUg_11_20"/>
      <w:bookmarkStart w:id="774" w:name="Tc_2aPm3H0VwkOtwskm63it5A_11_14"/>
      <w:bookmarkStart w:id="775" w:name="Tc_IhoqRt0dOEKXIvAWZT_0pQ_11_11"/>
      <w:bookmarkStart w:id="776" w:name="Tc_pOBwewJukE6Y5tsrg-iPQQ_11_8"/>
      <w:bookmarkStart w:id="777" w:name="Tc_-CxUG3ZTEkO3nHm9aSqnmA_11_5"/>
      <w:bookmarkStart w:id="778" w:name="Tc_PJPKxl1X3keFsDOrUvc8DQ_11_3"/>
      <w:bookmarkStart w:id="779" w:name="Tc_DgHjtUz4E0mlMU02yswphw_11_0"/>
      <w:bookmarkStart w:id="780" w:name="Tc_ZtM4QFUG00acibYI7OVgdg_10_23"/>
      <w:bookmarkStart w:id="781" w:name="Tc_rqG6GLEksE6yALyzDgr7GQ_10_20"/>
      <w:bookmarkStart w:id="782" w:name="Tc_mTiEGPc06EukU3JKZoPiQQ_10_14"/>
      <w:bookmarkStart w:id="783" w:name="Tc_FljW_4jwtUOgWi6uKL9_BQ_10_8"/>
      <w:bookmarkStart w:id="784" w:name="Tc_9c-kbJq160msCqFOmMxicw_10_5"/>
      <w:bookmarkStart w:id="785" w:name="Tc_7khwAuFGqUGDxCClCEk3FA_10_3"/>
      <w:bookmarkStart w:id="786" w:name="Tc_Z43BjKLpmEGsNoSLqVLR0w_10_0"/>
      <w:bookmarkStart w:id="787" w:name="Tc_CDwtVUeFqk2RCkx_KO82Pw_9_23"/>
      <w:bookmarkStart w:id="788" w:name="Tc_YiDU6Pc2R0OtECbmrEyjNQ_9_20"/>
      <w:bookmarkStart w:id="789" w:name="Tc_rL33fLFByUyH92GcM3Xb0Q_9_8"/>
      <w:bookmarkStart w:id="790" w:name="Tc_fBDv2oyurkWjNh26GUZGXw_9_5"/>
      <w:bookmarkStart w:id="791" w:name="Tc_MSqPXXUQI0-ZJGAwgJ9C4A_9_3"/>
      <w:bookmarkStart w:id="792" w:name="Tc_ugl7wNw8e0eo0AaslhN5eg_9_0"/>
      <w:bookmarkStart w:id="793" w:name="Tc_kItS4_nmPkG4P0NUQdUdTQ_8_23"/>
      <w:bookmarkStart w:id="794" w:name="Tc_KNScsrz020SciMd-Jhs3fw_8_20"/>
      <w:bookmarkStart w:id="795" w:name="Tc_12xDOzgm_k6eirzTLcBN0A_8_3"/>
      <w:bookmarkStart w:id="796" w:name="Tc_ZAb5KcHnkEmoPwop6ZC5rQ_8_0"/>
      <w:bookmarkStart w:id="797" w:name="Tc_URAz2oTFrUybWZvgHOm1aA_7_26"/>
      <w:bookmarkStart w:id="798" w:name="Tc_i0CfXUS87E-S9krJEAGuVQ_7_23"/>
      <w:bookmarkStart w:id="799" w:name="Tc_9umIClZN0kef7aPMrormtA_7_20"/>
      <w:bookmarkStart w:id="800" w:name="Tc_4_ng1vZ5MUGuXS59Q3QF-A_7_17"/>
      <w:bookmarkStart w:id="801" w:name="Tc_RldFJpunr0GlsWTI6px1TA_7_14"/>
      <w:bookmarkStart w:id="802" w:name="Tc_sfjqXmLF9ECh9hMz8Iym_g_7_11"/>
      <w:bookmarkStart w:id="803" w:name="Tc_wvN3xquATUy1T2DG4V1CMA_7_3"/>
      <w:bookmarkStart w:id="804" w:name="Tc_QvDqW4Az-UmuuanjgwGSpQ_7_0"/>
      <w:bookmarkStart w:id="805" w:name="Tc_ES-UjaeYUUqcjQwPVFKnfg_6_23"/>
      <w:bookmarkStart w:id="806" w:name="Tc_r56hh2MhnkyN5swM8bP6nw_6_17"/>
      <w:bookmarkStart w:id="807" w:name="Tc_ZDIj0uDClkWnpuyy7ce4yg_6_14"/>
      <w:bookmarkStart w:id="808" w:name="Tc_6jWsOtb49ECOQgcXcFnNfw_6_0"/>
      <w:bookmarkStart w:id="809" w:name="Tc_0oU1D179_k2XH89d1Wdpaw_5_26"/>
      <w:bookmarkStart w:id="810" w:name="Tc_yrEAVfnpykO_Sa9hw-TTng_5_23"/>
      <w:bookmarkStart w:id="811" w:name="Tc_GTYVg9hbNkWiPPM5iBO-fA_5_20"/>
      <w:bookmarkStart w:id="812" w:name="Tc__-Y4JR9z80m-ugkOnEVmsA_5_17"/>
      <w:bookmarkStart w:id="813" w:name="Tc_ucGVLOngzEqU3Hk3wUHSVg_5_14"/>
      <w:bookmarkStart w:id="814" w:name="Tc_hju7Otm8m0-XT08-hhMEow_5_8"/>
      <w:bookmarkStart w:id="815" w:name="Tc_qpweGgE9EEOXLqGPqGVMLg_5_3"/>
      <w:bookmarkStart w:id="816" w:name="Tc_m_s17_DlQ0CXgN7Rtz2InQ_5_0"/>
      <w:bookmarkStart w:id="817" w:name="Tc_G53qxHjIe0aKmeVIseUZQA_4_25"/>
      <w:bookmarkStart w:id="818" w:name="Tc_vjdxu03Am0WSeUK9nz0qgw_4_23"/>
      <w:bookmarkStart w:id="819" w:name="Tc_bW0w-B405UyY4MGGeoXXow_4_22"/>
      <w:bookmarkStart w:id="820" w:name="Tc_EX7HkE2MUUmy67z0nGRsLg_4_19"/>
      <w:bookmarkStart w:id="821" w:name="Tc_1DLJXlzrd0OWnZtbDz0hgg_4_17"/>
      <w:bookmarkStart w:id="822" w:name="Tc_rKC7VRHVc0GUYAwi2aajgg_4_16"/>
      <w:bookmarkStart w:id="823" w:name="Tc_ow7yY_84AEOu1O2R62fArw_4_14"/>
      <w:bookmarkStart w:id="824" w:name="Tc_N9M5KBPO3UCOFVU-LSBLuA_4_13"/>
      <w:bookmarkStart w:id="825" w:name="Tc_5a9r3JtPY0ibB98sdS5UPA_4_7"/>
      <w:bookmarkStart w:id="826" w:name="Tc_JZ56V-CvKUyOPBuIWlh8tA_4_2"/>
      <w:bookmarkStart w:id="827" w:name="Tc_g4XpqERAG0uZJL6CtGyztw_4_0"/>
      <w:bookmarkStart w:id="828" w:name="Tc_fAgxI0k3-0yGEdG_IU8z6A_3_25"/>
      <w:bookmarkStart w:id="829" w:name="Tc_hAdeiqJfOkePlkWZbEnnCg_3_22"/>
      <w:bookmarkStart w:id="830" w:name="Tc_GLSCULCw1Ei-d4V6lUe4lg_3_19"/>
      <w:bookmarkStart w:id="831" w:name="Tc_mwhTN8E7jEytKDUQLunGdg_3_16"/>
      <w:bookmarkStart w:id="832" w:name="Tc_8NHgfSEdmUOzJdZ67QSnmw_3_13"/>
      <w:bookmarkStart w:id="833" w:name="Tc__S6UtTmxMEmwuk1caCLKnw_3_11"/>
      <w:bookmarkStart w:id="834" w:name="Tc_MbyehlyvNE-N_4bxSWAgKQ_3_7"/>
      <w:bookmarkStart w:id="835" w:name="Tc_M2b7TE9XQ0qW0_1GMsu5Ng_3_5"/>
      <w:bookmarkStart w:id="836" w:name="Tc_yU91UwjnDUuNtebhj_u4qQ_3_2"/>
      <w:bookmarkStart w:id="837" w:name="Tc_EUqwRmz_b0Ov1LRQDV5DZQ_2_25"/>
      <w:bookmarkStart w:id="838" w:name="Tc_MNskTQ1L20qofwp3rqtXIg_2_22"/>
      <w:bookmarkStart w:id="839" w:name="Tc_65cWe3uB5EaM6LfbxT5jUg_2_19"/>
      <w:bookmarkStart w:id="840" w:name="Tc_LPKIR564yEydnlwV0jt24g_2_16"/>
      <w:bookmarkStart w:id="841" w:name="Tc_fVuSOrJT80e-qgNS2c1plQ_2_11"/>
      <w:bookmarkStart w:id="842" w:name="Tc_ckvNtvjWpEqh4tRh9WxNDA_2_5"/>
      <w:bookmarkStart w:id="843" w:name="Tc_r07MsrhYx0mOJ8JOEirJtQ_2_2"/>
      <w:bookmarkStart w:id="844" w:name="Tc_e4ZXgPUIeU6XBNnCbYm2mA_1_25"/>
      <w:bookmarkStart w:id="845" w:name="Tc_2H_YEqQMyU2VcPPZPUW_zQ_1_16"/>
      <w:bookmarkStart w:id="846" w:name="Tc_kNVlABXR8Uiv3CuPHDcyEg_1_11"/>
      <w:bookmarkStart w:id="847" w:name="Tc_XN46FGsajUKJaK3QZV5XnQ_1_5"/>
      <w:bookmarkStart w:id="848" w:name="Tc_l01QrDg8bkqOZDWwcHydSA_1_2"/>
      <w:bookmarkStart w:id="849" w:name="_9500d7f2_42a4_4672_bc0d_d8271679dd14"/>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tbl>
      <w:tblPr>
        <w:tblW w:w="13277" w:type="dxa"/>
        <w:jc w:val="left"/>
        <w:tblInd w:w="0" w:type="dxa"/>
        <w:tblLayout w:type="fixed"/>
        <w:tblCellMar>
          <w:top w:w="0" w:type="dxa"/>
          <w:left w:w="0" w:type="dxa"/>
          <w:bottom w:w="0" w:type="dxa"/>
          <w:right w:w="0" w:type="dxa"/>
        </w:tblCellMar>
      </w:tblPr>
      <w:tblGrid>
        <w:gridCol w:w="1261"/>
        <w:gridCol w:w="326"/>
        <w:gridCol w:w="295"/>
        <w:gridCol w:w="906"/>
        <w:gridCol w:w="326"/>
        <w:gridCol w:w="976"/>
        <w:gridCol w:w="326"/>
        <w:gridCol w:w="196"/>
        <w:gridCol w:w="661"/>
        <w:gridCol w:w="206"/>
        <w:gridCol w:w="206"/>
        <w:gridCol w:w="916"/>
        <w:gridCol w:w="326"/>
        <w:gridCol w:w="249"/>
        <w:gridCol w:w="442"/>
        <w:gridCol w:w="326"/>
        <w:gridCol w:w="196"/>
        <w:gridCol w:w="691"/>
        <w:gridCol w:w="326"/>
        <w:gridCol w:w="217"/>
        <w:gridCol w:w="834"/>
        <w:gridCol w:w="326"/>
        <w:gridCol w:w="332"/>
        <w:gridCol w:w="869"/>
        <w:gridCol w:w="326"/>
        <w:gridCol w:w="264"/>
        <w:gridCol w:w="952"/>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00735" cy="175260"/>
                      <wp:effectExtent l="0" t="0" r="0" b="0"/>
                      <wp:wrapNone/>
                      <wp:docPr id="95" name="Frame8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6"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7325" cy="175260"/>
                      <wp:effectExtent l="0" t="0" r="0" b="0"/>
                      <wp:wrapNone/>
                      <wp:docPr id="97" name="Frame9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75310" cy="175260"/>
                      <wp:effectExtent l="0" t="0" r="0" b="0"/>
                      <wp:wrapNone/>
                      <wp:docPr id="98" name="Frame9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99"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19760" cy="175260"/>
                      <wp:effectExtent l="0" t="0" r="0" b="0"/>
                      <wp:wrapNone/>
                      <wp:docPr id="100" name="Frame9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1"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2" name="Frame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19735" cy="175260"/>
                      <wp:effectExtent l="0" t="0" r="0" b="0"/>
                      <wp:wrapNone/>
                      <wp:docPr id="103" name="Frame9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0810" cy="175260"/>
                      <wp:effectExtent l="0" t="0" r="0" b="0"/>
                      <wp:wrapNone/>
                      <wp:docPr id="104" name="Frame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0810" cy="175260"/>
                      <wp:effectExtent l="0" t="0" r="0" b="0"/>
                      <wp:wrapNone/>
                      <wp:docPr id="105" name="Frame9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81660" cy="175260"/>
                      <wp:effectExtent l="0" t="0" r="0" b="0"/>
                      <wp:wrapNone/>
                      <wp:docPr id="106" name="Frame10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07"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8115" cy="175260"/>
                      <wp:effectExtent l="0" t="0" r="0" b="0"/>
                      <wp:wrapNone/>
                      <wp:docPr id="108" name="Frame10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80670" cy="175260"/>
                      <wp:effectExtent l="0" t="0" r="0" b="0"/>
                      <wp:wrapNone/>
                      <wp:docPr id="109" name="Frame10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0"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1"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2" name="Frame1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3"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7795" cy="175260"/>
                      <wp:effectExtent l="0" t="0" r="0" b="0"/>
                      <wp:wrapNone/>
                      <wp:docPr id="114" name="Frame10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29590" cy="175260"/>
                      <wp:effectExtent l="0" t="0" r="0" b="0"/>
                      <wp:wrapNone/>
                      <wp:docPr id="115" name="Frame10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16"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0820" cy="175260"/>
                      <wp:effectExtent l="0" t="0" r="0" b="0"/>
                      <wp:wrapNone/>
                      <wp:docPr id="117" name="Frame11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51815" cy="175260"/>
                      <wp:effectExtent l="0" t="0" r="0" b="0"/>
                      <wp:wrapNone/>
                      <wp:docPr id="118" name="Frame11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19"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7640" cy="175260"/>
                      <wp:effectExtent l="0" t="0" r="0" b="0"/>
                      <wp:wrapNone/>
                      <wp:docPr id="120" name="Frame114"/>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04520" cy="175260"/>
                      <wp:effectExtent l="0" t="0" r="0" b="0"/>
                      <wp:wrapNone/>
                      <wp:docPr id="121" name="Frame115"/>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1"/>
              <w:ind w:left="0" w:right="0" w:hanging="0"/>
              <w:jc w:val="center"/>
              <w:rPr/>
            </w:pPr>
            <w:r>
              <w:rPr/>
              <w:t>    </w:t>
            </w:r>
          </w:p>
        </w:tc>
        <w:tc>
          <w:tcPr>
            <w:tcW w:w="215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  </w:t>
            </w:r>
          </w:p>
        </w:tc>
        <w:tc>
          <w:tcPr>
            <w:tcW w:w="193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2159"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2"/>
              </w:rPr>
              <w:t>(1)</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125,000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12,500</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3,548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(32,056)</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(32,056)</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Recapitalization, net of forfeited shares</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13,385,415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276,172</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13,510,415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12,500</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279,720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(32,056)</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(32,056)</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Series A-1 convertible preferred shares as license compensation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267,939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2,186</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Series A-1 convertible preferred shares to Class A Ordinary Shares in connection with Business Combination</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(13,778,354)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(14,686)</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13,778,354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14,684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14,686</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Business Combination, including PIPE Investment, Forward Purchase Investment, and Backstop Shares, net of $4.0 million of transaction costs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12,444,081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48,350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48,351</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to settle research and development license consideration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4,488</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public warrant liability to equity</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2,001</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April 2023 Private Placement, net of $9.8 million of transaction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15,041,530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54,133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54,134</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Pre-Funded Warrants in connection with April 2023 Private Placement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16,070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16,070</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to Lilly in connection with 2023 Lilly License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7,840</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share awards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499,993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13,059</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(60,360)</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(60,360)</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(7,220)</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Stone Peach Call Right issued to noncontrolling interest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1,541</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1,541</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Deemed contribution from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(9,212)</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9,212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9,212</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Deemed dividend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18,680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43,593,678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162,820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(103,494)</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60,871</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18, 2022 (date of inception)</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at inception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Series A-1 convertible preferred shares for cash</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10,808,332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Series A-1 convertible preferred shares for license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2,702,083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subsidiary redeemable preferred shares for license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4,943</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 net of forfeited shares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279,612</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(1,595)</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(25,738)</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(25,738)</w:t>
            </w:r>
          </w:p>
        </w:tc>
      </w:tr>
      <w:tr>
        <w:trPr/>
        <w:tc>
          <w:tcPr>
            <w:tcW w:w="12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6,652</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(6,318)</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(6,652)</w:t>
            </w:r>
          </w:p>
        </w:tc>
      </w:tr>
      <w:tr>
        <w:trPr/>
        <w:tc>
          <w:tcPr>
            <w:tcW w:w="126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13,510,415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12,500</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279,720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(32,056)</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(32,056)</w:t>
            </w:r>
          </w:p>
        </w:tc>
      </w:tr>
    </w:tbl>
    <w:p>
      <w:pPr>
        <w:pStyle w:val="TextBody"/>
        <w:bidi w:val="0"/>
        <w:spacing w:lineRule="auto" w:line="240" w:before="0" w:after="0"/>
        <w:ind w:left="0" w:right="0" w:hanging="0"/>
        <w:jc w:val="both"/>
        <w:rPr>
          <w:rFonts w:ascii="Times New Roman;Times;serif" w:hAnsi="Times New Roman;Times;serif"/>
          <w:sz w:val="20"/>
        </w:rPr>
      </w:pPr>
      <w:bookmarkStart w:id="850" w:name="_e5ab42e2_77fd_46c2_a74a_a12088e427dd"/>
      <w:bookmarkEnd w:id="850"/>
      <w:r>
        <w:rPr>
          <w:rFonts w:ascii="Times New Roman;Times;serif" w:hAnsi="Times New Roman;Times;serif"/>
          <w:sz w:val="15"/>
        </w:rPr>
        <w:t>(1)</w:t>
      </w:r>
      <w:r>
        <w:rPr>
          <w:rFonts w:ascii="Times New Roman;Times;serif" w:hAnsi="Times New Roman;Times;serif"/>
          <w:sz w:val="20"/>
        </w:rPr>
        <w:t xml:space="preserve"> 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3.</w:t>
      </w:r>
    </w:p>
    <w:p>
      <w:pPr>
        <w:pStyle w:val="TextBody"/>
        <w:bidi w:val="0"/>
        <w:spacing w:before="0" w:after="240"/>
        <w:ind w:left="0" w:right="0" w:hanging="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center"/>
        <w:rPr>
          <w:rFonts w:ascii="Times New Roman;Times;serif" w:hAnsi="Times New Roman;Times;serif"/>
          <w:b/>
          <w:sz w:val="20"/>
        </w:rPr>
      </w:pPr>
      <w:bookmarkStart w:id="851" w:name="_4de27dea_a231_485b_9760_518138977036"/>
      <w:bookmarkEnd w:id="851"/>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852" w:name="CondensedConsolidatedStatementsofCashFlo"/>
      <w:bookmarkEnd w:id="852"/>
      <w:r>
        <w:rPr>
          <w:rFonts w:ascii="Times New Roman;Times;serif" w:hAnsi="Times New Roman;Times;serif"/>
          <w:b/>
          <w:sz w:val="20"/>
        </w:rPr>
        <w:t>Consolidated Statements of Cash Flows</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853" w:name="Tc_ZXmEYHLmMUGCHBa8mAvJew_56_5"/>
      <w:bookmarkStart w:id="854" w:name="Tc_YUnukv0h7kK4bTLj-cQPig_56_3"/>
      <w:bookmarkStart w:id="855" w:name="Tc_xCHXdWgthU-1RJdicKSb2g_56_2"/>
      <w:bookmarkStart w:id="856" w:name="Tc_8N9ZYR8ej0i-ldZKqFNe7g_56_0"/>
      <w:bookmarkStart w:id="857" w:name="Tc_dhkk22y2M0ONk03x6wSJ_Q_55_5"/>
      <w:bookmarkStart w:id="858" w:name="Tc_YtOUY1gBpEOIOSUIxo5VmQ_55_3"/>
      <w:bookmarkStart w:id="859" w:name="Tc_1Nye9FA0oUK1N0UOGfcuRQ_55_2"/>
      <w:bookmarkStart w:id="860" w:name="Tc_tojBTCCcikWmFhpCeiGseQ_55_0"/>
      <w:bookmarkStart w:id="861" w:name="Tc_fPbLA-yf-UW2Z3uS__hRZA_54_6"/>
      <w:bookmarkStart w:id="862" w:name="Tc_xb4Vz6vZHESKQteAe5Xxrg_54_5"/>
      <w:bookmarkStart w:id="863" w:name="Tc_Aeh16TPSakWVvCTqhNi0Yw_54_2"/>
      <w:bookmarkStart w:id="864" w:name="Tc_6I6FonbUbkaeLVURZWo5jw_54_0"/>
      <w:bookmarkStart w:id="865" w:name="Tc_Vsf82CECsEGGFy1Sr5V6sQ_53_6"/>
      <w:bookmarkStart w:id="866" w:name="Tc_XEhQyQ_rLEmDWKD3PLJYfw_53_5"/>
      <w:bookmarkStart w:id="867" w:name="Tc_exzo9PJtQEOHZLObVkE2KQ_53_2"/>
      <w:bookmarkStart w:id="868" w:name="Tc_iZ4dBMLC202gQJNu7Ubt2w_53_0"/>
      <w:bookmarkStart w:id="869" w:name="Tc_6N3k4nCKW0y_M0-eV4_U1g_52_6"/>
      <w:bookmarkStart w:id="870" w:name="Tc_S0haTtvM1U63G69UliOW0g_52_5"/>
      <w:bookmarkStart w:id="871" w:name="Tc_DRw4fpWKn0-sIG37XPlktg_52_2"/>
      <w:bookmarkStart w:id="872" w:name="Tc_f0shmeecI0mIHMg1yAyxDA_52_0"/>
      <w:bookmarkStart w:id="873" w:name="Tc_HvWt-e_E0U-Kqjhix66xGQ_51_6"/>
      <w:bookmarkStart w:id="874" w:name="Tc_IrEgFMWPgEiQR1qLmTxLGA_51_5"/>
      <w:bookmarkStart w:id="875" w:name="Tc_vZK8CPR3h0K-gVb1haTTCg_51_2"/>
      <w:bookmarkStart w:id="876" w:name="Tc_PPndVjzdRk2o0LEAksjuAA_51_0"/>
      <w:bookmarkStart w:id="877" w:name="Tc_PzVoTU-zA0WbM1X3AuzUZw_50_5"/>
      <w:bookmarkStart w:id="878" w:name="Tc_UJ7hcu1iO06jLQh31B3cJA_50_3"/>
      <w:bookmarkStart w:id="879" w:name="Tc_Y0cB8GyNf0KFiNsnFotK8g_50_2"/>
      <w:bookmarkStart w:id="880" w:name="Tc_5-3PEQ8TtU6Sj22zOs2rJg_50_0"/>
      <w:bookmarkStart w:id="881" w:name="Tc_YRz5nSys30S08pyDgoOnsw_49_6"/>
      <w:bookmarkStart w:id="882" w:name="Tc_rrzkvsUQekKoAKY_V792kw_49_5"/>
      <w:bookmarkStart w:id="883" w:name="Tc_uRuc5HU5rkadwrauvOqIgg_49_2"/>
      <w:bookmarkStart w:id="884" w:name="Tc_CL_eGkhcBkeCOG1IHUHvug_49_0"/>
      <w:bookmarkStart w:id="885" w:name="Tc_MdFmaDjCp0uUCK7v-9u0Mw_48_6"/>
      <w:bookmarkStart w:id="886" w:name="Tc_5cdNUNCDOkGqNFbimgUjxw_48_5"/>
      <w:bookmarkStart w:id="887" w:name="Tc_udIpmDVPkkumZXYTJ52T3A_48_2"/>
      <w:bookmarkStart w:id="888" w:name="Tc_zjUMK3PQWU23DnbKCJpCBA_48_0"/>
      <w:bookmarkStart w:id="889" w:name="Tc_ioo0w1i_bkmKq1XJEs-Miw_47_6"/>
      <w:bookmarkStart w:id="890" w:name="Tc_hkwA6LOki0KoWycaDd2zAg_47_5"/>
      <w:bookmarkStart w:id="891" w:name="Tc__FMKyc1hE0egdbzP7-VWdg_47_2"/>
      <w:bookmarkStart w:id="892" w:name="Tc_hZo0oLrGpUecn41GztYNSg_47_0"/>
      <w:bookmarkStart w:id="893" w:name="Tc_caw36UWli0GiofCsDlcR8g_46_6"/>
      <w:bookmarkStart w:id="894" w:name="Tc_DpJeS_l2G0qvhhpAOeK0_g_46_5"/>
      <w:bookmarkStart w:id="895" w:name="Tc_oQjzYVNN20yTPnaEmJ8cmw_46_2"/>
      <w:bookmarkStart w:id="896" w:name="Tc_nr0ag0s_D0SqtTtSWkjkqw_46_0"/>
      <w:bookmarkStart w:id="897" w:name="Tc_1JukC1b5eEGJKW4sTJtH-g_45_6"/>
      <w:bookmarkStart w:id="898" w:name="Tc_N3V8qlDoRUKEZZEYk2DJsQ_45_5"/>
      <w:bookmarkStart w:id="899" w:name="Tc_eN3WvixzrUqyX4YB_9KJUw_45_2"/>
      <w:bookmarkStart w:id="900" w:name="Tc_dHnaoWqDY0CLBgiszoDg_A_45_0"/>
      <w:bookmarkStart w:id="901" w:name="Tc_TqxcGbzjt02GRrtqJn-rdQ_44_5"/>
      <w:bookmarkStart w:id="902" w:name="Tc_-dZ1k3zAk0SP8d3-gPX7Dw_44_2"/>
      <w:bookmarkStart w:id="903" w:name="Tc_Iuer3rdeok6KC5BjtU6m6w_44_0"/>
      <w:bookmarkStart w:id="904" w:name="Tc_XftHHB7LHUSK6-k5xLgruA_43_6"/>
      <w:bookmarkStart w:id="905" w:name="Tc_cRFaMm6makOLm--uxPP9XA_43_5"/>
      <w:bookmarkStart w:id="906" w:name="Tc_TQvN0B3NT0OCnIYVaWhQQw_43_2"/>
      <w:bookmarkStart w:id="907" w:name="Tc_8MpBJCqcZ0mT_p8PJjzOtg_43_0"/>
      <w:bookmarkStart w:id="908" w:name="Tc_UOhe1WYkhUqxXgqDO5Gb6Q_42_6"/>
      <w:bookmarkStart w:id="909" w:name="Tc_HJIi0Mb27UexQSs_msc8xQ_42_5"/>
      <w:bookmarkStart w:id="910" w:name="Tc_pXihzbqJWUKDhwnqfl8W4A_42_2"/>
      <w:bookmarkStart w:id="911" w:name="Tc_mRzNqmUTBEuupwfUyfi0Ug_42_0"/>
      <w:bookmarkStart w:id="912" w:name="Tc_-UaE4D5tIked0EJzXw0DyA_41_5"/>
      <w:bookmarkStart w:id="913" w:name="Tc_HVAE2_SAs0SiPhAaqOoQ3w_41_3"/>
      <w:bookmarkStart w:id="914" w:name="Tc_jk4BbLqMCEWmTkq9JWkRHg_41_2"/>
      <w:bookmarkStart w:id="915" w:name="Tc_tQRKkmi9skOYfZRTPVuPTw_41_0"/>
      <w:bookmarkStart w:id="916" w:name="Tc_L6-53MGH4ki4ytGWAQvb4Q_40_0"/>
      <w:bookmarkStart w:id="917" w:name="Tc_u4TN_enMYkCrOYnNzGjhVQ_38_6"/>
      <w:bookmarkStart w:id="918" w:name="Tc_vmDNcxs-7UWnNLHUe9WWFQ_38_5"/>
      <w:bookmarkStart w:id="919" w:name="Tc_l3jgObBIJkW6eAlgscUkFA_38_3"/>
      <w:bookmarkStart w:id="920" w:name="Tc_am6aGDJ-pUSakhRmmTIPLA_38_2"/>
      <w:bookmarkStart w:id="921" w:name="Tc_TBC_74fAgkylPIL2esRFjQ_38_0"/>
      <w:bookmarkStart w:id="922" w:name="Tc_oIh2VNO5NEiBQ0arDOgubg_37_6"/>
      <w:bookmarkStart w:id="923" w:name="Tc_cwhADYXTIU2lKsEai9XYlw_37_5"/>
      <w:bookmarkStart w:id="924" w:name="Tc_fLOvsqN_7UK2N1DzYyJBEw_37_3"/>
      <w:bookmarkStart w:id="925" w:name="Tc_-8kw7DIl0k6Z662rQtSzBQ_37_2"/>
      <w:bookmarkStart w:id="926" w:name="Tc_teWd4fQf3EGSNL84Bj4BAw_37_0"/>
      <w:bookmarkStart w:id="927" w:name="Tc_mOOFhD-9T0SIZ2bBaAXAWw_36_0"/>
      <w:bookmarkStart w:id="928" w:name="Tc_uLXBkyrPjUyhKNeVuOyL-A_34_5"/>
      <w:bookmarkStart w:id="929" w:name="Tc_ElUx5MrMhkaeNZrZhmNffA_34_2"/>
      <w:bookmarkStart w:id="930" w:name="Tc_wu0cljcZ9EGHRVV4VTpgXw_34_0"/>
      <w:bookmarkStart w:id="931" w:name="Tc_z-AF9JgWtkeLrybacUeUHQ_33_6"/>
      <w:bookmarkStart w:id="932" w:name="Tc_6_sQDhkbVEOC0ujsdO5kYw_33_0"/>
      <w:bookmarkStart w:id="933" w:name="Tc_NH-TRVskH0yddWj4NqxTnw_32_0"/>
      <w:bookmarkStart w:id="934" w:name="Tc_T0Pdpqz2FEmyFkxQDXWiQg_31_0"/>
      <w:bookmarkStart w:id="935" w:name="Tc_Qm-v3J6Fyk24KieZAStbIg_30_0"/>
      <w:bookmarkStart w:id="936" w:name="Tc_IhDyi6F1jEClLTdf8ES-oA_29_6"/>
      <w:bookmarkStart w:id="937" w:name="Tc_HsCmRlD7OUKxjoVT5uImuQ_29_0"/>
      <w:bookmarkStart w:id="938" w:name="Tc_X7mMID1TEE2Gkzob_GSs1w_28_3"/>
      <w:bookmarkStart w:id="939" w:name="Tc_laGYdrCO5U-XdyOTX3Novw_28_0"/>
      <w:bookmarkStart w:id="940" w:name="Tc_Wrymdrsxn0m2gpYzfVwNMA_27_6"/>
      <w:bookmarkStart w:id="941" w:name="Tc_TLbUz0_4f0adub3iAUOAKw_27_0"/>
      <w:bookmarkStart w:id="942" w:name="Tc_JNPIBaZlbUaMkV57d9EDgg_26_6"/>
      <w:bookmarkStart w:id="943" w:name="Tc_z0kAMLxva02hHeZqKtTS3Q_26_0"/>
      <w:bookmarkStart w:id="944" w:name="Tc_q8uf-9mhQEqFq8a7gBHPlA_25_6"/>
      <w:bookmarkStart w:id="945" w:name="Tc_orE22is-iU2j7F9mSdqNEA_25_0"/>
      <w:bookmarkStart w:id="946" w:name="Tc_sJ0rggkFPk6zb_GnbK3Dvw_24_3"/>
      <w:bookmarkStart w:id="947" w:name="Tc_MXpzb0vtD0SLpQz3BFsskg_24_0"/>
      <w:bookmarkStart w:id="948" w:name="Tc_UgQgdTnGcEy0ZbCbzOQ-Vw_23_0"/>
      <w:bookmarkStart w:id="949" w:name="Tc_U_eU6Alah0m52MRgnuWH9Q_22_0"/>
      <w:bookmarkStart w:id="950" w:name="Tc_mSYO_BXSo0KJkyiEquFY8Q_21_0"/>
      <w:bookmarkStart w:id="951" w:name="Tc_9bt1KY9aiEimzkWCLXNBmQ_20_0"/>
      <w:bookmarkStart w:id="952" w:name="Tc_V5u8Dr7AAkK3oRPPQxFQCA_19_0"/>
      <w:bookmarkStart w:id="953" w:name="Tc_lXI2E0_Y9E2Uig6fhKcKJQ_18_0"/>
      <w:bookmarkStart w:id="954" w:name="Tc_qv8P4Reuz0yln4qeYVotdg_17_0"/>
      <w:bookmarkStart w:id="955" w:name="Tc_G5ILDLcDXkO3E_l0KKKAmA_16_0"/>
      <w:bookmarkStart w:id="956" w:name="Tc_q-VwKlRJ0028Crihz3mWhA_15_0"/>
      <w:bookmarkStart w:id="957" w:name="Tc_EZ60NDZpcEOP5hsUfzRdzA_14_6"/>
      <w:bookmarkStart w:id="958" w:name="Tc_noHz_MeEYkqMJL-sVxFk0w_14_0"/>
      <w:bookmarkStart w:id="959" w:name="Tc_FflgiHR7Ikip8LebA1fCUw_13_0"/>
      <w:bookmarkStart w:id="960" w:name="Tc_1ibsT3heSEKfVKimIWok0g_12_0"/>
      <w:bookmarkStart w:id="961" w:name="Tc_EV9S7hT0WUiiuNuPfcgR5A_11_0"/>
      <w:bookmarkStart w:id="962" w:name="Tc_SEQ8Ev9Uw0ySlHU1YYzTPw_10_6"/>
      <w:bookmarkStart w:id="963" w:name="Tc_V_qNE1YBMU6_ePdNHxYZUw_10_0"/>
      <w:bookmarkStart w:id="964" w:name="Tc_9e7NNojuLUWX1VGcqt_SUA_9_0"/>
      <w:bookmarkStart w:id="965" w:name="Tc_z0AIkvjIB0uijCN8o9sjAg_8_0"/>
      <w:bookmarkStart w:id="966" w:name="Tc_V1l_EjKmcUygi43y3GwoYA_7_5"/>
      <w:bookmarkStart w:id="967" w:name="Tc_fGRZIpCjeku90N8plgnHog_7_2"/>
      <w:bookmarkStart w:id="968" w:name="Tc_9ZzoxIieZUK8TphEIe4eqw_7_0"/>
      <w:bookmarkStart w:id="969" w:name="Tc_NT_P95N3KEGMk6zZNkPeOw_6_0"/>
      <w:bookmarkStart w:id="970" w:name="Tc_nPp6Wl860EOtabFNjWt3vQ_5_5"/>
      <w:bookmarkStart w:id="971" w:name="Tc_K0W3Nd9Sikee4MaIHGEQIA_5_2"/>
      <w:bookmarkStart w:id="972" w:name="Tc_h3z31Ky2BEijXs9hT7QvUg_4_5"/>
      <w:bookmarkStart w:id="973" w:name="Tc_qn-yF3tAwUqGK3avfY-hLw_4_2"/>
      <w:bookmarkStart w:id="974" w:name="Tc_51z_EdNKtkSiSKOFEAmy_A_3_5"/>
      <w:bookmarkStart w:id="975" w:name="Tc_ryjIF8C_qkCLJUedjyTPJw_3_2"/>
      <w:bookmarkStart w:id="976" w:name="Tc_nGzl7rhAwkKgdO88GUJzSQ_2_5"/>
      <w:bookmarkStart w:id="977" w:name="Tc_cc7CU2BYBkiwE5-6rIynEQ_1_5"/>
      <w:bookmarkStart w:id="978" w:name="_b3aa5ec4_266d_46aa_86d6_b64dea72f7f8"/>
      <w:bookmarkStart w:id="979" w:name="Tc_ZXmEYHLmMUGCHBa8mAvJew_56_5"/>
      <w:bookmarkStart w:id="980" w:name="Tc_YUnukv0h7kK4bTLj-cQPig_56_3"/>
      <w:bookmarkStart w:id="981" w:name="Tc_xCHXdWgthU-1RJdicKSb2g_56_2"/>
      <w:bookmarkStart w:id="982" w:name="Tc_8N9ZYR8ej0i-ldZKqFNe7g_56_0"/>
      <w:bookmarkStart w:id="983" w:name="Tc_dhkk22y2M0ONk03x6wSJ_Q_55_5"/>
      <w:bookmarkStart w:id="984" w:name="Tc_YtOUY1gBpEOIOSUIxo5VmQ_55_3"/>
      <w:bookmarkStart w:id="985" w:name="Tc_1Nye9FA0oUK1N0UOGfcuRQ_55_2"/>
      <w:bookmarkStart w:id="986" w:name="Tc_tojBTCCcikWmFhpCeiGseQ_55_0"/>
      <w:bookmarkStart w:id="987" w:name="Tc_fPbLA-yf-UW2Z3uS__hRZA_54_6"/>
      <w:bookmarkStart w:id="988" w:name="Tc_xb4Vz6vZHESKQteAe5Xxrg_54_5"/>
      <w:bookmarkStart w:id="989" w:name="Tc_Aeh16TPSakWVvCTqhNi0Yw_54_2"/>
      <w:bookmarkStart w:id="990" w:name="Tc_6I6FonbUbkaeLVURZWo5jw_54_0"/>
      <w:bookmarkStart w:id="991" w:name="Tc_Vsf82CECsEGGFy1Sr5V6sQ_53_6"/>
      <w:bookmarkStart w:id="992" w:name="Tc_XEhQyQ_rLEmDWKD3PLJYfw_53_5"/>
      <w:bookmarkStart w:id="993" w:name="Tc_exzo9PJtQEOHZLObVkE2KQ_53_2"/>
      <w:bookmarkStart w:id="994" w:name="Tc_iZ4dBMLC202gQJNu7Ubt2w_53_0"/>
      <w:bookmarkStart w:id="995" w:name="Tc_6N3k4nCKW0y_M0-eV4_U1g_52_6"/>
      <w:bookmarkStart w:id="996" w:name="Tc_S0haTtvM1U63G69UliOW0g_52_5"/>
      <w:bookmarkStart w:id="997" w:name="Tc_DRw4fpWKn0-sIG37XPlktg_52_2"/>
      <w:bookmarkStart w:id="998" w:name="Tc_f0shmeecI0mIHMg1yAyxDA_52_0"/>
      <w:bookmarkStart w:id="999" w:name="Tc_HvWt-e_E0U-Kqjhix66xGQ_51_6"/>
      <w:bookmarkStart w:id="1000" w:name="Tc_IrEgFMWPgEiQR1qLmTxLGA_51_5"/>
      <w:bookmarkStart w:id="1001" w:name="Tc_vZK8CPR3h0K-gVb1haTTCg_51_2"/>
      <w:bookmarkStart w:id="1002" w:name="Tc_PPndVjzdRk2o0LEAksjuAA_51_0"/>
      <w:bookmarkStart w:id="1003" w:name="Tc_PzVoTU-zA0WbM1X3AuzUZw_50_5"/>
      <w:bookmarkStart w:id="1004" w:name="Tc_UJ7hcu1iO06jLQh31B3cJA_50_3"/>
      <w:bookmarkStart w:id="1005" w:name="Tc_Y0cB8GyNf0KFiNsnFotK8g_50_2"/>
      <w:bookmarkStart w:id="1006" w:name="Tc_5-3PEQ8TtU6Sj22zOs2rJg_50_0"/>
      <w:bookmarkStart w:id="1007" w:name="Tc_YRz5nSys30S08pyDgoOnsw_49_6"/>
      <w:bookmarkStart w:id="1008" w:name="Tc_rrzkvsUQekKoAKY_V792kw_49_5"/>
      <w:bookmarkStart w:id="1009" w:name="Tc_uRuc5HU5rkadwrauvOqIgg_49_2"/>
      <w:bookmarkStart w:id="1010" w:name="Tc_CL_eGkhcBkeCOG1IHUHvug_49_0"/>
      <w:bookmarkStart w:id="1011" w:name="Tc_MdFmaDjCp0uUCK7v-9u0Mw_48_6"/>
      <w:bookmarkStart w:id="1012" w:name="Tc_5cdNUNCDOkGqNFbimgUjxw_48_5"/>
      <w:bookmarkStart w:id="1013" w:name="Tc_udIpmDVPkkumZXYTJ52T3A_48_2"/>
      <w:bookmarkStart w:id="1014" w:name="Tc_zjUMK3PQWU23DnbKCJpCBA_48_0"/>
      <w:bookmarkStart w:id="1015" w:name="Tc_ioo0w1i_bkmKq1XJEs-Miw_47_6"/>
      <w:bookmarkStart w:id="1016" w:name="Tc_hkwA6LOki0KoWycaDd2zAg_47_5"/>
      <w:bookmarkStart w:id="1017" w:name="Tc__FMKyc1hE0egdbzP7-VWdg_47_2"/>
      <w:bookmarkStart w:id="1018" w:name="Tc_hZo0oLrGpUecn41GztYNSg_47_0"/>
      <w:bookmarkStart w:id="1019" w:name="Tc_caw36UWli0GiofCsDlcR8g_46_6"/>
      <w:bookmarkStart w:id="1020" w:name="Tc_DpJeS_l2G0qvhhpAOeK0_g_46_5"/>
      <w:bookmarkStart w:id="1021" w:name="Tc_oQjzYVNN20yTPnaEmJ8cmw_46_2"/>
      <w:bookmarkStart w:id="1022" w:name="Tc_nr0ag0s_D0SqtTtSWkjkqw_46_0"/>
      <w:bookmarkStart w:id="1023" w:name="Tc_1JukC1b5eEGJKW4sTJtH-g_45_6"/>
      <w:bookmarkStart w:id="1024" w:name="Tc_N3V8qlDoRUKEZZEYk2DJsQ_45_5"/>
      <w:bookmarkStart w:id="1025" w:name="Tc_eN3WvixzrUqyX4YB_9KJUw_45_2"/>
      <w:bookmarkStart w:id="1026" w:name="Tc_dHnaoWqDY0CLBgiszoDg_A_45_0"/>
      <w:bookmarkStart w:id="1027" w:name="Tc_TqxcGbzjt02GRrtqJn-rdQ_44_5"/>
      <w:bookmarkStart w:id="1028" w:name="Tc_-dZ1k3zAk0SP8d3-gPX7Dw_44_2"/>
      <w:bookmarkStart w:id="1029" w:name="Tc_Iuer3rdeok6KC5BjtU6m6w_44_0"/>
      <w:bookmarkStart w:id="1030" w:name="Tc_XftHHB7LHUSK6-k5xLgruA_43_6"/>
      <w:bookmarkStart w:id="1031" w:name="Tc_cRFaMm6makOLm--uxPP9XA_43_5"/>
      <w:bookmarkStart w:id="1032" w:name="Tc_TQvN0B3NT0OCnIYVaWhQQw_43_2"/>
      <w:bookmarkStart w:id="1033" w:name="Tc_8MpBJCqcZ0mT_p8PJjzOtg_43_0"/>
      <w:bookmarkStart w:id="1034" w:name="Tc_UOhe1WYkhUqxXgqDO5Gb6Q_42_6"/>
      <w:bookmarkStart w:id="1035" w:name="Tc_HJIi0Mb27UexQSs_msc8xQ_42_5"/>
      <w:bookmarkStart w:id="1036" w:name="Tc_pXihzbqJWUKDhwnqfl8W4A_42_2"/>
      <w:bookmarkStart w:id="1037" w:name="Tc_mRzNqmUTBEuupwfUyfi0Ug_42_0"/>
      <w:bookmarkStart w:id="1038" w:name="Tc_-UaE4D5tIked0EJzXw0DyA_41_5"/>
      <w:bookmarkStart w:id="1039" w:name="Tc_HVAE2_SAs0SiPhAaqOoQ3w_41_3"/>
      <w:bookmarkStart w:id="1040" w:name="Tc_jk4BbLqMCEWmTkq9JWkRHg_41_2"/>
      <w:bookmarkStart w:id="1041" w:name="Tc_tQRKkmi9skOYfZRTPVuPTw_41_0"/>
      <w:bookmarkStart w:id="1042" w:name="Tc_L6-53MGH4ki4ytGWAQvb4Q_40_0"/>
      <w:bookmarkStart w:id="1043" w:name="Tc_u4TN_enMYkCrOYnNzGjhVQ_38_6"/>
      <w:bookmarkStart w:id="1044" w:name="Tc_vmDNcxs-7UWnNLHUe9WWFQ_38_5"/>
      <w:bookmarkStart w:id="1045" w:name="Tc_l3jgObBIJkW6eAlgscUkFA_38_3"/>
      <w:bookmarkStart w:id="1046" w:name="Tc_am6aGDJ-pUSakhRmmTIPLA_38_2"/>
      <w:bookmarkStart w:id="1047" w:name="Tc_TBC_74fAgkylPIL2esRFjQ_38_0"/>
      <w:bookmarkStart w:id="1048" w:name="Tc_oIh2VNO5NEiBQ0arDOgubg_37_6"/>
      <w:bookmarkStart w:id="1049" w:name="Tc_cwhADYXTIU2lKsEai9XYlw_37_5"/>
      <w:bookmarkStart w:id="1050" w:name="Tc_fLOvsqN_7UK2N1DzYyJBEw_37_3"/>
      <w:bookmarkStart w:id="1051" w:name="Tc_-8kw7DIl0k6Z662rQtSzBQ_37_2"/>
      <w:bookmarkStart w:id="1052" w:name="Tc_teWd4fQf3EGSNL84Bj4BAw_37_0"/>
      <w:bookmarkStart w:id="1053" w:name="Tc_mOOFhD-9T0SIZ2bBaAXAWw_36_0"/>
      <w:bookmarkStart w:id="1054" w:name="Tc_uLXBkyrPjUyhKNeVuOyL-A_34_5"/>
      <w:bookmarkStart w:id="1055" w:name="Tc_ElUx5MrMhkaeNZrZhmNffA_34_2"/>
      <w:bookmarkStart w:id="1056" w:name="Tc_wu0cljcZ9EGHRVV4VTpgXw_34_0"/>
      <w:bookmarkStart w:id="1057" w:name="Tc_z-AF9JgWtkeLrybacUeUHQ_33_6"/>
      <w:bookmarkStart w:id="1058" w:name="Tc_6_sQDhkbVEOC0ujsdO5kYw_33_0"/>
      <w:bookmarkStart w:id="1059" w:name="Tc_NH-TRVskH0yddWj4NqxTnw_32_0"/>
      <w:bookmarkStart w:id="1060" w:name="Tc_T0Pdpqz2FEmyFkxQDXWiQg_31_0"/>
      <w:bookmarkStart w:id="1061" w:name="Tc_Qm-v3J6Fyk24KieZAStbIg_30_0"/>
      <w:bookmarkStart w:id="1062" w:name="Tc_IhDyi6F1jEClLTdf8ES-oA_29_6"/>
      <w:bookmarkStart w:id="1063" w:name="Tc_HsCmRlD7OUKxjoVT5uImuQ_29_0"/>
      <w:bookmarkStart w:id="1064" w:name="Tc_X7mMID1TEE2Gkzob_GSs1w_28_3"/>
      <w:bookmarkStart w:id="1065" w:name="Tc_laGYdrCO5U-XdyOTX3Novw_28_0"/>
      <w:bookmarkStart w:id="1066" w:name="Tc_Wrymdrsxn0m2gpYzfVwNMA_27_6"/>
      <w:bookmarkStart w:id="1067" w:name="Tc_TLbUz0_4f0adub3iAUOAKw_27_0"/>
      <w:bookmarkStart w:id="1068" w:name="Tc_JNPIBaZlbUaMkV57d9EDgg_26_6"/>
      <w:bookmarkStart w:id="1069" w:name="Tc_z0kAMLxva02hHeZqKtTS3Q_26_0"/>
      <w:bookmarkStart w:id="1070" w:name="Tc_q8uf-9mhQEqFq8a7gBHPlA_25_6"/>
      <w:bookmarkStart w:id="1071" w:name="Tc_orE22is-iU2j7F9mSdqNEA_25_0"/>
      <w:bookmarkStart w:id="1072" w:name="Tc_sJ0rggkFPk6zb_GnbK3Dvw_24_3"/>
      <w:bookmarkStart w:id="1073" w:name="Tc_MXpzb0vtD0SLpQz3BFsskg_24_0"/>
      <w:bookmarkStart w:id="1074" w:name="Tc_UgQgdTnGcEy0ZbCbzOQ-Vw_23_0"/>
      <w:bookmarkStart w:id="1075" w:name="Tc_U_eU6Alah0m52MRgnuWH9Q_22_0"/>
      <w:bookmarkStart w:id="1076" w:name="Tc_mSYO_BXSo0KJkyiEquFY8Q_21_0"/>
      <w:bookmarkStart w:id="1077" w:name="Tc_9bt1KY9aiEimzkWCLXNBmQ_20_0"/>
      <w:bookmarkStart w:id="1078" w:name="Tc_V5u8Dr7AAkK3oRPPQxFQCA_19_0"/>
      <w:bookmarkStart w:id="1079" w:name="Tc_lXI2E0_Y9E2Uig6fhKcKJQ_18_0"/>
      <w:bookmarkStart w:id="1080" w:name="Tc_qv8P4Reuz0yln4qeYVotdg_17_0"/>
      <w:bookmarkStart w:id="1081" w:name="Tc_G5ILDLcDXkO3E_l0KKKAmA_16_0"/>
      <w:bookmarkStart w:id="1082" w:name="Tc_q-VwKlRJ0028Crihz3mWhA_15_0"/>
      <w:bookmarkStart w:id="1083" w:name="Tc_EZ60NDZpcEOP5hsUfzRdzA_14_6"/>
      <w:bookmarkStart w:id="1084" w:name="Tc_noHz_MeEYkqMJL-sVxFk0w_14_0"/>
      <w:bookmarkStart w:id="1085" w:name="Tc_FflgiHR7Ikip8LebA1fCUw_13_0"/>
      <w:bookmarkStart w:id="1086" w:name="Tc_1ibsT3heSEKfVKimIWok0g_12_0"/>
      <w:bookmarkStart w:id="1087" w:name="Tc_EV9S7hT0WUiiuNuPfcgR5A_11_0"/>
      <w:bookmarkStart w:id="1088" w:name="Tc_SEQ8Ev9Uw0ySlHU1YYzTPw_10_6"/>
      <w:bookmarkStart w:id="1089" w:name="Tc_V_qNE1YBMU6_ePdNHxYZUw_10_0"/>
      <w:bookmarkStart w:id="1090" w:name="Tc_9e7NNojuLUWX1VGcqt_SUA_9_0"/>
      <w:bookmarkStart w:id="1091" w:name="Tc_z0AIkvjIB0uijCN8o9sjAg_8_0"/>
      <w:bookmarkStart w:id="1092" w:name="Tc_V1l_EjKmcUygi43y3GwoYA_7_5"/>
      <w:bookmarkStart w:id="1093" w:name="Tc_fGRZIpCjeku90N8plgnHog_7_2"/>
      <w:bookmarkStart w:id="1094" w:name="Tc_9ZzoxIieZUK8TphEIe4eqw_7_0"/>
      <w:bookmarkStart w:id="1095" w:name="Tc_NT_P95N3KEGMk6zZNkPeOw_6_0"/>
      <w:bookmarkStart w:id="1096" w:name="Tc_nPp6Wl860EOtabFNjWt3vQ_5_5"/>
      <w:bookmarkStart w:id="1097" w:name="Tc_K0W3Nd9Sikee4MaIHGEQIA_5_2"/>
      <w:bookmarkStart w:id="1098" w:name="Tc_h3z31Ky2BEijXs9hT7QvUg_4_5"/>
      <w:bookmarkStart w:id="1099" w:name="Tc_qn-yF3tAwUqGK3avfY-hLw_4_2"/>
      <w:bookmarkStart w:id="1100" w:name="Tc_51z_EdNKtkSiSKOFEAmy_A_3_5"/>
      <w:bookmarkStart w:id="1101" w:name="Tc_ryjIF8C_qkCLJUedjyTPJw_3_2"/>
      <w:bookmarkStart w:id="1102" w:name="Tc_nGzl7rhAwkKgdO88GUJzSQ_2_5"/>
      <w:bookmarkStart w:id="1103" w:name="Tc_cc7CU2BYBkiwE5-6rIynEQ_1_5"/>
      <w:bookmarkStart w:id="1104" w:name="_b3aa5ec4_266d_46aa_86d6_b64dea72f7f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tbl>
      <w:tblPr>
        <w:tblW w:w="10205" w:type="dxa"/>
        <w:jc w:val="left"/>
        <w:tblInd w:w="0" w:type="dxa"/>
        <w:tblLayout w:type="fixed"/>
        <w:tblCellMar>
          <w:top w:w="0" w:type="dxa"/>
          <w:left w:w="0" w:type="dxa"/>
          <w:bottom w:w="0" w:type="dxa"/>
          <w:right w:w="0" w:type="dxa"/>
        </w:tblCellMar>
      </w:tblPr>
      <w:tblGrid>
        <w:gridCol w:w="6480"/>
        <w:gridCol w:w="326"/>
        <w:gridCol w:w="290"/>
        <w:gridCol w:w="1056"/>
        <w:gridCol w:w="326"/>
        <w:gridCol w:w="375"/>
        <w:gridCol w:w="1352"/>
      </w:tblGrid>
      <w:tr>
        <w:trPr/>
        <w:tc>
          <w:tcPr>
            <w:tcW w:w="6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114800" cy="175260"/>
                      <wp:effectExtent l="0" t="0" r="0" b="0"/>
                      <wp:wrapNone/>
                      <wp:docPr id="122" name="Frame116"/>
                      <a:graphic xmlns:a="http://schemas.openxmlformats.org/drawingml/2006/main">
                        <a:graphicData uri="http://schemas.microsoft.com/office/word/2010/wordprocessingShape">
                          <wps:wsp>
                            <wps:cNvSpPr txBox="1"/>
                            <wps:spPr>
                              <a:xfrm>
                                <a:off x="0" y="0"/>
                                <a:ext cx="411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3"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4150" cy="175260"/>
                      <wp:effectExtent l="0" t="0" r="0" b="0"/>
                      <wp:wrapNone/>
                      <wp:docPr id="124" name="Frame11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70560" cy="175260"/>
                      <wp:effectExtent l="0" t="0" r="0" b="0"/>
                      <wp:wrapNone/>
                      <wp:docPr id="125" name="Frame119"/>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26"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38125" cy="175260"/>
                      <wp:effectExtent l="0" t="0" r="0" b="0"/>
                      <wp:wrapNone/>
                      <wp:docPr id="127" name="Frame12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58520" cy="175260"/>
                      <wp:effectExtent l="0" t="0" r="0" b="0"/>
                      <wp:wrapNone/>
                      <wp:docPr id="128" name="Frame122"/>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90" w:type="dxa"/>
            <w:tcBorders/>
            <w:vAlign w:val="center"/>
          </w:tcPr>
          <w:p>
            <w:pPr>
              <w:pStyle w:val="TableContents"/>
              <w:bidi w:val="0"/>
              <w:spacing w:before="0" w:after="1"/>
              <w:ind w:left="0" w:right="0" w:hanging="0"/>
              <w:jc w:val="center"/>
              <w:rPr/>
            </w:pPr>
            <w:r>
              <w:rPr/>
              <w:t>​</w:t>
            </w:r>
          </w:p>
        </w:tc>
        <w:tc>
          <w:tcPr>
            <w:tcW w:w="10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 the Period from</w:t>
            </w:r>
            <w:r>
              <w:rPr>
                <w:rFonts w:ascii="Times New Roman;Times;serif" w:hAnsi="Times New Roman;Times;serif"/>
                <w:sz w:val="16"/>
              </w:rPr>
              <w:t> </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4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January 18, 2022</w:t>
            </w:r>
            <w:r>
              <w:rPr>
                <w:rFonts w:ascii="Times New Roman;Times;serif" w:hAnsi="Times New Roman;Times;serif"/>
                <w:sz w:val="16"/>
              </w:rPr>
              <w:t> </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26" w:type="dxa"/>
            <w:tcBorders/>
            <w:vAlign w:val="center"/>
          </w:tcPr>
          <w:p>
            <w:pPr>
              <w:pStyle w:val="TableContents"/>
              <w:bidi w:val="0"/>
              <w:spacing w:before="0" w:after="1"/>
              <w:ind w:left="0" w:right="0" w:hanging="0"/>
              <w:jc w:val="center"/>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(date of inception) to</w:t>
            </w:r>
            <w:r>
              <w:rPr>
                <w:rFonts w:ascii="Times New Roman;Times;serif" w:hAnsi="Times New Roman;Times;serif"/>
                <w:sz w:val="16"/>
              </w:rPr>
              <w:t> </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7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pPr>
            <w:r>
              <w:rPr/>
              <w:t>  </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before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(60,563)</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(27,333)</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 </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Research and development acquired license</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27,381</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21,892</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Anti-dilution share issuance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2,186</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expense</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7,469</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 </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research and development license consideration liability</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1,854</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private placement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 </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exchange transaction gain</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 </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5,944</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3,750</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(15,054)</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 </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research and development license</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Series A-1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in connection with April 2023 Private Placement, net of $4.2 million of transaction costs</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59,724</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Class A Ordinary Shares upon Closing of Business Combination</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56,683</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Pre-Funded Warrants in connection with April 2023 Private Placement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16,070</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7,600</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Settlement of note payable</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deferred transaction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(1,184)</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(2,831)</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121,293</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14,769</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98,239</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1,567</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1,567</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99,806</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1,567</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lef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lef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taxes</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lef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lef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Series A-1 convertible preferred shares for license</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Series A-1 convertible preferred shares for Class A Ordinary Shares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14,686</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2023 Lilly License consideration</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7,220</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6,652</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Deemed contribution from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9,212</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Deemed dividend to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for 2023 Lilly License</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7,840</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equity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5,590</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Settlement of research and development license consideration liability</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4,488</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Transaction costs include in 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deferred offering costs to additional paid-in capital</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4,015</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Assumption of public and private placement warrants in connection with Business Combination</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3,715</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public warrant liability to equity</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2,001</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Call Right to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648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subsidiary redeemable preferred shares for license</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4,943</w:t>
            </w:r>
          </w:p>
        </w:tc>
      </w:tr>
      <w:tr>
        <w:trPr/>
        <w:tc>
          <w:tcPr>
            <w:tcW w:w="64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Research and development consideration liability for license</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52"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2,449</w:t>
            </w:r>
          </w:p>
        </w:tc>
      </w:tr>
    </w:tbl>
    <w:p>
      <w:pPr>
        <w:pStyle w:val="TextBody"/>
        <w:bidi w:val="0"/>
        <w:spacing w:before="0" w:after="240"/>
        <w:ind w:left="0" w:right="0" w:hanging="0"/>
        <w:jc w:val="center"/>
        <w:rPr/>
      </w:pPr>
      <w:r>
        <w:rPr/>
        <w:t>​</w:t>
      </w:r>
    </w:p>
    <w:p>
      <w:pPr>
        <w:pStyle w:val="TextBody"/>
        <w:bidi w:val="0"/>
        <w:spacing w:before="0" w:after="18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05" w:name="_ce7a59c2_3d51_4cfb_84fb_10dcb5696b4a"/>
      <w:bookmarkEnd w:id="1105"/>
      <w:r>
        <w:rPr>
          <w:rFonts w:ascii="Times New Roman;Times;serif" w:hAnsi="Times New Roman;Times;serif"/>
          <w:b/>
          <w:sz w:val="20"/>
        </w:rPr>
        <w:t>Zura Bio Limited</w:t>
      </w:r>
    </w:p>
    <w:p>
      <w:pPr>
        <w:pStyle w:val="TextBody"/>
        <w:bidi w:val="0"/>
        <w:spacing w:before="0" w:after="240"/>
        <w:ind w:left="0" w:right="0" w:hanging="0"/>
        <w:jc w:val="center"/>
        <w:rPr>
          <w:rFonts w:ascii="Times New Roman;Times;serif" w:hAnsi="Times New Roman;Times;serif"/>
          <w:b/>
          <w:sz w:val="20"/>
        </w:rPr>
      </w:pPr>
      <w:bookmarkStart w:id="1106" w:name="NotestoUnauditedCondensedConsolidatedFin"/>
      <w:bookmarkEnd w:id="1106"/>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(Tabular amounts in thousands, except share and per share data)</w:t>
      </w:r>
    </w:p>
    <w:tbl>
      <w:tblPr>
        <w:tblW w:w="3917" w:type="dxa"/>
        <w:jc w:val="left"/>
        <w:tblInd w:w="0" w:type="dxa"/>
        <w:tblLayout w:type="fixed"/>
        <w:tblCellMar>
          <w:top w:w="0" w:type="dxa"/>
          <w:left w:w="0" w:type="dxa"/>
          <w:bottom w:w="0" w:type="dxa"/>
          <w:right w:w="0" w:type="dxa"/>
        </w:tblCellMar>
      </w:tblPr>
      <w:tblGrid>
        <w:gridCol w:w="271"/>
        <w:gridCol w:w="364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6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Description of Business</w:t>
            </w:r>
          </w:p>
        </w:tc>
      </w:tr>
    </w:tbl>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Zura Bio Limited, a Cayman Islands exempted company, formerly known as JATT Acquisition Corp (“JATT”), together with its subsidiaries (collectively, the “Company” or “Zura” or “Zura Bio”), is a clinical-stage biotechnology company advancing immunology assets into Phase 2 development programs, including ZB-168, a fully anti-IL7Ra monoclonal antibody, which it has licensed from Pfizer, Inc. (“Pfizer”), as well as torudokimab, a high affinity monoclonal antibody, and ZB-106, a bispecific antibody relating to IL-17 and BAFF, which it has licensed from Eli Lilly and Company (“Lilly”). The Company’s accounting predecessor, Zura Bio Limited (herein referred to as “Legacy Zura”), was formed in the United Kingdom (“UK”) on January 18, 2022 (“Inception”).</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Business Combination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Business Combination has been accounted for as a reverse recapitalization, with Legacy Zura being the accounting acquirer and JATT as the acquired company for accounting purposes. Accordingly, all historical financial information presented in the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under the symbols “ZURA” and “ZURAW,” respectively. See Note 3, Recapitalization, for additional details.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Emerging Growth Company Status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Change in Fiscal Year End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November 18, 2022, the Board of Directors approved a change in the Company’s fiscal year end from March 31 to December 31. The Company’s 2022 fiscal year began at the Company’s inception on January 18, 2022, and ended on December 31, 2022.</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change in fiscal year end also applies retrospectively to all previously issued financial statements for the periods ended March 31, 2022, June 30, 2022, and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since inception and expects to continue to incur significant operating losses for the foreseeable future and may never become profitable. The Company has an accumulated deficit of $103.5 and $32.1 million as of December 31, 2023 and 2022, respectively, and a net loss of $60.4 million and $25.7 million for the year ended December 31, 2023 and the period ended December 31, 2022, respectively. The Company’s existing sources of liquidity as of December 31, 2023 includes $99.8 million in 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received $75.8 million in net cash proceeds in connection with the April 2023 Private Placement. The Company’s cash requirements include, but are not limited to, clinical development, product manufacturing costs and working capital requirements. The Company expects such operating losses and negative cash flows from operations will continue but has sufficient liquidity to fund its operations over the next twelve months.</w:t>
      </w:r>
    </w:p>
    <w:tbl>
      <w:tblPr>
        <w:tblW w:w="4157" w:type="dxa"/>
        <w:jc w:val="left"/>
        <w:tblInd w:w="0" w:type="dxa"/>
        <w:tblLayout w:type="fixed"/>
        <w:tblCellMar>
          <w:top w:w="0" w:type="dxa"/>
          <w:left w:w="0" w:type="dxa"/>
          <w:bottom w:w="0" w:type="dxa"/>
          <w:right w:w="0" w:type="dxa"/>
        </w:tblCellMar>
      </w:tblPr>
      <w:tblGrid>
        <w:gridCol w:w="271"/>
        <w:gridCol w:w="388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88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Summary of Significant Accounting</w:t>
            </w:r>
            <w:r>
              <w:rPr>
                <w:caps w:val="false"/>
                <w:smallCaps w:val="false"/>
              </w:rPr>
              <w:t xml:space="preserve"> </w:t>
            </w:r>
            <w:r>
              <w:rPr>
                <w:rFonts w:ascii="Times New Roman;Times;serif" w:hAnsi="Times New Roman;Times;serif"/>
                <w:b/>
                <w:i w:val="false"/>
                <w:caps w:val="false"/>
                <w:smallCaps w:val="false"/>
                <w:sz w:val="20"/>
              </w:rPr>
              <w:t>Policies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(the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consolidated financial statements as redeemable noncontrolling interest and noncontrolling interest, respectively. All intercompany balances and transactions have been eliminated in consolidation.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as well as the reported amounts of expenses during the reporting period. Actual results could differ from those estimates. Significant estimates and assumptions reflected in the consolidated financial statements relate to and include, but are not limited to, the fair value of Class A Ordinary Shares and other assumptions used to measure share-based compensation, the fair value of redeemable noncontrolling interest, the fair value of share-based consideration transferred for acquired assets, the fair value of contingent consideration, the fair value of the private placement warrants, and the fair value of the note payable.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future product candidates will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2023, Silicon Valley Bank became insolvent. State regulators closed the bank and the Federal Deposit Insurance Corporation (“FDIC”) was appointed as its receiver. The Company held deposits with this bank. As a result of the actions by the FDIC, the Company’s insured and uninsured deposits have been restored.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at the date of purchase to be cash equivalents.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Deferred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capitalizes offering costs consisting of direct, incremental legal, accounting and other fees. The deferred offering costs are offset against the proceeds from the transaction. Should the transaction be abandoned or not be considered probable, the deferred offering costs will be expensed immediately as a charge to operating expenses in the consolidated statements of operations. The Company had $-0- and $3.5 million of deferred offering costs on the consolidated balance sheets as of December 31, 2023 and 2022,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(“R&amp;D”) expenses consist of all direct and indirect operating expenses supporting the processes and manufacturing in development, including consulting fees for clinical and manufacturing advisory services, costs related to manufacturing material for preclinical studies, payroll and benefits, which includes stock-based compensation, for research and development employees, licensing fees, and data and study acquisition costs. Expenses are recognized as an expense as the related goods are delivered or the services are performed.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 fees and subsequent pre-commercial milestone payments. Research and development costs incurred after the acquisition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also include the remeasurement of the research and development license consideration liability.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all share-based payments to employees and non-employees, including grants of share options, share options with non-market performance conditions (“PSOs”), share options with market-based performance conditions, restricted share units, and restricted share awards based on their respective grant date fair values. Share options that vest immediately and have a nominal exercise price are valued based on the fair value of the Company’s Class A Ordinary Shares on the date of grant. The Company estimates the fair value of share option grants using the Black-Scholes option-pricing model. The assumptions used in calculating the fair value of share-based awards represent management’s best estimates and involve inherent uncertainties and the application of management’s judgment. The Company expenses share-based compensation related to share options with only service conditions over the requisite service period on a straight-line basis. The Company will record share-based compensation expense for the PSOs when the Company’s management deems it probable that the performance conditions will be satisfied. The Company estimates the fair value of share option grants with market-based performance conditions using a Monte-Carlo simulation model. For share option grants with market-based performance conditions, the Company recognizes share-based compensation expense as the requisite service is rendered by the employee, regardless of when, if ever, the market-based performance conditions are satisfied. The share-based compensation costs are recorded in research and development and general and administrative expenses in the consolidated statements of operations. Forfeitures are recorded as they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Income taxes are recorded in accordance with ASC Accounting Standards Codification (“ASC”) 740, </w:t>
      </w:r>
      <w:r>
        <w:rPr>
          <w:rFonts w:ascii="Times New Roman;Times;serif" w:hAnsi="Times New Roman;Times;serif"/>
          <w:i/>
          <w:sz w:val="20"/>
        </w:rPr>
        <w:t>Income Taxes</w:t>
      </w:r>
      <w:r>
        <w:rPr>
          <w:rFonts w:ascii="Times New Roman;Times;serif" w:hAnsi="Times New Roman;Times;serif"/>
          <w:sz w:val="20"/>
        </w:rPr>
        <w:t xml:space="preserve">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using enacted tax rates in effect for the year in which the differences are expected to reverse, and net operating loss (“NOL”)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its deferred income tax assets in the future, an adjustment to the deferred income tax asset valuation allowance would increase income in the period such determination was made.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Business Combination, the Company assumed JATT’s public warrant and private placement warrant liabilities. As a result of the recapitalization, the settlement provisions of the public warrants no longer preclude equity classification and the public warrants were reclassified to equity following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April 2023 Private Placement, the Company sold pre-funded warrants (the “Pre-Funded Warrants”) to certain accredited investors. The Pre-Funded Warrants were classified as equity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Classification of the public and pre-funded warrants as equity instruments and the private placement warrants as liability instruments is based on management’s analysis of the guidance in ASC 815. The Company measures the private placement warrant liability at fair value each reporting period with the change in fair value recorded as other (expense) income in the consolidated statements of operations. The Company measured the public warrants at the fair value of the equity instruments as of the Closing Date of the Business Combination. The Company measured the pre-funded warrants at the fair value of the equity instruments as of the date of the April 2023 Private Placement. See Note 8 for additional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April 2023, the Company’s consolidated subsidiary, ZB17, issued a share-based payment award to a third party in connection with 2023 Lilly License representing a noncontrolling interest (see Note 6 for additional information). A noncontrolling interest in a subsidiary is considered an ownership interest in a majority-owned subsidiary that is not attributable to the parent. The Company includes noncontrolling interest as a component of total shareholders’ equity (deficit) on the Company’s consolidated balance sheets. The option to acquire ZB17 ownership interests do not provide the option-holder with rights to participate in the profits and losses of the subsidiary prior to the exercise of the option.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Redeemable 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2022, the Company’s consolidated subsidiary, Z33, issued 4,900,222 shares of Z33 Series Seed Preferred Shares to Stone Peach representing a noncontrolling interest (see Note 13 for additional information). The Z33 Series Seed Preferred Shares issued to Stone Peach contain put features and are considered redeemable until the exercise or the expiration of the put features. The redeemable noncontrolling interests are classified outside of permanent equity on the Company’s consolidated balance sheets. The redeemable noncontrolling interest is measured at the higher of (1) its initial carrying amount, increased or decreased for the noncontrolling interest’s share of Z33’s net income or loss, or (2) the redemption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107" w:name="Tc_AXzr9GQMekeAQTSOdUJ9Tg_9_0"/>
      <w:bookmarkStart w:id="1108" w:name="Tc_RXRhxEALUkK_XGxeUmOTgQ_8_0"/>
      <w:bookmarkStart w:id="1109" w:name="Tc_PbyhYXOIWkCKoOSLI8oSig_7_4"/>
      <w:bookmarkStart w:id="1110" w:name="Tc_KyyFMOdqtUmuM62trdBBJw_7_0"/>
      <w:bookmarkStart w:id="1111" w:name="Tc_Z2NKNqoeLEi2JUNTMoB3hA_6_4"/>
      <w:bookmarkStart w:id="1112" w:name="Tc_-GnxgRbZ5EuvGfEN4YFQWg_6_0"/>
      <w:bookmarkStart w:id="1113" w:name="Tc__0b4e8WI5UWD8Vidm7HYaA_5_4"/>
      <w:bookmarkStart w:id="1114" w:name="Tc_QtIaJAzavkulBPC8_tsqCQ_5_0"/>
      <w:bookmarkStart w:id="1115" w:name="Tc_IWAQu9GKqE68S4LQthWXyw_4_0"/>
      <w:bookmarkStart w:id="1116" w:name="Tc_PiMBCkQeaUuaseuXzMYwBQ_3_2"/>
      <w:bookmarkStart w:id="1117" w:name="Tc_zKNpeqX6XkiF-YtXu5UCfg_3_0"/>
      <w:bookmarkStart w:id="1118" w:name="Tc_KSRZLSZKfUefQeYc_LK3jA_2_4"/>
      <w:bookmarkStart w:id="1119" w:name="Tc_CkohCeghIkCnEqiy4Qfqjw_2_2"/>
      <w:bookmarkStart w:id="1120" w:name="Tc_5HA__T4LnUe0H0rplETq6w_1_4"/>
      <w:bookmarkStart w:id="1121" w:name="Tc_CIVIeSBgjU-YXKebX90j_g_1_2"/>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b/>
          <w:i/>
          <w:sz w:val="20"/>
        </w:rPr>
        <w:t>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computed by dividing net loss attributable to Class A Ordinary Shareholders by the weighted-average number of Class A Ordinary Shares outstanding, including Pre-Funded Warrants, during the period. Diluted net loss per share excludes the potential impact of the Company’s convertible preferred shares and options to purchase Class A Ordinary Shares because their effect would be anti-dilutive due to the Company’s net loss for the periods presented. Since the Company had a net loss in the periods presented, basic and diluted net loss per share are the same.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following provides potentially dilutive securities not included in the calculation of the diluted net loss per share because to do so would be anti-dilutive:</w:t>
      </w:r>
    </w:p>
    <w:p>
      <w:pPr>
        <w:pStyle w:val="TextBody"/>
        <w:bidi w:val="0"/>
        <w:spacing w:before="0" w:after="0"/>
        <w:ind w:left="0" w:right="0" w:hanging="0"/>
        <w:jc w:val="left"/>
        <w:rPr/>
      </w:pPr>
      <w:r>
        <w:rPr/>
        <w:t>​</w:t>
      </w:r>
    </w:p>
    <w:tbl>
      <w:tblPr>
        <w:tblW w:w="9745" w:type="dxa"/>
        <w:jc w:val="left"/>
        <w:tblInd w:w="0" w:type="dxa"/>
        <w:tblLayout w:type="fixed"/>
        <w:tblCellMar>
          <w:top w:w="0" w:type="dxa"/>
          <w:left w:w="0" w:type="dxa"/>
          <w:bottom w:w="0" w:type="dxa"/>
          <w:right w:w="0" w:type="dxa"/>
        </w:tblCellMar>
      </w:tblPr>
      <w:tblGrid>
        <w:gridCol w:w="6766"/>
        <w:gridCol w:w="326"/>
        <w:gridCol w:w="1141"/>
        <w:gridCol w:w="326"/>
        <w:gridCol w:w="118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6410" cy="175260"/>
                      <wp:effectExtent l="0" t="0" r="0" b="0"/>
                      <wp:wrapNone/>
                      <wp:docPr id="129" name="Frame123"/>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0"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24535" cy="175260"/>
                      <wp:effectExtent l="0" t="0" r="0" b="0"/>
                      <wp:wrapNone/>
                      <wp:docPr id="131" name="Frame1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2"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53110" cy="175260"/>
                      <wp:effectExtent l="0" t="0" r="0" b="0"/>
                      <wp:wrapNone/>
                      <wp:docPr id="133" name="Frame12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Preferred Shares</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13,510,415</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the Warrants to purchase Class A Ordinary Shares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12,809,996</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383,371</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5,791,065</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Z33 Series Seed Preferred Shares Put Right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1,543,018</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Restricted Share Awards </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499,993</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22,644,072</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13,893,786</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2022, the FASB issued Accounting Standards Update (“ASU”) 2022-03, </w:t>
      </w:r>
      <w:r>
        <w:rPr>
          <w:rFonts w:ascii="Times New Roman;Times;serif" w:hAnsi="Times New Roman;Times;serif"/>
          <w:i/>
          <w:sz w:val="20"/>
        </w:rPr>
        <w:t>Fair Value Measurement</w:t>
      </w:r>
      <w:r>
        <w:rPr>
          <w:rFonts w:ascii="Times New Roman;Times;serif" w:hAnsi="Times New Roman;Times;serif"/>
          <w:sz w:val="20"/>
        </w:rPr>
        <w:t xml:space="preserve"> (Topic 820): </w:t>
      </w:r>
      <w:r>
        <w:rPr>
          <w:rFonts w:ascii="Times New Roman;Times;serif" w:hAnsi="Times New Roman;Times;serif"/>
          <w:i/>
          <w:sz w:val="20"/>
        </w:rPr>
        <w:t>Fair Value Measurement</w:t>
      </w:r>
      <w:r>
        <w:rPr>
          <w:rFonts w:ascii="Times New Roman;Times;serif" w:hAnsi="Times New Roman;Times;serif"/>
          <w:sz w:val="20"/>
        </w:rPr>
        <w:t xml:space="preserve"> of Equity Securities Subject to Contractual Sale Restrictions, which clarifies the guidance of measuring the fair value of equity securities subject to contractual restrictions that prohibit the sale of the equity securities. The Company early adopted this standard effective January 1, 2023. The adoption of this standard did not have a material effect on the Company’s consolidated financial statements and related disclosures.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w:t>
      </w:r>
      <w:r>
        <w:rPr>
          <w:rFonts w:ascii="Times New Roman;Times;serif" w:hAnsi="Times New Roman;Times;serif"/>
          <w:sz w:val="20"/>
        </w:rPr>
        <w:t xml:space="preserve"> (“ASU 2023-07”). ASU 2023-07 requires disclosure of significant segment expenses that are regularly provided to the chief operating decision maker and included within the segment measure of profit or loss. This guidance will be applied retrospectively and is effective for annual reporting periods in fiscal years beginning after December 15, 2023, and interim reporting periods in fiscal years beginning after December 31, 2024. The Company does not expect implementation of the new guidance to have a material impact on its consolidated financial statements and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(“ASU 2023-09), which requires that an entity, on an annual basis, disclose additional income tax information, primarily related to the rate reconciliation and income taxes paid. The amendments are intended to enhance the transparency and decision usefulness of income tax disclosures. The amendments are effective for public entities with annual periods beginning after December 15, 2024, with early adoption permitted. The Company is currently evaluating the impact of the new standard, which is expected to result in enhanced disclosures, on its consolidated financial statements.</w:t>
      </w:r>
    </w:p>
    <w:tbl>
      <w:tblPr>
        <w:tblW w:w="1817" w:type="dxa"/>
        <w:jc w:val="left"/>
        <w:tblInd w:w="0" w:type="dxa"/>
        <w:tblLayout w:type="fixed"/>
        <w:tblCellMar>
          <w:top w:w="0" w:type="dxa"/>
          <w:left w:w="0" w:type="dxa"/>
          <w:bottom w:w="0" w:type="dxa"/>
          <w:right w:w="0" w:type="dxa"/>
        </w:tblCellMar>
      </w:tblPr>
      <w:tblGrid>
        <w:gridCol w:w="271"/>
        <w:gridCol w:w="154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5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1, Organization and Description of Business, on the Closing Date, JATT completed the acquisition of Legacy Zura and acquired 100% of Legacy Zura’s shares and Legacy Zura received proceeds of $56.7 million which includes proceeds from issuance of Class A Ordinary Shares upon the consummation of the Business Combination, including the Redemption Backstop shares (as defined below), proceeds from the PIPE investment (as defined below), and proceeds from the Forward Purchase Agreement (as defined below). The Company recorded $4.0 million of transaction costs, which consisted of legal, accounting, and other professional services directly related to the Business Combination. These costs were included in additional paid-in capital on the Company’s consolidated balance sheets. On the Closing Date, each holder of Legacy Zura’s ordinary shares received approximately 108.083 shares of the Company’s Class A Ordinary Shares, par value $0.0001 per share. See Note 7 for additional details of the Company’s shareholders’ equity (deficit) prior to and subsequent to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22" w:name="Tc_dTkfUy5HgE-TaX-gUOulsg_10_5"/>
      <w:bookmarkStart w:id="1123" w:name="Tc_LAxrxBZiyEmESo1EiHyzfg_10_0"/>
      <w:bookmarkStart w:id="1124" w:name="Tc_Q9jeQBwJT0CqvEaVw1rtdg_9_5"/>
      <w:bookmarkStart w:id="1125" w:name="Tc_aNwL2ZAVqUCqQYA828uBLg_9_0"/>
      <w:bookmarkStart w:id="1126" w:name="Tc_jXD1BTRQqUS4Izep1_784Q_8_5"/>
      <w:bookmarkStart w:id="1127" w:name="Tc_bMlns1UZCUW-ZXA7qNzbig_8_0"/>
      <w:bookmarkStart w:id="1128" w:name="Tc_gRxcIiCWH0aLZfJDbxH11w_7_5"/>
      <w:bookmarkStart w:id="1129" w:name="Tc_08hmOKgwfEm15hxqZhfINw_7_0"/>
      <w:bookmarkStart w:id="1130" w:name="Tc_ajPq-c1QJkO8H5-AUjkxJQ_6_5"/>
      <w:bookmarkStart w:id="1131" w:name="Tc_E45y7tYD2kSCZGJtcvv0IA_6_0"/>
      <w:bookmarkStart w:id="1132" w:name="Tc_cJbOYAJwIE2DvTfH9QoVFw_5_5"/>
      <w:bookmarkStart w:id="1133" w:name="Tc_4d-Vvx-KtEyDRk1UHuHUQQ_5_0"/>
      <w:bookmarkStart w:id="1134" w:name="Tc_z3JZqDfrlU-VqSnLlSfOdQ_4_5"/>
      <w:bookmarkStart w:id="1135" w:name="Tc_uEW-KZQ7-0iQHMkzv6UBNQ_4_0"/>
      <w:bookmarkStart w:id="1136" w:name="Tc_QOHHJXmzhUyIZ6rEwnKe5g_3_5"/>
      <w:bookmarkStart w:id="1137" w:name="Tc_p3NrHZNV-UiF2luspPLi0g_3_0"/>
      <w:bookmarkStart w:id="1138" w:name="Tc__ANm5R5ork20vi6xEoNAqw_2_5"/>
      <w:bookmarkStart w:id="1139" w:name="Tc_ZJXa6qX9hEWbX2zxAqsqjA_2_0"/>
      <w:bookmarkStart w:id="1140" w:name="Tc_H5DShc7hyUiDIdaTFtboHg_1_4"/>
      <w:bookmarkStart w:id="1141" w:name="Tc_KKc1nzv7TUqB7iFWDeNTZA_1_2"/>
      <w:bookmarkStart w:id="1142" w:name="_b51f49a9_00d2_45f5_a885_35c3bea23988"/>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r>
        <w:rPr>
          <w:rFonts w:ascii="Times New Roman;Times;serif" w:hAnsi="Times New Roman;Times;serif"/>
          <w:sz w:val="20"/>
        </w:rPr>
        <w:t>All equity awards of Legacy Zura were assumed by the Company and converted into comparable equity awards that are settled or exercisable for shares of the Company’s Class A Ordinary Shares. As a result, each outstanding share option was converted into an option exercisable for the Company’s Class A Ordinary Shares based on an exchange ratio of approximately 108.083 and each outstanding restricted share unit was converted into restricted units of the Company that, upon vesting, will be settled for the Company’s Class A Ordinary Shares based on an exchange ratio of approximately 108.083.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public and private placement warrant of JATT that was unexercised at the time of the Business Combination was assumed by the Company and represents the right to purchase one Class A Ordinary Share upon exercise of such warrant. Refer to Note 2 and Note 8 for further details.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was accounted for as a reverse recapitalization with Legacy Zura as the accounting acquirer and JATT as the acquired company for accounting purposes. Legacy Zura was determined to be the accounting acquirer since Legacy Zura’s shareholders as a group prior to the Business Combination held the majority voting interest in the combined entity, Legacy Zura’s shareholders appointed 4 out of the 7 directors of the combined Board of Directors, Legacy Zura’s management holds certain key positions in the management of the combined entity, and Legacy Zura is the largest of the combining entities based on historical operating activity and comprises all of the ongoing operations. Accordingly, all historical financial information presented in these consolidated financial statements represents the accounts of Legacy Zura. Net assets were stated at historical cost consistent with the treatment of the transaction as a reverse recapitalization of Legacy Zura. The Company’s convertible preferred shares and Class A Ordinary Shares prior to the closing of the Business Combination (as defined in Note 1) have been retroactively restated to reflect the exchange ratio of approximately 108.083 established in the Business Combination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Class A Ordinary Shares issued and outstanding immediately following the Business Combination on March 20, 2023 was:</w:t>
      </w:r>
    </w:p>
    <w:tbl>
      <w:tblPr>
        <w:tblW w:w="5846" w:type="dxa"/>
        <w:jc w:val="left"/>
        <w:tblInd w:w="0" w:type="dxa"/>
        <w:tblLayout w:type="fixed"/>
        <w:tblCellMar>
          <w:top w:w="0" w:type="dxa"/>
          <w:left w:w="0" w:type="dxa"/>
          <w:bottom w:w="0" w:type="dxa"/>
          <w:right w:w="0" w:type="dxa"/>
        </w:tblCellMar>
      </w:tblPr>
      <w:tblGrid>
        <w:gridCol w:w="3271"/>
        <w:gridCol w:w="326"/>
        <w:gridCol w:w="1036"/>
        <w:gridCol w:w="326"/>
        <w:gridCol w:w="571"/>
        <w:gridCol w:w="316"/>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7085" cy="175260"/>
                      <wp:effectExtent l="0" t="0" r="0" b="0"/>
                      <wp:wrapNone/>
                      <wp:docPr id="134" name="Frame128"/>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5"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57860" cy="175260"/>
                      <wp:effectExtent l="0" t="0" r="0" b="0"/>
                      <wp:wrapNone/>
                      <wp:docPr id="136" name="Frame1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37"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38"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0660" cy="175260"/>
                      <wp:effectExtent l="0" t="0" r="0" b="0"/>
                      <wp:wrapNone/>
                      <wp:docPr id="139" name="Frame1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JATT Public shareholders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182,498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Zura shares issued – 2022 Lilly license</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550,000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Redemption Backstop</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1,301,633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Redemption Backstop Consideration</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2,500,000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JATT Founders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3,450,000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PIPE Investment</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2,009,950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Forward Purchase Agreement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3,000,000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Legacy Zura equity holders</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14,058,074</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52.0</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shares outstanding</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27,052,155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PIPE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of the Business Combination Agreement, JATT entered into subscription agreements with certain “accredited investors” (as defined by Rule 501 of Regulation D) (the “PIPE Investors”) on June 16, 2022, as amended on November 25, 2022, (the “Ewon PIPE Subscription Agreement”) and March 13, 2023 (the “Eugene PIPE Subscription Agreement”), pursuant to which the PIPE Investors collectively subscribed for and agreed to purchase an aggregate of 2,009,950 JATT Class A Ordinary Shares at a purchase price of $10.00 per share for $20,099,500.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Forward Purchase Agreement and Redemption Backstop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27, 2022, JATT entered into an Amended Forward Purchase Agreement (the “Forward Purchase Agreement”) with two institutional investors (the “FPA Investors”) providing that at the Closing of the Business Combination: (i) the purchasers will purchase an aggregate of 3,000,000 Class A Ordinary Shares at $10 per share for $30,000,000; and (ii) the purchase of, in a binding redemption backstop (the “Redemption Backstop”), up to an additional $15 million of Class A Ordinary Shares in the event that public Class A Ordinary Share redemptions are greater than 90% in connection with the Business Combination (the “Excess Redemptions”). On the Closing Date, FPA Investors purchased 1,301,633 JATT Class A Ordinary Shares at $10 per share for $13,016,330. In addition, the FPA Investors were issued an additional 2,500,000 Class A Ordinary Shares (“Redemption Backstop Consideration”) for no additional consideration.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43" w:name="_afc04556_0680_42a5_8c3d_7813943baa04_3"/>
      <w:bookmarkStart w:id="1144" w:name="_afc04556_0680_42a5_8c3d_7813943baa04_2"/>
      <w:bookmarkStart w:id="1145" w:name="_afc04556_0680_42a5_8c3d_7813943baa04"/>
      <w:bookmarkStart w:id="1146" w:name="_5bd520bf_84ad_471a_a05b_ad53e7c93b04_3"/>
      <w:bookmarkStart w:id="1147" w:name="_5bd520bf_84ad_471a_a05b_ad53e7c93b04_2"/>
      <w:bookmarkStart w:id="1148" w:name="_5bd520bf_84ad_471a_a05b_ad53e7c93b04"/>
      <w:bookmarkStart w:id="1149" w:name="Tc_puKLSqkGmUCUYqCPLu36bw_6_11"/>
      <w:bookmarkStart w:id="1150" w:name="Tc_9AefQZkrTU-kf644SSI07Q_6_8"/>
      <w:bookmarkStart w:id="1151" w:name="Tc_Cro7EP0_SUyjRwBGzxG57g_6_6"/>
      <w:bookmarkStart w:id="1152" w:name="Tc_mm2DrerbvEakmngoVd_U0Q_6_5"/>
      <w:bookmarkStart w:id="1153" w:name="Tc_qklRROk5WEK-6rZkrxawSg_6_3"/>
      <w:bookmarkStart w:id="1154" w:name="Tc_P7oIzYLcxEi4i7DdQWdH9w_6_2"/>
      <w:bookmarkStart w:id="1155" w:name="Tc_2spS-9WFMke5lzGWtt-_vg_6_0"/>
      <w:bookmarkStart w:id="1156" w:name="Tc_XwhiWaKRO0GY3VhFyWg7Rw_5_11"/>
      <w:bookmarkStart w:id="1157" w:name="Tc_8BwroY_3sUm48DmRzGZEPA_5_8"/>
      <w:bookmarkStart w:id="1158" w:name="Tc_FtbSIYvk606V6xfxySWGoQ_5_6"/>
      <w:bookmarkStart w:id="1159" w:name="Tc_zzwQLcEPTUy2oefYbT8vWw_5_5"/>
      <w:bookmarkStart w:id="1160" w:name="Tc__GV02cjSEEOvTrIZRGwGWg_5_3"/>
      <w:bookmarkStart w:id="1161" w:name="Tc_NQwMk2cJ_UupKwTYOIr7ug_5_2"/>
      <w:bookmarkStart w:id="1162" w:name="Tc_xZ5CPZxJbUaUTrfyL7jJVA_5_0"/>
      <w:bookmarkStart w:id="1163" w:name="Tc_68a-hwXFb0ihDF5ke-EwUQ_4_11"/>
      <w:bookmarkStart w:id="1164" w:name="Tc_pEGx3AFFc06NNSGSANhuKg_4_8"/>
      <w:bookmarkStart w:id="1165" w:name="Tc_vSDdFbrX1UuQuZK7wkBUug_4_6"/>
      <w:bookmarkStart w:id="1166" w:name="Tc_vwRT3Tpcz0aMKgJW8ZsJfw_4_5"/>
      <w:bookmarkStart w:id="1167" w:name="Tc_Kkd3YzfV1USvZa-Sn8X2gA_4_3"/>
      <w:bookmarkStart w:id="1168" w:name="Tc_LCoQrZ14o0qeiODMn1MLgA_4_2"/>
      <w:bookmarkStart w:id="1169" w:name="Tc_npaYGHwTukaeAomxYC5-wQ_4_0"/>
      <w:bookmarkStart w:id="1170" w:name="Tc_v2h60cIAEk6es11XiWSD4Q_3_0"/>
      <w:bookmarkStart w:id="1171" w:name="Tc_o7SHPfaFdkWdi_w1a_f7YQ_2_11"/>
      <w:bookmarkStart w:id="1172" w:name="Tc_ivBgcOFD7EC_4hdTOkRX7g_2_8"/>
      <w:bookmarkStart w:id="1173" w:name="Tc_etgxtlVqG0Kin92png62KA_2_5"/>
      <w:bookmarkStart w:id="1174" w:name="Tc_R1ZdyN-ZjE2V07KcBHk0-g_2_2"/>
      <w:bookmarkStart w:id="1175" w:name="Tc_nrVZN2WGzUmUUs1KXne0-Q_1_2"/>
      <w:bookmarkStart w:id="1176" w:name="_8e2a5c87_dd31_4a26_9a05_eb484ac5fda3"/>
      <w:bookmarkStart w:id="1177" w:name="Tc_dhCfayzP2UiolKbfBDMV4w_6_11"/>
      <w:bookmarkStart w:id="1178" w:name="Tc_VJjNmdidKkatRexXzP2RpQ_6_9"/>
      <w:bookmarkStart w:id="1179" w:name="Tc_q0EzNmP6gUOzg-K3wt2zjg_6_8"/>
      <w:bookmarkStart w:id="1180" w:name="Tc_MRPcqyg1e0WsIWhUoo1tJw_6_5"/>
      <w:bookmarkStart w:id="1181" w:name="Tc_NXsoNaRWP0mhqnQhPNjd0g_6_3"/>
      <w:bookmarkStart w:id="1182" w:name="Tc_eRI9xWazaUu1gYdefu5CcA_6_2"/>
      <w:bookmarkStart w:id="1183" w:name="Tc_DehMI-6bSkeA3Ip1a14ZRw_6_0"/>
      <w:bookmarkStart w:id="1184" w:name="Tc_OqVZ63unEkadd60pSStNmQ_5_0"/>
      <w:bookmarkStart w:id="1185" w:name="Tc_iCWz1tMytUWKs__ZIi36NQ_4_11"/>
      <w:bookmarkStart w:id="1186" w:name="Tc_CVbLQdd2WEKkiT6acBeIwA_4_9"/>
      <w:bookmarkStart w:id="1187" w:name="Tc_LF7oC1Ac1Um7PpK6qKcTvw_4_8"/>
      <w:bookmarkStart w:id="1188" w:name="Tc_A2Bb2IGy9Euwxu5lMGVT-A_4_6"/>
      <w:bookmarkStart w:id="1189" w:name="Tc_COyaLr5z3E2kQna7_Y2XwQ_4_5"/>
      <w:bookmarkStart w:id="1190" w:name="Tc_GhuKY61cqEy6Qw53m1ZfRg_4_2"/>
      <w:bookmarkStart w:id="1191" w:name="Tc_UXBfFjEH0kKevQ3NjyR6lA_4_0"/>
      <w:bookmarkStart w:id="1192" w:name="Tc_3DiY7wDxnkyQJv9VF7gWyw_3_0"/>
      <w:bookmarkStart w:id="1193" w:name="Tc_SO2pkvxFMUOwD02PZBFIgg_2_11"/>
      <w:bookmarkStart w:id="1194" w:name="Tc_qVhYJeiZSECmBVMF6HMnuA_2_8"/>
      <w:bookmarkStart w:id="1195" w:name="Tc_pdk6awfddUWeLhhWUU_9Gg_2_5"/>
      <w:bookmarkStart w:id="1196" w:name="Tc_WhO15p6QMkuAVMliVgfaCQ_2_2"/>
      <w:bookmarkStart w:id="1197" w:name="Tc_qZCRVIXm70iZAx8y7ctQDA_1_2"/>
      <w:bookmarkStart w:id="1198" w:name="_3f4efb83_6008_4743_ade8_d87f7c7daf97"/>
      <w:bookmarkStart w:id="1199" w:name="_afc04556_0680_42a5_8c3d_7813943baa04_3"/>
      <w:bookmarkStart w:id="1200" w:name="_afc04556_0680_42a5_8c3d_7813943baa04_2"/>
      <w:bookmarkStart w:id="1201" w:name="_afc04556_0680_42a5_8c3d_7813943baa04"/>
      <w:bookmarkStart w:id="1202" w:name="_5bd520bf_84ad_471a_a05b_ad53e7c93b04_3"/>
      <w:bookmarkStart w:id="1203" w:name="_5bd520bf_84ad_471a_a05b_ad53e7c93b04_2"/>
      <w:bookmarkStart w:id="1204" w:name="_5bd520bf_84ad_471a_a05b_ad53e7c93b04"/>
      <w:bookmarkStart w:id="1205" w:name="Tc_puKLSqkGmUCUYqCPLu36bw_6_11"/>
      <w:bookmarkStart w:id="1206" w:name="Tc_9AefQZkrTU-kf644SSI07Q_6_8"/>
      <w:bookmarkStart w:id="1207" w:name="Tc_Cro7EP0_SUyjRwBGzxG57g_6_6"/>
      <w:bookmarkStart w:id="1208" w:name="Tc_mm2DrerbvEakmngoVd_U0Q_6_5"/>
      <w:bookmarkStart w:id="1209" w:name="Tc_qklRROk5WEK-6rZkrxawSg_6_3"/>
      <w:bookmarkStart w:id="1210" w:name="Tc_P7oIzYLcxEi4i7DdQWdH9w_6_2"/>
      <w:bookmarkStart w:id="1211" w:name="Tc_2spS-9WFMke5lzGWtt-_vg_6_0"/>
      <w:bookmarkStart w:id="1212" w:name="Tc_XwhiWaKRO0GY3VhFyWg7Rw_5_11"/>
      <w:bookmarkStart w:id="1213" w:name="Tc_8BwroY_3sUm48DmRzGZEPA_5_8"/>
      <w:bookmarkStart w:id="1214" w:name="Tc_FtbSIYvk606V6xfxySWGoQ_5_6"/>
      <w:bookmarkStart w:id="1215" w:name="Tc_zzwQLcEPTUy2oefYbT8vWw_5_5"/>
      <w:bookmarkStart w:id="1216" w:name="Tc__GV02cjSEEOvTrIZRGwGWg_5_3"/>
      <w:bookmarkStart w:id="1217" w:name="Tc_NQwMk2cJ_UupKwTYOIr7ug_5_2"/>
      <w:bookmarkStart w:id="1218" w:name="Tc_xZ5CPZxJbUaUTrfyL7jJVA_5_0"/>
      <w:bookmarkStart w:id="1219" w:name="Tc_68a-hwXFb0ihDF5ke-EwUQ_4_11"/>
      <w:bookmarkStart w:id="1220" w:name="Tc_pEGx3AFFc06NNSGSANhuKg_4_8"/>
      <w:bookmarkStart w:id="1221" w:name="Tc_vSDdFbrX1UuQuZK7wkBUug_4_6"/>
      <w:bookmarkStart w:id="1222" w:name="Tc_vwRT3Tpcz0aMKgJW8ZsJfw_4_5"/>
      <w:bookmarkStart w:id="1223" w:name="Tc_Kkd3YzfV1USvZa-Sn8X2gA_4_3"/>
      <w:bookmarkStart w:id="1224" w:name="Tc_LCoQrZ14o0qeiODMn1MLgA_4_2"/>
      <w:bookmarkStart w:id="1225" w:name="Tc_npaYGHwTukaeAomxYC5-wQ_4_0"/>
      <w:bookmarkStart w:id="1226" w:name="Tc_v2h60cIAEk6es11XiWSD4Q_3_0"/>
      <w:bookmarkStart w:id="1227" w:name="Tc_o7SHPfaFdkWdi_w1a_f7YQ_2_11"/>
      <w:bookmarkStart w:id="1228" w:name="Tc_ivBgcOFD7EC_4hdTOkRX7g_2_8"/>
      <w:bookmarkStart w:id="1229" w:name="Tc_etgxtlVqG0Kin92png62KA_2_5"/>
      <w:bookmarkStart w:id="1230" w:name="Tc_R1ZdyN-ZjE2V07KcBHk0-g_2_2"/>
      <w:bookmarkStart w:id="1231" w:name="Tc_nrVZN2WGzUmUUs1KXne0-Q_1_2"/>
      <w:bookmarkStart w:id="1232" w:name="_8e2a5c87_dd31_4a26_9a05_eb484ac5fda3"/>
      <w:bookmarkStart w:id="1233" w:name="Tc_dhCfayzP2UiolKbfBDMV4w_6_11"/>
      <w:bookmarkStart w:id="1234" w:name="Tc_VJjNmdidKkatRexXzP2RpQ_6_9"/>
      <w:bookmarkStart w:id="1235" w:name="Tc_q0EzNmP6gUOzg-K3wt2zjg_6_8"/>
      <w:bookmarkStart w:id="1236" w:name="Tc_MRPcqyg1e0WsIWhUoo1tJw_6_5"/>
      <w:bookmarkStart w:id="1237" w:name="Tc_NXsoNaRWP0mhqnQhPNjd0g_6_3"/>
      <w:bookmarkStart w:id="1238" w:name="Tc_eRI9xWazaUu1gYdefu5CcA_6_2"/>
      <w:bookmarkStart w:id="1239" w:name="Tc_DehMI-6bSkeA3Ip1a14ZRw_6_0"/>
      <w:bookmarkStart w:id="1240" w:name="Tc_OqVZ63unEkadd60pSStNmQ_5_0"/>
      <w:bookmarkStart w:id="1241" w:name="Tc_iCWz1tMytUWKs__ZIi36NQ_4_11"/>
      <w:bookmarkStart w:id="1242" w:name="Tc_CVbLQdd2WEKkiT6acBeIwA_4_9"/>
      <w:bookmarkStart w:id="1243" w:name="Tc_LF7oC1Ac1Um7PpK6qKcTvw_4_8"/>
      <w:bookmarkStart w:id="1244" w:name="Tc_A2Bb2IGy9Euwxu5lMGVT-A_4_6"/>
      <w:bookmarkStart w:id="1245" w:name="Tc_COyaLr5z3E2kQna7_Y2XwQ_4_5"/>
      <w:bookmarkStart w:id="1246" w:name="Tc_GhuKY61cqEy6Qw53m1ZfRg_4_2"/>
      <w:bookmarkStart w:id="1247" w:name="Tc_UXBfFjEH0kKevQ3NjyR6lA_4_0"/>
      <w:bookmarkStart w:id="1248" w:name="Tc_3DiY7wDxnkyQJv9VF7gWyw_3_0"/>
      <w:bookmarkStart w:id="1249" w:name="Tc_SO2pkvxFMUOwD02PZBFIgg_2_11"/>
      <w:bookmarkStart w:id="1250" w:name="Tc_qVhYJeiZSECmBVMF6HMnuA_2_8"/>
      <w:bookmarkStart w:id="1251" w:name="Tc_pdk6awfddUWeLhhWUU_9Gg_2_5"/>
      <w:bookmarkStart w:id="1252" w:name="Tc_WhO15p6QMkuAVMliVgfaCQ_2_2"/>
      <w:bookmarkStart w:id="1253" w:name="Tc_qZCRVIXm70iZAx8y7ctQDA_1_2"/>
      <w:bookmarkStart w:id="1254" w:name="_3f4efb83_6008_4743_ade8_d87f7c7daf97"/>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p>
    <w:tbl>
      <w:tblPr>
        <w:tblW w:w="2612" w:type="dxa"/>
        <w:jc w:val="left"/>
        <w:tblInd w:w="0" w:type="dxa"/>
        <w:tblLayout w:type="fixed"/>
        <w:tblCellMar>
          <w:top w:w="0" w:type="dxa"/>
          <w:left w:w="0" w:type="dxa"/>
          <w:bottom w:w="0" w:type="dxa"/>
          <w:right w:w="0" w:type="dxa"/>
        </w:tblCellMar>
      </w:tblPr>
      <w:tblGrid>
        <w:gridCol w:w="271"/>
        <w:gridCol w:w="23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3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xml:space="preserve"> Inputs are unadjusted, quoted prices in active markets for identical assets or liabilities at the measurement date;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xml:space="preserve">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xml:space="preserve"> Unobservable inputs that are significant to the measurement of the fair value of the assets or liabilities that are supported by little or no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consist of cash and cash equivalents, prepaid and other current assets, accounts payable and accrued expenses, note payable, private placement warrants, and research and development license consideration. The carrying values of the Company’s cash, prepaid and other current assets, and accounts payable and accrued expenses approximate their fair value due to the short-term maturity of these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financial assets and liabilities measured at fair value on a recurring basis as of December 31, 2023 and 2022, and the fair value hierarchy of the valuation techniques utilized:</w:t>
      </w:r>
    </w:p>
    <w:p>
      <w:pPr>
        <w:pStyle w:val="TextBody"/>
        <w:bidi w:val="0"/>
        <w:spacing w:before="0" w:after="0"/>
        <w:ind w:left="0" w:right="0" w:hanging="0"/>
        <w:jc w:val="left"/>
        <w:rPr/>
      </w:pPr>
      <w:r>
        <w:rPr/>
        <w:t>​</w:t>
      </w:r>
    </w:p>
    <w:tbl>
      <w:tblPr>
        <w:tblW w:w="6682" w:type="dxa"/>
        <w:jc w:val="left"/>
        <w:tblInd w:w="0" w:type="dxa"/>
        <w:tblLayout w:type="fixed"/>
        <w:tblCellMar>
          <w:top w:w="0" w:type="dxa"/>
          <w:left w:w="0" w:type="dxa"/>
          <w:bottom w:w="0" w:type="dxa"/>
          <w:right w:w="0" w:type="dxa"/>
        </w:tblCellMar>
      </w:tblPr>
      <w:tblGrid>
        <w:gridCol w:w="2296"/>
        <w:gridCol w:w="326"/>
        <w:gridCol w:w="211"/>
        <w:gridCol w:w="676"/>
        <w:gridCol w:w="326"/>
        <w:gridCol w:w="211"/>
        <w:gridCol w:w="421"/>
        <w:gridCol w:w="326"/>
        <w:gridCol w:w="239"/>
        <w:gridCol w:w="392"/>
        <w:gridCol w:w="326"/>
        <w:gridCol w:w="211"/>
        <w:gridCol w:w="72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457960" cy="175260"/>
                      <wp:effectExtent l="0" t="0" r="0" b="0"/>
                      <wp:wrapNone/>
                      <wp:docPr id="140" name="Frame134"/>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1"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2"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3" name="Frame1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4"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5"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67335" cy="175260"/>
                      <wp:effectExtent l="0" t="0" r="0" b="0"/>
                      <wp:wrapNone/>
                      <wp:docPr id="146" name="Frame14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47"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1765" cy="175260"/>
                      <wp:effectExtent l="0" t="0" r="0" b="0"/>
                      <wp:wrapNone/>
                      <wp:docPr id="148" name="Frame14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48920" cy="175260"/>
                      <wp:effectExtent l="0" t="0" r="0" b="0"/>
                      <wp:wrapNone/>
                      <wp:docPr id="149" name="Frame14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0"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1"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7835" cy="175260"/>
                      <wp:effectExtent l="0" t="0" r="0" b="0"/>
                      <wp:wrapNone/>
                      <wp:docPr id="152" name="Frame14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06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97,913</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990</w:t>
            </w:r>
          </w:p>
        </w:tc>
      </w:tr>
    </w:tbl>
    <w:p>
      <w:pPr>
        <w:pStyle w:val="TextBody"/>
        <w:bidi w:val="0"/>
        <w:spacing w:before="0" w:after="240"/>
        <w:ind w:left="0" w:right="0" w:hanging="0"/>
        <w:jc w:val="both"/>
        <w:rPr/>
      </w:pPr>
      <w:r>
        <w:rPr/>
        <w:t>​</w:t>
      </w:r>
    </w:p>
    <w:tbl>
      <w:tblPr>
        <w:tblW w:w="8526" w:type="dxa"/>
        <w:jc w:val="left"/>
        <w:tblInd w:w="0" w:type="dxa"/>
        <w:tblLayout w:type="fixed"/>
        <w:tblCellMar>
          <w:top w:w="0" w:type="dxa"/>
          <w:left w:w="0" w:type="dxa"/>
          <w:bottom w:w="0" w:type="dxa"/>
          <w:right w:w="0" w:type="dxa"/>
        </w:tblCellMar>
      </w:tblPr>
      <w:tblGrid>
        <w:gridCol w:w="4081"/>
        <w:gridCol w:w="326"/>
        <w:gridCol w:w="239"/>
        <w:gridCol w:w="392"/>
        <w:gridCol w:w="326"/>
        <w:gridCol w:w="239"/>
        <w:gridCol w:w="392"/>
        <w:gridCol w:w="326"/>
        <w:gridCol w:w="211"/>
        <w:gridCol w:w="676"/>
        <w:gridCol w:w="326"/>
        <w:gridCol w:w="211"/>
        <w:gridCol w:w="78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591435" cy="175260"/>
                      <wp:effectExtent l="0" t="0" r="0" b="0"/>
                      <wp:wrapNone/>
                      <wp:docPr id="153" name="Frame147"/>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4"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1765" cy="175260"/>
                      <wp:effectExtent l="0" t="0" r="0" b="0"/>
                      <wp:wrapNone/>
                      <wp:docPr id="155" name="Frame14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8920" cy="175260"/>
                      <wp:effectExtent l="0" t="0" r="0" b="0"/>
                      <wp:wrapNone/>
                      <wp:docPr id="156" name="Frame15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57"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1765" cy="175260"/>
                      <wp:effectExtent l="0" t="0" r="0" b="0"/>
                      <wp:wrapNone/>
                      <wp:docPr id="158" name="Frame15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8920" cy="175260"/>
                      <wp:effectExtent l="0" t="0" r="0" b="0"/>
                      <wp:wrapNone/>
                      <wp:docPr id="159" name="Frame15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0"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1"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9260" cy="175260"/>
                      <wp:effectExtent l="0" t="0" r="0" b="0"/>
                      <wp:wrapNone/>
                      <wp:docPr id="162" name="Frame1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3"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4"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95935" cy="175260"/>
                      <wp:effectExtent l="0" t="0" r="0" b="0"/>
                      <wp:wrapNone/>
                      <wp:docPr id="165" name="Frame1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1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license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10,390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transfers into or out of Level 1, Level 2, or Level 3 during the year ended December 31, 2023 and the period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255" w:name="Tc_vItho_UdWk2uJW3XdJ7gUQ_5_3"/>
      <w:bookmarkStart w:id="1256" w:name="Tc_Kam-QBAewE-WLF0_sxoEsQ_5_2"/>
      <w:bookmarkStart w:id="1257" w:name="Tc_SaH2neC1yUC_OHyZKUoL_w_5_0"/>
      <w:bookmarkStart w:id="1258" w:name="Tc_mjisz-LvO0uVe1AxHYCFCg_4_0"/>
      <w:bookmarkStart w:id="1259" w:name="Tc_fA0GtHH9r0aX7AkvNeby0A_3_0"/>
      <w:bookmarkStart w:id="1260" w:name="Tc_WCHYdM8F9UGp3IylRj0gHg_2_2"/>
      <w:bookmarkStart w:id="1261" w:name="Tc_3W_njtGggkal0vrxCSHmRA_2_0"/>
      <w:bookmarkStart w:id="1262" w:name="Tc_tccRPESmcU-2H4N9NLNObw_1_2"/>
      <w:bookmarkStart w:id="1263" w:name="Tc_OJs7esY-Oku9dla298Inzw_5_3"/>
      <w:bookmarkStart w:id="1264" w:name="Tc_ftrF6D7Q8kGHNufmxKGuqg_5_2"/>
      <w:bookmarkStart w:id="1265" w:name="Tc_ouK-UgJbFU2Qbg5E1l7K9A_5_0"/>
      <w:bookmarkStart w:id="1266" w:name="Tc_56-0kGis802iTJtHhiM_NQ_4_0"/>
      <w:bookmarkStart w:id="1267" w:name="Tc_MrL3uaWm_UuGQExMs0-gHA_3_0"/>
      <w:bookmarkStart w:id="1268" w:name="Tc_fWwIbTtRSkiWIZtLek5t3Q_2_2"/>
      <w:bookmarkStart w:id="1269" w:name="Tc_WgRIk-wKQ0SSA6rDNy9QwQ_2_0"/>
      <w:bookmarkStart w:id="1270" w:name="Tc_u74eEnfioUKuEIENm8M6Nw_1_2"/>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b/>
          <w:i/>
          <w:sz w:val="20"/>
        </w:rPr>
        <w:t>Note payable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elected the fair value option to account for its Note payable to Hydra, LLC (see Note 10). The fair value of the Note payable at issuance was measured as the cash proceeds from the Note. The fair value of the Note payable subsequent to issuance was estimated using the probability-weighted expected return method (“PWERM”), whereby the total settlement obligation under the Note was determined based on the amounts payable to Hydra under various scenarios. The PWERM’s output is determined based on inputs not observable in the market, which represented a Level 3 measurement within the fair value hierarchy. The PWERM contemplated three scenarios: i) the Company consummates the Business Combination without triggering an event of default, ii) the Company triggers an event of default, and consummates the Business Combination, and iii) the Company does not consummate the Business Combination. The settlement value of each scenario was determined using a discounted cash flow model. Significant estimates in the cash flow model include the discount rate and time to repayment. As of December 31, 2022, the weighted average discount rate was 9.0%, and the weighted average time to repayment was 0.6 years, each weighted by the probability of the scenario. Upon the Closing Date of the Business Combination, the Note was remeasured to the settlement value and subsequently repaid for a total of $10.0 million. The following table provides a summary of changes in the estimated fair value of the Note:</w:t>
      </w:r>
    </w:p>
    <w:p>
      <w:pPr>
        <w:pStyle w:val="TextBody"/>
        <w:bidi w:val="0"/>
        <w:spacing w:before="0" w:after="0"/>
        <w:ind w:left="0" w:right="0" w:hanging="0"/>
        <w:jc w:val="left"/>
        <w:rPr/>
      </w:pPr>
      <w:r>
        <w:rPr/>
        <w:t>​</w:t>
      </w:r>
    </w:p>
    <w:tbl>
      <w:tblPr>
        <w:tblW w:w="9455" w:type="dxa"/>
        <w:jc w:val="left"/>
        <w:tblInd w:w="0" w:type="dxa"/>
        <w:tblLayout w:type="fixed"/>
        <w:tblCellMar>
          <w:top w:w="0" w:type="dxa"/>
          <w:left w:w="0" w:type="dxa"/>
          <w:bottom w:w="0" w:type="dxa"/>
          <w:right w:w="0" w:type="dxa"/>
        </w:tblCellMar>
      </w:tblPr>
      <w:tblGrid>
        <w:gridCol w:w="7801"/>
        <w:gridCol w:w="109"/>
        <w:gridCol w:w="310"/>
        <w:gridCol w:w="1235"/>
      </w:tblGrid>
      <w:tr>
        <w:trPr/>
        <w:tc>
          <w:tcPr>
            <w:tcW w:w="7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3635" cy="175260"/>
                      <wp:effectExtent l="0" t="0" r="0" b="0"/>
                      <wp:wrapNone/>
                      <wp:docPr id="166" name="Frame160"/>
                      <a:graphic xmlns:a="http://schemas.openxmlformats.org/drawingml/2006/main">
                        <a:graphicData uri="http://schemas.microsoft.com/office/word/2010/wordprocessingShape">
                          <wps:wsp>
                            <wps:cNvSpPr txBox="1"/>
                            <wps:spPr>
                              <a:xfrm>
                                <a:off x="0" y="0"/>
                                <a:ext cx="495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67"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6850" cy="175260"/>
                      <wp:effectExtent l="0" t="0" r="0" b="0"/>
                      <wp:wrapNone/>
                      <wp:docPr id="168" name="Frame16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84225" cy="175260"/>
                      <wp:effectExtent l="0" t="0" r="0" b="0"/>
                      <wp:wrapNone/>
                      <wp:docPr id="169" name="Frame163"/>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7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r>
      <w:tr>
        <w:trPr/>
        <w:tc>
          <w:tcPr>
            <w:tcW w:w="7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the Note to settlement value upon the Closing of the Business Combination</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r>
      <w:tr>
        <w:trPr/>
        <w:tc>
          <w:tcPr>
            <w:tcW w:w="7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the Note</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loss on remeasurement of the Note of $2.2 million and $0.2 million for the year ended December 31, 2023 and the period ended December 31, 2022, respectively, within change in fair value of note payable in the consolidated statements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license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consideration for the 2022 Lilly License (see Note 6), Lilly agreed to receive either 550,000 Zura Class A Ordinary Shares upon the closing of the Business Combination (subject to certain lock-up provisions) or 4,702,867 shares of Z33 Series Seed Preferred Shares (the subsidiary redeemable preferred shares) if the Business Combination was not consummated. As of December 31, 2022, the arrangement was liability classified and remeasured at fair value at each reporting date (the research and development license consideration liability). The fair value of the research and development license consideration liability was estimated using the PWERM, whereby the total settlement obligation was determined based upon the fair value of the JATT Class A Ordinary Shares, the Z33 Series Seed Preferred Shares, and the probability of the consummation of the Business Combination. As certain of the inputs to the PWERM are not observable in the market, the research and development license consideration liability represented a Level 3 measurement within the fair value hierarchy. As of December 31, 2022, the fair value of JATT Class A Ordinary Shares was determined to be $7.66 per share, a discount to the trading price due to the shares being subject to a lock-up provision. As of December 31, 2022, the fair value of Z33 Series Seed Preferred Shares was determined to be $0.15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The following table provides a summary of changes in the estimated fair value of the liability:</w:t>
      </w:r>
    </w:p>
    <w:p>
      <w:pPr>
        <w:pStyle w:val="TextBody"/>
        <w:bidi w:val="0"/>
        <w:spacing w:before="0" w:after="0"/>
        <w:ind w:left="0" w:right="0" w:hanging="0"/>
        <w:jc w:val="left"/>
        <w:rPr/>
      </w:pPr>
      <w:r>
        <w:rPr/>
        <w:t>​</w:t>
      </w:r>
    </w:p>
    <w:tbl>
      <w:tblPr>
        <w:tblW w:w="9725" w:type="dxa"/>
        <w:jc w:val="left"/>
        <w:tblInd w:w="0" w:type="dxa"/>
        <w:tblLayout w:type="fixed"/>
        <w:tblCellMar>
          <w:top w:w="0" w:type="dxa"/>
          <w:left w:w="0" w:type="dxa"/>
          <w:bottom w:w="0" w:type="dxa"/>
          <w:right w:w="0" w:type="dxa"/>
        </w:tblCellMar>
      </w:tblPr>
      <w:tblGrid>
        <w:gridCol w:w="8071"/>
        <w:gridCol w:w="109"/>
        <w:gridCol w:w="344"/>
        <w:gridCol w:w="1201"/>
      </w:tblGrid>
      <w:tr>
        <w:trPr/>
        <w:tc>
          <w:tcPr>
            <w:tcW w:w="8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125085" cy="175260"/>
                      <wp:effectExtent l="0" t="0" r="0" b="0"/>
                      <wp:wrapNone/>
                      <wp:docPr id="170" name="Frame164"/>
                      <a:graphic xmlns:a="http://schemas.openxmlformats.org/drawingml/2006/main">
                        <a:graphicData uri="http://schemas.microsoft.com/office/word/2010/wordprocessingShape">
                          <wps:wsp>
                            <wps:cNvSpPr txBox="1"/>
                            <wps:spPr>
                              <a:xfrm>
                                <a:off x="0" y="0"/>
                                <a:ext cx="512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1"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8440" cy="175260"/>
                      <wp:effectExtent l="0" t="0" r="0" b="0"/>
                      <wp:wrapNone/>
                      <wp:docPr id="172" name="Frame166"/>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62635" cy="175260"/>
                      <wp:effectExtent l="0" t="0" r="0" b="0"/>
                      <wp:wrapNone/>
                      <wp:docPr id="173" name="Frame16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0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8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8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the liability to settlement value upon the Closing of the Business Combination</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w:t>
            </w:r>
          </w:p>
        </w:tc>
      </w:tr>
      <w:tr>
        <w:trPr/>
        <w:tc>
          <w:tcPr>
            <w:tcW w:w="8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the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w:t>
            </w:r>
          </w:p>
        </w:tc>
      </w:tr>
      <w:tr>
        <w:trPr/>
        <w:tc>
          <w:tcPr>
            <w:tcW w:w="8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vAlign w:val="center"/>
          </w:tcPr>
          <w:p>
            <w:pPr>
              <w:pStyle w:val="TableContents"/>
              <w:bidi w:val="0"/>
              <w:spacing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loss on the remeasurement of the research and development license consideration liability of $1.9 million and $0.2 million for the year ended December 31, 2023 and the period ended December 31, 2022, respectively, within research and development in the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271" w:name="Tc_vgdIrLbD6UmYN0GP43SNkg_4_2"/>
      <w:bookmarkStart w:id="1272" w:name="Tc_naRZ3Nr_oEi9q7lXBRAsbQ_4_0"/>
      <w:bookmarkStart w:id="1273" w:name="Tc_Z-woXIjjwUCvMLcObYIf_Q_2_0"/>
      <w:bookmarkStart w:id="1274" w:name="Tc_gsjeQjneg0G53u_hgtN0Aw_1_3"/>
      <w:bookmarkStart w:id="1275" w:name="Tc_7yfE5s6sfk-vuU7tHTrE5A_1_2"/>
      <w:bookmarkStart w:id="1276" w:name="Tc_P4ngD_jqGECvS2vC4t_BMg_1_0"/>
      <w:bookmarkEnd w:id="1271"/>
      <w:bookmarkEnd w:id="1272"/>
      <w:bookmarkEnd w:id="1273"/>
      <w:bookmarkEnd w:id="1274"/>
      <w:bookmarkEnd w:id="1275"/>
      <w:bookmarkEnd w:id="1276"/>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 Company has private placement warrants assumed in connection with the Business Combination (see Note 8). Such warrants are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inputs used to value the private placement warrants are classified as Level 2. The following table provides a summary of changes in the estimated fair value of the private placement warrants:</w:t>
      </w:r>
    </w:p>
    <w:p>
      <w:pPr>
        <w:pStyle w:val="TextBody"/>
        <w:bidi w:val="0"/>
        <w:spacing w:before="0" w:after="0"/>
        <w:ind w:left="0" w:right="0" w:hanging="0"/>
        <w:jc w:val="left"/>
        <w:rPr/>
      </w:pPr>
      <w:r>
        <w:rPr/>
        <w:t>​</w:t>
      </w:r>
    </w:p>
    <w:tbl>
      <w:tblPr>
        <w:tblW w:w="4462" w:type="dxa"/>
        <w:jc w:val="left"/>
        <w:tblInd w:w="0" w:type="dxa"/>
        <w:tblLayout w:type="fixed"/>
        <w:tblCellMar>
          <w:top w:w="0" w:type="dxa"/>
          <w:left w:w="0" w:type="dxa"/>
          <w:bottom w:w="0" w:type="dxa"/>
          <w:right w:w="0" w:type="dxa"/>
        </w:tblCellMar>
      </w:tblPr>
      <w:tblGrid>
        <w:gridCol w:w="3526"/>
        <w:gridCol w:w="109"/>
        <w:gridCol w:w="211"/>
        <w:gridCol w:w="61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39010" cy="175260"/>
                      <wp:effectExtent l="0" t="0" r="0" b="0"/>
                      <wp:wrapNone/>
                      <wp:docPr id="174" name="Frame16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75"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76"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91160" cy="175260"/>
                      <wp:effectExtent l="0" t="0" r="0" b="0"/>
                      <wp:wrapNone/>
                      <wp:docPr id="177" name="Frame17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Assumption of private placement warrants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gain from the change in fair value of the private placement warrants of $0.7 million for the year ended December 31, 2023 within change in fair value of private placement warrants in the consolidated statement of operations.</w:t>
      </w:r>
    </w:p>
    <w:p>
      <w:pPr>
        <w:pStyle w:val="Normal"/>
        <w:bidi w:val="0"/>
        <w:spacing w:before="0" w:after="0"/>
        <w:jc w:val="left"/>
        <w:rPr>
          <w:sz w:val="4"/>
          <w:szCs w:val="4"/>
        </w:rPr>
      </w:pPr>
      <w:r>
        <w:rPr>
          <w:sz w:val="4"/>
          <w:szCs w:val="4"/>
        </w:rPr>
      </w:r>
      <w:bookmarkStart w:id="1277" w:name="Tc_Whqoehp1M0CJHP7GqpuSUg_9_5"/>
      <w:bookmarkStart w:id="1278" w:name="Tc_XKRFjxNjI0KQQUEjWzPs1Q_9_2"/>
      <w:bookmarkStart w:id="1279" w:name="Tc_IOBI6NwHfUKFd-7xLOK01g_9_0"/>
      <w:bookmarkStart w:id="1280" w:name="Tc_Se1G7Y4d9UORZQwh7lofMA_8_3"/>
      <w:bookmarkStart w:id="1281" w:name="Tc_CEOeOQOpoEey6Tvc-CRQAA_8_0"/>
      <w:bookmarkStart w:id="1282" w:name="Tc_IUND82IkoUG5N9W4sWw9YQ_7_0"/>
      <w:bookmarkStart w:id="1283" w:name="Tc_cueFGxd3C02KGhomdrudwg_6_0"/>
      <w:bookmarkStart w:id="1284" w:name="Tc_5ZSjartUeEChbgnFCkiqdA_5_0"/>
      <w:bookmarkStart w:id="1285" w:name="Tc_O55IEg8Ps0eH7DWNanAQRw_4_0"/>
      <w:bookmarkStart w:id="1286" w:name="Tc_BGfkVG3A80W-E_TJBqQ_7g_3_0"/>
      <w:bookmarkStart w:id="1287" w:name="Tc_I8SkyhSRSUKH_8nUbr494g_2_6"/>
      <w:bookmarkStart w:id="1288" w:name="Tc_0DKgCgryckuPUgDrdHx_rw_2_5"/>
      <w:bookmarkStart w:id="1289" w:name="Tc_Mq4nfGlgRE2gj_TeYxMq2A_2_2"/>
      <w:bookmarkStart w:id="1290" w:name="Tc_7cHHKlfq0U2CUt5PJs81Rw_2_0"/>
      <w:bookmarkStart w:id="1291" w:name="Tc_-zIADADC7UaxJM_BHZFR2g_1_5"/>
      <w:bookmarkStart w:id="1292" w:name="Tc_qNDel_ZFnUCpmordph4Qag_1_2"/>
      <w:bookmarkStart w:id="1293" w:name="Tc_Whqoehp1M0CJHP7GqpuSUg_9_5"/>
      <w:bookmarkStart w:id="1294" w:name="Tc_XKRFjxNjI0KQQUEjWzPs1Q_9_2"/>
      <w:bookmarkStart w:id="1295" w:name="Tc_IOBI6NwHfUKFd-7xLOK01g_9_0"/>
      <w:bookmarkStart w:id="1296" w:name="Tc_Se1G7Y4d9UORZQwh7lofMA_8_3"/>
      <w:bookmarkStart w:id="1297" w:name="Tc_CEOeOQOpoEey6Tvc-CRQAA_8_0"/>
      <w:bookmarkStart w:id="1298" w:name="Tc_IUND82IkoUG5N9W4sWw9YQ_7_0"/>
      <w:bookmarkStart w:id="1299" w:name="Tc_cueFGxd3C02KGhomdrudwg_6_0"/>
      <w:bookmarkStart w:id="1300" w:name="Tc_5ZSjartUeEChbgnFCkiqdA_5_0"/>
      <w:bookmarkStart w:id="1301" w:name="Tc_O55IEg8Ps0eH7DWNanAQRw_4_0"/>
      <w:bookmarkStart w:id="1302" w:name="Tc_BGfkVG3A80W-E_TJBqQ_7g_3_0"/>
      <w:bookmarkStart w:id="1303" w:name="Tc_I8SkyhSRSUKH_8nUbr494g_2_6"/>
      <w:bookmarkStart w:id="1304" w:name="Tc_0DKgCgryckuPUgDrdHx_rw_2_5"/>
      <w:bookmarkStart w:id="1305" w:name="Tc_Mq4nfGlgRE2gj_TeYxMq2A_2_2"/>
      <w:bookmarkStart w:id="1306" w:name="Tc_7cHHKlfq0U2CUt5PJs81Rw_2_0"/>
      <w:bookmarkStart w:id="1307" w:name="Tc_-zIADADC7UaxJM_BHZFR2g_1_5"/>
      <w:bookmarkStart w:id="1308" w:name="Tc_qNDel_ZFnUCpmordph4Qag_1_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36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Accounts Payable</w:t>
            </w:r>
            <w:r>
              <w:rPr>
                <w:caps w:val="false"/>
                <w:smallCaps w:val="false"/>
              </w:rPr>
              <w:t xml:space="preserve"> </w:t>
            </w:r>
            <w:r>
              <w:rPr>
                <w:rFonts w:ascii="Times New Roman;Times;serif" w:hAnsi="Times New Roman;Times;serif"/>
                <w:b/>
                <w:i w:val="false"/>
                <w:caps w:val="false"/>
                <w:smallCaps w:val="false"/>
                <w:sz w:val="20"/>
              </w:rPr>
              <w:t>and Accrued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payable and accrued expenses are composed of the following as of December 31, 2023 and 2022:</w:t>
      </w:r>
    </w:p>
    <w:p>
      <w:pPr>
        <w:pStyle w:val="TextBody"/>
        <w:bidi w:val="0"/>
        <w:spacing w:before="0" w:after="0"/>
        <w:ind w:left="0" w:right="0" w:hanging="0"/>
        <w:jc w:val="left"/>
        <w:rPr/>
      </w:pPr>
      <w:r>
        <w:rPr/>
        <w:t>​</w:t>
      </w:r>
    </w:p>
    <w:tbl>
      <w:tblPr>
        <w:tblW w:w="7569" w:type="dxa"/>
        <w:jc w:val="left"/>
        <w:tblInd w:w="0" w:type="dxa"/>
        <w:tblLayout w:type="fixed"/>
        <w:tblCellMar>
          <w:top w:w="0" w:type="dxa"/>
          <w:left w:w="0" w:type="dxa"/>
          <w:bottom w:w="0" w:type="dxa"/>
          <w:right w:w="0" w:type="dxa"/>
        </w:tblCellMar>
      </w:tblPr>
      <w:tblGrid>
        <w:gridCol w:w="3811"/>
        <w:gridCol w:w="326"/>
        <w:gridCol w:w="357"/>
        <w:gridCol w:w="1143"/>
        <w:gridCol w:w="326"/>
        <w:gridCol w:w="382"/>
        <w:gridCol w:w="1224"/>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19985" cy="175260"/>
                      <wp:effectExtent l="0" t="0" r="0" b="0"/>
                      <wp:wrapNone/>
                      <wp:docPr id="178" name="Frame172"/>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79"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6695" cy="175260"/>
                      <wp:effectExtent l="0" t="0" r="0" b="0"/>
                      <wp:wrapNone/>
                      <wp:docPr id="180" name="Frame17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25805" cy="175260"/>
                      <wp:effectExtent l="0" t="0" r="0" b="0"/>
                      <wp:wrapNone/>
                      <wp:docPr id="181" name="Frame175"/>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2"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42570" cy="175260"/>
                      <wp:effectExtent l="0" t="0" r="0" b="0"/>
                      <wp:wrapNone/>
                      <wp:docPr id="183" name="Frame17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77240" cy="175260"/>
                      <wp:effectExtent l="0" t="0" r="0" b="0"/>
                      <wp:wrapNone/>
                      <wp:docPr id="184" name="Frame178"/>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1"/>
              <w:ind w:left="0" w:right="0" w:hanging="0"/>
              <w:jc w:val="center"/>
              <w:rPr/>
            </w:pPr>
            <w:r>
              <w:rPr/>
              <w:t>    </w:t>
            </w:r>
          </w:p>
        </w:tc>
        <w:tc>
          <w:tcPr>
            <w:tcW w:w="160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December 31, 2022</w:t>
            </w:r>
            <w:r>
              <w:rPr>
                <w:rFonts w:ascii="Times New Roman;Times;serif" w:hAnsi="Times New Roman;Times;serif"/>
                <w:sz w:val="12"/>
              </w:rPr>
              <w:t>1</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2023 Lilly License costs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1"/>
              <w:ind w:left="0" w:right="0" w:hanging="0"/>
              <w:jc w:val="right"/>
              <w:rPr/>
            </w:pPr>
            <w:r>
              <w:rPr/>
              <w:t>—</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costs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6,091</w:t>
            </w:r>
          </w:p>
        </w:tc>
        <w:tc>
          <w:tcPr>
            <w:tcW w:w="32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w:t>
            </w:r>
          </w:p>
        </w:tc>
        <w:tc>
          <w:tcPr>
            <w:tcW w:w="32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bonus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consulting fees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 </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20,302</w:t>
            </w:r>
          </w:p>
        </w:tc>
        <w:tc>
          <w:tcPr>
            <w:tcW w:w="326" w:type="dxa"/>
            <w:tcBorders/>
            <w:vAlign w:val="center"/>
          </w:tcPr>
          <w:p>
            <w:pPr>
              <w:pStyle w:val="TableContents"/>
              <w:bidi w:val="0"/>
              <w:spacing w:before="0" w:after="1"/>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4,428</w:t>
            </w:r>
          </w:p>
        </w:tc>
      </w:tr>
    </w:tbl>
    <w:p>
      <w:pPr>
        <w:pStyle w:val="TextBody"/>
        <w:bidi w:val="0"/>
        <w:ind w:left="72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Comparative figures have been reclassified to conform with current period presentation.</w:t>
      </w:r>
    </w:p>
    <w:p>
      <w:pPr>
        <w:pStyle w:val="TextBody"/>
        <w:bidi w:val="0"/>
        <w:spacing w:before="0" w:after="240"/>
        <w:ind w:left="0" w:right="0" w:hanging="0"/>
        <w:jc w:val="both"/>
        <w:rPr/>
      </w:pPr>
      <w:r>
        <w:rPr/>
        <w:t>​</w:t>
      </w:r>
    </w:p>
    <w:tbl>
      <w:tblPr>
        <w:tblW w:w="2117" w:type="dxa"/>
        <w:jc w:val="left"/>
        <w:tblInd w:w="0" w:type="dxa"/>
        <w:tblLayout w:type="fixed"/>
        <w:tblCellMar>
          <w:top w:w="0" w:type="dxa"/>
          <w:left w:w="0" w:type="dxa"/>
          <w:bottom w:w="0" w:type="dxa"/>
          <w:right w:w="0" w:type="dxa"/>
        </w:tblCellMar>
      </w:tblPr>
      <w:tblGrid>
        <w:gridCol w:w="271"/>
        <w:gridCol w:w="184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8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Pfizer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22, 2022, the Company entered into a license agreement and a Series A-1 Subscription and Shareholder’s Agreement (collectively, the “Pfizer Agreement”) with Pfizer. Under the Pfizer Agreement, the Company acquired a license for a compound initially developed by Pfizer, in exchange for $5.0 million in cash and 2,702,083 shares (as adjusted by the exchange ratio established in the Business Combination Agreement) of the Company’s Series A-1 convertible preferred shares, representing a 20% interest in the Company. In accordance with ASC 805, the Pfizer Agreement is accounted for as an asset acquisition as substantially all of the $7.5 million value transferred to the Company was allocated to in-process research and development. On the acquisition date, the compound licensed had not yet received regulatory approval and the in-process research and development did not have an alternative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on March 22, 2022, the Company is obligated to make 12 development and regulatory milestone payments aggregating up to $70.0 million and sales milestone payments up to an aggregate of $525.0 million based on respective thresholds of net sales of products (developed from the licensed compound) (the “Products”). In further consideration for the license, the Company will also pay an annual earned royalty at a marginal royalty rate in the mid-single digits to low double digits (less than 20%), based on thresholds of nets sales of Products. Royalties are payable on a country-by-country basis for a certain period of years or upon the later expiration of regulatory exclusivity of the Company’s Products in a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also subject to a potential multi-million dollar transaction payment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Pfizer Agreement also has an anti-dilution provision to allow Pfizer to maintain an 18% interest in the Company, as detailed in Note 7. Immediately prior to the Closing Date of the Business Combination, additional share options and restricted share units were issued to certain employees, executives, and directors that would result in the dilution of Pfizer’s ownership in the Company. In accordance with the anti-dilution provision of the Pfizer Agreement, Pfizer was issued additional Series A-1 convertible preferred shares upon the closing of the Business Combination that were immediately converted to 267,939 Class A Ordinary Shares. In accordance with ASC 718, the Company recognized expense related to these Class A Ordinary Shares based on their grant date fair value. Following the Business Combination, the anti-dilution provision is no longer in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the first $1.0 million development milestone as a component of research and development in the consolidated statement of operations during the year ended December 31, 2023. This amount due is included in accounts payable and accrued expenses on the consolidated balance sheet as of December 31, 2023. The Company does not owe any other amounts under the Pfizer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Lonza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October 2023, the Company began drug substance manufacturing with a third-party. As a result of manufacturing with a third-party other than Lonza, under the terms of the Lonza License the first annual milestone payment of $0.4 million became due and payable which is included in accounts payable and accrued expenses on the consolidated balance sheet as of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2022 Lilly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8, 2022, the Company’s consolidated subsidiary,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 As consideration, the Company paid Lilly an upfront fee of $7.0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consideration for the 2022 Lilly License, Lilly agreed to receive either 550,000 Class A Ordinary Shares upon the closing of the Business Combination (subject to certain lock-up provisions) or 4,702,867 shares of Z33 Series Seed Preferred Shares (the subsidiary redeemable preferred shares) if the Business Combination was not consummated. The obligation to issue shares represents contingent consideration and is classified as a liability on the consolidated balance sheet (research and development license consideration liability) as of December 31, 2022. The liability is measured at fair value on the acquisition date and remeasured to fair value at each reporting date. Upon the Closing Date of the Business Combination, the Company issued Lilly 550,000 Class A Ordinary Shares at an aggregate fair value of $4.5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2022 Lilly License as a component of research and development in the consolidated statement of operations during the period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See Note 13 for further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on December 8, 2022, the Company is obligated to pay $3.0 million to Lilly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 As of December 31, 2023, none of the contingent payments were due.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26, 2023, the Company’s newly-formed subsidiary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2023 Lilly License as a component of research and development in the consolidated statement of operations during the year ended December 31,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Company recognized the Stone Peach Call Right at a grant-date fair value of $1.5 million as a component of research and development in the consolidated statement of operations during the year ended December 31, 2023. The Stone Peach Call Right represents noncontrolling interest in the Company’s subsidiary, ZB17.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and 2022, the noncontrolling interest balance was $1.5 million and $-0-,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additional consideration, Stone Peach will receive annual payments first of $0.6 million, and increasing by 10% annually, so long as the Company maintains its license for ZB-106 and beginning on May 1, 2023. The Company will account for these annual payments when they become due. The Company recognized the first $0.6 million annual payment as a component of research and development in the consolidated statement of operations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w:t>
      </w:r>
      <w:r>
        <w:rPr>
          <w:rFonts w:ascii="Times New Roman;Times;serif" w:hAnsi="Times New Roman;Times;serif"/>
          <w:sz w:val="15"/>
        </w:rPr>
        <w:t>th</w:t>
      </w:r>
      <w:r>
        <w:rPr>
          <w:rFonts w:ascii="Times New Roman;Times;serif" w:hAnsi="Times New Roman;Times;serif"/>
          <w:sz w:val="20"/>
        </w:rPr>
        <w:t xml:space="preserve"> of each year. As the Company’s fully diluted shares outstanding exceeded 52,500,000 shares prior to December 31, 2023, the $5.0 million fee was recorded in accounts payable and accrued expenses on the consolidated balance sheet as of December 31, 2023 and within research and development in the consolidated statement of operations for the year ended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during the year ended December 31,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The Company will account for these contingent payments when they become due. As of December 31, 2023, none of the contingent payments were due.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WuXi Biologics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2023, the Company entered into a cell line license agreement (the "Cell Line License Agreement") with WuXi Biologics and its Affiliates ("WuXi Biologics"). The Cell Line License Agreement provides the Company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the Company agreed to pay WuXi Biologics a non-refundable license fee of $150,000 which is recognized as a component of research and development in the consolidated statement of operations for the year ended December 31, 2023 and is included in accounts payable and accrued expenses on the consolidated balance sheet as of December 31, 2023. Additionally, if the Company manufactures all of its commercial supplies of bulk drug product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w:t>
      </w:r>
    </w:p>
    <w:tbl>
      <w:tblPr>
        <w:tblW w:w="5852" w:type="dxa"/>
        <w:jc w:val="left"/>
        <w:tblInd w:w="0" w:type="dxa"/>
        <w:tblLayout w:type="fixed"/>
        <w:tblCellMar>
          <w:top w:w="0" w:type="dxa"/>
          <w:left w:w="0" w:type="dxa"/>
          <w:bottom w:w="0" w:type="dxa"/>
          <w:right w:w="0" w:type="dxa"/>
        </w:tblCellMar>
      </w:tblPr>
      <w:tblGrid>
        <w:gridCol w:w="271"/>
        <w:gridCol w:w="558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58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Convertible Preferred</w:t>
            </w:r>
            <w:r>
              <w:rPr>
                <w:caps w:val="false"/>
                <w:smallCaps w:val="false"/>
              </w:rPr>
              <w:t xml:space="preserve"> </w:t>
            </w:r>
            <w:r>
              <w:rPr>
                <w:rFonts w:ascii="Times New Roman;Times;serif" w:hAnsi="Times New Roman;Times;serif"/>
                <w:b/>
                <w:i w:val="false"/>
                <w:caps w:val="false"/>
                <w:smallCaps w:val="false"/>
                <w:sz w:val="20"/>
              </w:rPr>
              <w:t>Shares and Shareholders’ Equity (Deficit)</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the Closing Date and in accordance with the terms and subject to the conditions of the Business Combination, each Ordinary Share of Legacy Zura, par value $0.001 per share, Series A-1 convertible preferred share, outstanding option (whether vested or unvested), and restricted share unit (whether vested or unvested) were canceled and converted into a comparable number of awards that consisted of either the rights to receive or acquire the Company’s Class A Ordinary Shares, par value $0.0001 per share, as determined by the exchange ratio pursuant to the Business Combination Agreement. The exchange ratio is approximately 108.083.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in connection with the closing of the Business Combination and effective upon the Closing Date, the Company authorized 300,000,000 Class A Ordinary Shares, par value of $0.0001 and 1,000,000 preferred shares, par value of $0.0001.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2023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 See Note 8 for further information on the Pre-Funded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Series A-1 Convertible Preferred Shares Rights and Preferences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Series A-1 convertible preferred share is convertible, at the option of the holder thereof, at any time after the date of issuance of such share, into such number shares of the Company’s Ordinary Shares, subject to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Series A-1 convertible preferred share will automatically be converted into a share of the Company’s Ordinary Shares, subject to adjustment, immediately upon the occurrence of an initial public offering with a gross aggregate subscription with respect to new Ordinary Shares of greater than $50.0 million. The Ordinary Shares resulting from this conversion will rank pari passu with the existing Ordinary Shares at the time of conversion.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Anti-Dilution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issues equity securities, other than pursuant to a share option plan, the Company shall issue such number of Series A-1 convertible preferred shares to Pfizer as necessary to maintain Pfizer’s ownership interest of 18%, until the Company raises in excess of $30.0 million in equity, where any capital raised above this threshold is not subject to anti-dilution. Upon the closing of the Business Combination, the anti-dilution provision was no longer in effect.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shares of Series A-1 convertible preferred shares are entitled to receive dividends, of profits available for distribution as determined by the Company’s board of directors with the consent of the majority of the shareholders, payable on a pro rata, pari passu basis. No dividends have been declared by the Company’s board of directors.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any voluntary or involuntary liquidation or return of capital (other than a conversion, redemption or purchase of shares) of the Company, the holders of the Series A-1 convertible preferred shares are entitled to receive a liquidation preference prior to any distribution to the holders of Ordinary Shares in the amount $131 per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the Series A-1 convertible preferred shares are entitled to one vote per share, unless the Series A-1 shares are convertible into a greater number of Ordinary Shares or the holders of Series A-1 convertible preferred shares are entitled to any anti-dilution shares, in which case the holders of Series A-1 convertible preferred shares are entitled to the number of votes that the holder would be entitled upon conversion to Ordinary Shares or after the issuance of the anti-dilution shares,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Redemption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Series A-1 convertible preferred shares are not mandatorily redeemable at the option of the 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no convertible preferred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09" w:name="Tc__HTlZEu00kGQMLO1ipVczQ_8_0"/>
      <w:bookmarkStart w:id="1310" w:name="Tc_MzZAdYcS40a3mO_C5aYaJg_7_0"/>
      <w:bookmarkStart w:id="1311" w:name="Tc_EtwtR2vCQU2eBWhwSZdTcA_6_0"/>
      <w:bookmarkStart w:id="1312" w:name="Tc_Uz3aetqYykKEDWACl8XACg_5_0"/>
      <w:bookmarkStart w:id="1313" w:name="Tc__7t6wonoxkOUbHcn9Bolyw_4_0"/>
      <w:bookmarkStart w:id="1314" w:name="Tc_dDSOXS0UmEK8PSU2IE9aXw_3_0"/>
      <w:bookmarkStart w:id="1315" w:name="Tc_SIM_cHtILEmE59lvtqCwBg_2_0"/>
      <w:bookmarkStart w:id="1316" w:name="Tc_opFy4yJUsEuO6qAW0WItjA_1_2"/>
      <w:bookmarkEnd w:id="1309"/>
      <w:bookmarkEnd w:id="1310"/>
      <w:bookmarkEnd w:id="1311"/>
      <w:bookmarkEnd w:id="1312"/>
      <w:bookmarkEnd w:id="1313"/>
      <w:bookmarkEnd w:id="1314"/>
      <w:bookmarkEnd w:id="1315"/>
      <w:bookmarkEnd w:id="1316"/>
      <w:r>
        <w:rPr>
          <w:rFonts w:ascii="Times New Roman;Times;serif" w:hAnsi="Times New Roman;Times;serif"/>
          <w:sz w:val="20"/>
        </w:rPr>
        <w:t>Prior to the Business Combination, Legacy Zura was authorized to issue Ordinary Shares and Series A-1 convertible preferred shares. The outstanding Ordinary Shares and Series A-1 convertible preferred shares of Legacy Zura are presented on the consolidated balance sheet and on the consolidated statement of changes in redeemable noncontrolling interest, convertible preferred shares, and shareholders’ equity (deficit) for the period from January 18, 2022 (date of inception) to December 31,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Ordinary Shares Reserved for Issuance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shares reserved for issuance as of December 31, 2023 is summarized below:</w:t>
      </w:r>
    </w:p>
    <w:p>
      <w:pPr>
        <w:pStyle w:val="TextBody"/>
        <w:bidi w:val="0"/>
        <w:spacing w:before="0" w:after="0"/>
        <w:ind w:left="0" w:right="0" w:hanging="0"/>
        <w:jc w:val="left"/>
        <w:rPr/>
      </w:pPr>
      <w:r>
        <w:rPr/>
        <w:t>​</w:t>
      </w:r>
    </w:p>
    <w:tbl>
      <w:tblPr>
        <w:tblW w:w="8293" w:type="dxa"/>
        <w:jc w:val="left"/>
        <w:tblInd w:w="0" w:type="dxa"/>
        <w:tblLayout w:type="fixed"/>
        <w:tblCellMar>
          <w:top w:w="0" w:type="dxa"/>
          <w:left w:w="0" w:type="dxa"/>
          <w:bottom w:w="0" w:type="dxa"/>
          <w:right w:w="0" w:type="dxa"/>
        </w:tblCellMar>
      </w:tblPr>
      <w:tblGrid>
        <w:gridCol w:w="6421"/>
        <w:gridCol w:w="326"/>
        <w:gridCol w:w="1546"/>
      </w:tblGrid>
      <w:tr>
        <w:trPr/>
        <w:tc>
          <w:tcPr>
            <w:tcW w:w="6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077335" cy="175260"/>
                      <wp:effectExtent l="0" t="0" r="0" b="0"/>
                      <wp:wrapNone/>
                      <wp:docPr id="185" name="Frame179"/>
                      <a:graphic xmlns:a="http://schemas.openxmlformats.org/drawingml/2006/main">
                        <a:graphicData uri="http://schemas.microsoft.com/office/word/2010/wordprocessingShape">
                          <wps:wsp>
                            <wps:cNvSpPr txBox="1"/>
                            <wps:spPr>
                              <a:xfrm>
                                <a:off x="0" y="0"/>
                                <a:ext cx="407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6"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81710" cy="175260"/>
                      <wp:effectExtent l="0" t="0" r="0" b="0"/>
                      <wp:wrapNone/>
                      <wp:docPr id="187" name="Frame18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5,791,065</w:t>
            </w:r>
          </w:p>
        </w:tc>
      </w:tr>
      <w:tr>
        <w:trPr/>
        <w:tc>
          <w:tcPr>
            <w:tcW w:w="6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1,564,018</w:t>
            </w:r>
          </w:p>
        </w:tc>
      </w:tr>
      <w:tr>
        <w:trPr/>
        <w:tc>
          <w:tcPr>
            <w:tcW w:w="6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warrants to purchase Class A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16,591,996</w:t>
            </w:r>
          </w:p>
        </w:tc>
      </w:tr>
      <w:tr>
        <w:trPr/>
        <w:tc>
          <w:tcPr>
            <w:tcW w:w="6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Z33 Put Right</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6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grant under Equity Incentive Plan</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4,222,272</w:t>
            </w:r>
          </w:p>
        </w:tc>
      </w:tr>
      <w:tr>
        <w:trPr/>
        <w:tc>
          <w:tcPr>
            <w:tcW w:w="6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grant under ESPP</w:t>
            </w:r>
          </w:p>
        </w:tc>
        <w:tc>
          <w:tcPr>
            <w:tcW w:w="32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4,029,898</w:t>
            </w:r>
          </w:p>
        </w:tc>
      </w:tr>
      <w:tr>
        <w:trPr/>
        <w:tc>
          <w:tcPr>
            <w:tcW w:w="6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reserved for issuance</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34,199,249</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8.</w:t>
            </w:r>
          </w:p>
        </w:tc>
        <w:tc>
          <w:tcPr>
            <w:tcW w:w="154" w:type="dxa"/>
            <w:tcBorders/>
            <w:vAlign w:val="center"/>
          </w:tcPr>
          <w:p>
            <w:pPr>
              <w:pStyle w:val="TableContents"/>
              <w:bidi w:val="0"/>
              <w:spacing w:before="0" w:after="240"/>
              <w:ind w:left="0" w:right="0" w:hanging="0"/>
              <w:jc w:val="left"/>
              <w:rPr/>
            </w:pPr>
            <w:r>
              <w:rPr/>
              <w:t>​</w:t>
            </w:r>
          </w:p>
        </w:tc>
      </w:tr>
    </w:tbl>
    <w:p>
      <w:pPr>
        <w:pStyle w:val="TextBody"/>
        <w:bidi w:val="0"/>
        <w:spacing w:before="0" w:after="240"/>
        <w:ind w:left="0" w:right="0" w:firstLine="360"/>
        <w:jc w:val="left"/>
        <w:rPr/>
      </w:pPr>
      <w:r>
        <w:rPr/>
        <w:t>​</w:t>
      </w:r>
    </w:p>
    <w:tbl>
      <w:tblPr>
        <w:tblW w:w="1247" w:type="dxa"/>
        <w:jc w:val="left"/>
        <w:tblInd w:w="0" w:type="dxa"/>
        <w:tblLayout w:type="fixed"/>
        <w:tblCellMar>
          <w:top w:w="0" w:type="dxa"/>
          <w:left w:w="0" w:type="dxa"/>
          <w:bottom w:w="0" w:type="dxa"/>
          <w:right w:w="0" w:type="dxa"/>
        </w:tblCellMar>
      </w:tblPr>
      <w:tblGrid>
        <w:gridCol w:w="271"/>
        <w:gridCol w:w="97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9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accounting acquirer, Zura Bio is deemed to have assumed 5,910,000 private placement warrants to purchase Class A Ordinary Shares that were held by JATT Ventures, L.P. (the “Sponsor”) at an exercise price of $11.50 and 6,899,996 public warrants to purchase Class A Ordinary Shares that were held by JATT’s public shareholders at an exercise price of $11.50. The public and private placement warrants will expire five years after the completion of the Business Combination, or earlier upon redemption or liquidation.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public warrants became exercisable into Class A Ordinary Shares commencing 30 days after the Business Combination and expire five years from the date of the Business Combination, or earlier upon redemption or liquidation. Each warrant entitles the holder to purchase one share of the Company’s Class A Ordinary Shares at a price of $11.50 per share, subject to certain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redeem, with 30 days’ written notice, each whole outstanding public warrant for cash at a price of $0.01 per warrant if the Reference Value (as defined below) equals or exceeds $18.00 per share, subject to certain adjustments. The warrant holders have the right to exercise their outstanding warrants prior to the scheduled redemption date at $11.50 per share, subject to certain adjustments. If the Company calls the public warrants for redemption, the Company will have the option to require all holders that wish to exercise the Public Warrants to do so on a “cashless basis”, as described in the warrant agreement. For purposes of the redemption, “Reference Value” shall mean the last reported sales price of the Company’s Class A Ordinary Shares for any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trading days within the thirty trading-day period ending on the third trading day prior to the date on which notice of the redemption is given.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private placement warrants were identical to the public warrants,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then such warrants will be redeemable by the Company and exercisable by the warrant holders on the same basis as the public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317" w:name="Tc_Unq9cIZ6R0m77gqnItbqQQ_4_4"/>
      <w:bookmarkStart w:id="1318" w:name="Tc_gf8NChLvmkeJ7LmN9LdSiQ_4_1"/>
      <w:bookmarkStart w:id="1319" w:name="Tc_5SuysMlDWUKwponoZ8rfDg_3_4"/>
      <w:bookmarkStart w:id="1320" w:name="Tc_4hgb6DVSp0m42c10jLFA5g_3_1"/>
      <w:bookmarkStart w:id="1321" w:name="Tc_S7M6xssbLk-32I_eJkBcdw_2_4"/>
      <w:bookmarkStart w:id="1322" w:name="Tc_pTj-p4ncYUmepOkTVj18Gg_2_1"/>
      <w:bookmarkStart w:id="1323" w:name="Tc_dEiThJg7XESDw7AhaghgsQ_1_4"/>
      <w:bookmarkStart w:id="1324" w:name="Tc_4MvAKS3hQ0my1CAJplr2Kw_1_2"/>
      <w:bookmarkStart w:id="1325" w:name="Tc_OeGbqTT-EEiCQ2H1W_zYcA_1_0"/>
      <w:bookmarkStart w:id="1326" w:name="_9d4d095e_5c0e_4844_807a_8d9168e64a1e"/>
      <w:bookmarkEnd w:id="1317"/>
      <w:bookmarkEnd w:id="1318"/>
      <w:bookmarkEnd w:id="1319"/>
      <w:bookmarkEnd w:id="1320"/>
      <w:bookmarkEnd w:id="1321"/>
      <w:bookmarkEnd w:id="1322"/>
      <w:bookmarkEnd w:id="1323"/>
      <w:bookmarkEnd w:id="1324"/>
      <w:bookmarkEnd w:id="1325"/>
      <w:bookmarkEnd w:id="1326"/>
      <w:r>
        <w:rPr>
          <w:rFonts w:ascii="Times New Roman;Times;serif" w:hAnsi="Times New Roman;Times;serif"/>
          <w:b/>
          <w:i/>
          <w:sz w:val="20"/>
        </w:rPr>
        <w:t>Pre-Funded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April 2023 Private Placement, the Company sold to accredited investors Pre-Funded Warrants to purchase up to 3,782,000 Class A Ordinary Shares at a price of $4.249 per Pre-Funded Warrant for an aggregate purchase price of approximately $16.1 million. Each Pre-Funded Warrant has an exercise price of $0.001 per Class A Ordinary Share and is exercisable for one Class A Ordinary Share at any time or times on or after April 26, 2023 until exercised in full.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number of warrants outstanding, their exercise price, and expiration dates as of December 31, 2023:</w:t>
      </w:r>
    </w:p>
    <w:tbl>
      <w:tblPr>
        <w:tblW w:w="4731" w:type="dxa"/>
        <w:jc w:val="left"/>
        <w:tblInd w:w="0" w:type="dxa"/>
        <w:tblLayout w:type="fixed"/>
        <w:tblCellMar>
          <w:top w:w="0" w:type="dxa"/>
          <w:left w:w="0" w:type="dxa"/>
          <w:bottom w:w="0" w:type="dxa"/>
          <w:right w:w="0" w:type="dxa"/>
        </w:tblCellMar>
      </w:tblPr>
      <w:tblGrid>
        <w:gridCol w:w="1306"/>
        <w:gridCol w:w="326"/>
        <w:gridCol w:w="1126"/>
        <w:gridCol w:w="326"/>
        <w:gridCol w:w="1276"/>
        <w:gridCol w:w="37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29310" cy="175260"/>
                      <wp:effectExtent l="0" t="0" r="0" b="0"/>
                      <wp:wrapNone/>
                      <wp:docPr id="188" name="Frame18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89"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15010" cy="175260"/>
                      <wp:effectExtent l="0" t="0" r="0" b="0"/>
                      <wp:wrapNone/>
                      <wp:docPr id="190" name="Frame18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1"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10260" cy="175260"/>
                      <wp:effectExtent l="0" t="0" r="0" b="0"/>
                      <wp:wrapNone/>
                      <wp:docPr id="192" name="Frame18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35585" cy="175260"/>
                      <wp:effectExtent l="0" t="0" r="0" b="0"/>
                      <wp:wrapNone/>
                      <wp:docPr id="193" name="Frame18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Issued</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71" w:type="dxa"/>
            <w:tcBorders/>
            <w:vAlign w:val="center"/>
          </w:tcPr>
          <w:p>
            <w:pPr>
              <w:pStyle w:val="TableContents"/>
              <w:bidi w:val="0"/>
              <w:spacing w:before="0" w:after="0"/>
              <w:ind w:left="0" w:right="0" w:hanging="0"/>
              <w:jc w:val="center"/>
              <w:rPr/>
            </w:pPr>
            <w:r>
              <w:rPr/>
              <w:t>    </w:t>
            </w:r>
          </w:p>
        </w:tc>
      </w:tr>
      <w:tr>
        <w:trPr/>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6,899,996</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0"/>
              <w:ind w:left="0" w:right="0" w:hanging="0"/>
              <w:jc w:val="center"/>
              <w:rPr/>
            </w:pPr>
            <w:r>
              <w:rPr/>
              <w:t>​</w:t>
            </w:r>
          </w:p>
        </w:tc>
        <w:tc>
          <w:tcPr>
            <w:tcW w:w="1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c>
          <w:tcPr>
            <w:tcW w:w="371" w:type="dxa"/>
            <w:tcBorders/>
            <w:shd w:fill="CCEEFF" w:val="clear"/>
            <w:vAlign w:val="center"/>
          </w:tcPr>
          <w:p>
            <w:pPr>
              <w:pStyle w:val="TableContents"/>
              <w:bidi w:val="0"/>
              <w:spacing w:before="0" w:after="0"/>
              <w:ind w:left="0" w:right="0" w:hanging="0"/>
              <w:jc w:val="center"/>
              <w:rPr/>
            </w:pPr>
            <w:r>
              <w:rPr/>
              <w:t> </w:t>
            </w:r>
          </w:p>
        </w:tc>
      </w:tr>
      <w:tr>
        <w:trPr/>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5,910,000</w:t>
            </w:r>
          </w:p>
        </w:tc>
        <w:tc>
          <w:tcPr>
            <w:tcW w:w="3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c>
          <w:tcPr>
            <w:tcW w:w="371" w:type="dxa"/>
            <w:tcBorders/>
            <w:vAlign w:val="center"/>
          </w:tcPr>
          <w:p>
            <w:pPr>
              <w:pStyle w:val="TableContents"/>
              <w:bidi w:val="0"/>
              <w:spacing w:before="0" w:after="0"/>
              <w:ind w:left="0" w:right="0" w:hanging="0"/>
              <w:jc w:val="left"/>
              <w:rPr/>
            </w:pPr>
            <w:r>
              <w:rPr/>
              <w:t>​</w:t>
            </w:r>
          </w:p>
        </w:tc>
      </w:tr>
      <w:tr>
        <w:trPr/>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3,782,000</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0.001</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b w:val="false"/>
          <w:i w:val="false"/>
          <w:caps w:val="false"/>
          <w:smallCaps w:val="false"/>
          <w:sz w:val="20"/>
        </w:rPr>
        <w:t>December 31, 2023</w:t>
      </w:r>
      <w:r>
        <w:rPr>
          <w:rFonts w:ascii="Times New Roman;Times;serif" w:hAnsi="Times New Roman;Times;serif"/>
          <w:sz w:val="20"/>
        </w:rPr>
        <w:t>, no Warrants have been exercised or redeemed.</w:t>
      </w:r>
    </w:p>
    <w:p>
      <w:pPr>
        <w:pStyle w:val="TextBody"/>
        <w:bidi w:val="0"/>
        <w:spacing w:before="0" w:after="240"/>
        <w:ind w:left="0" w:right="0" w:firstLine="360"/>
        <w:jc w:val="both"/>
        <w:rPr/>
      </w:pPr>
      <w:r>
        <w:rPr/>
        <w:t>​</w:t>
      </w:r>
    </w:p>
    <w:tbl>
      <w:tblPr>
        <w:tblW w:w="2747" w:type="dxa"/>
        <w:jc w:val="left"/>
        <w:tblInd w:w="0" w:type="dxa"/>
        <w:tblLayout w:type="fixed"/>
        <w:tblCellMar>
          <w:top w:w="0" w:type="dxa"/>
          <w:left w:w="0" w:type="dxa"/>
          <w:bottom w:w="0" w:type="dxa"/>
          <w:right w:w="0" w:type="dxa"/>
        </w:tblCellMar>
      </w:tblPr>
      <w:tblGrid>
        <w:gridCol w:w="271"/>
        <w:gridCol w:w="247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24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8, 2022, Legacy Zura’s board of directors approved two stock option plans, the UK Plan (the “UK Plan”) and the US Plan (the “US Plan”) (collectively, the “Option Plans”) which permit the granting of nonqualified share options to certain employees and directors. There were 1,501,165 Ordinary Shares available for issuance under the Option Plans, of which 383,371 Ordinary Shares were authorized for issuance under the US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 awards (“RSAs”) and restricted share units (“RSUs”); incentive bonuses, which may be paid in cash, shares, or a combination thereof; and other share-based awards. On June 1, 2023, the Company’s board of directors approved an increase to the number of Class A Ordinary Shares that may be issued under the Equity Incentive Plan by an additional 5,564,315 Class A Ordinary Shares. As of December 31, 2023, a maximum of 9,594,213 Class A Ordinary Shares may be issued under the Equity Incentive Plan.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December 31, 2023, no shares have been issued under the ESPP.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closing of the Business Combination, all equity awards of Legacy Zura that were issued and outstanding under the Option Plans were converted into comparable equity awards that are settled or exercisable for shares of the Company’s Class A Ordinary Shares under the Equity Incentive Plan. As a result, each of Legacy Zura’s equity awards were converted into an option to purchase Class A Ordinary Shares of the Company based on an exchange ratio of approximately 108.083.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327" w:name="Tc_sJGZfkoGUUC6TLMeqc567A_12_9"/>
      <w:bookmarkStart w:id="1328" w:name="Tc_6U5BAe7HBEmGlVgPpJzPMw_12_4"/>
      <w:bookmarkStart w:id="1329" w:name="Tc_Tcb5Xwd9QUeKCrLLFmB2pg_12_0"/>
      <w:bookmarkStart w:id="1330" w:name="Tc_maubsyB1A0G4DyrQQ2a-3A_11_9"/>
      <w:bookmarkStart w:id="1331" w:name="Tc_2Br0dw8a6E-RvruN57t1TA_11_4"/>
      <w:bookmarkStart w:id="1332" w:name="Tc_FXk_n5_q_0C29HOwTD19KA_11_0"/>
      <w:bookmarkStart w:id="1333" w:name="Tc_xT2sOtbAM0SRXlrJ88lhGA_10_10"/>
      <w:bookmarkStart w:id="1334" w:name="Tc_9Fkk6JT9sEKGXo0pEdGPVA_10_7"/>
      <w:bookmarkStart w:id="1335" w:name="Tc_AAG5D6w_W0KwowfoQVSrNw_10_0"/>
      <w:bookmarkStart w:id="1336" w:name="Tc_18LYW3uKyki274ZWuR6DXw_9_10"/>
      <w:bookmarkStart w:id="1337" w:name="Tc_Bl9uUBOzc02DMDqvflKOSA_9_7"/>
      <w:bookmarkStart w:id="1338" w:name="Tc_PPdrbf1Hr0S8WiU0bO3OFQ_9_0"/>
      <w:bookmarkStart w:id="1339" w:name="Tc_lpzDXPmUOUmJjsrY_qKJYA_8_0"/>
      <w:bookmarkStart w:id="1340" w:name="Tc_1QIJQoB1b0OMCgesz1opfA_7_10"/>
      <w:bookmarkStart w:id="1341" w:name="Tc_wMPJaJHQTUa1O3vq1RoxvQ_7_7"/>
      <w:bookmarkStart w:id="1342" w:name="Tc_YeET39KHbkmjMiUJuP8CdA_7_0"/>
      <w:bookmarkStart w:id="1343" w:name="Tc_ezXcd1nXjka2M41Je7-PIw_6_9"/>
      <w:bookmarkStart w:id="1344" w:name="Tc_ZzL2efwnQk-58aqtDNzseg_6_4"/>
      <w:bookmarkStart w:id="1345" w:name="Tc_-9vPp4sM_EOEjXSwINemXQ_6_0"/>
      <w:bookmarkStart w:id="1346" w:name="Tc_36UH98eOfUSt0vJ4hsD_sA_5_9"/>
      <w:bookmarkStart w:id="1347" w:name="Tc_ZCpLE4rfk0-yavviNG-biw_5_7"/>
      <w:bookmarkStart w:id="1348" w:name="Tc_TK7vJ98tQESEP8oxxNZ8SA_5_4"/>
      <w:bookmarkStart w:id="1349" w:name="Tc_nkgn5oTqEk-MBF8I3Zi1pg_5_2"/>
      <w:bookmarkStart w:id="1350" w:name="Tc_LXz1hh3b0Uq_IdlPG0Tm6g_4_9"/>
      <w:bookmarkStart w:id="1351" w:name="Tc_3YmUnxl7aU-gtrgjzV1-Xg_4_7"/>
      <w:bookmarkStart w:id="1352" w:name="Tc_lXfdNd7fNEKjf38JNwe0Jw_4_4"/>
      <w:bookmarkStart w:id="1353" w:name="Tc_GCxZl5zL2UKh24cIAM1WzQ_4_2"/>
      <w:bookmarkStart w:id="1354" w:name="Tc_D4xQ7YdCREaWQb_bKGzLYg_3_9"/>
      <w:bookmarkStart w:id="1355" w:name="Tc_DBMUIXSjskekaI6-9cKRNw_3_7"/>
      <w:bookmarkStart w:id="1356" w:name="Tc_zzG1sGB030WvuOTTr5HmQw_3_4"/>
      <w:bookmarkStart w:id="1357" w:name="Tc_sVNJryCN9UOw1ZHN5FS7Ng_2_9"/>
      <w:bookmarkStart w:id="1358" w:name="Tc_hQUdHjIkx06ik5eLDKWClA_2_7"/>
      <w:bookmarkStart w:id="1359" w:name="Tc_PTfZqxPZvkGYr3oXuJ3EQg_2_4"/>
      <w:bookmarkStart w:id="1360" w:name="Tc_Alc27BJzTkGc0b0LDs842Q_1_7"/>
      <w:bookmarkStart w:id="1361" w:name="Tc_wWcTmuzgiEeL_ntzp-diNQ_10_7"/>
      <w:bookmarkStart w:id="1362" w:name="Tc_uFbxZvG4-kilsSNi3UWqng_10_6"/>
      <w:bookmarkStart w:id="1363" w:name="Tc_sXUzddYOwEOQD05LjU6dhg_10_4"/>
      <w:bookmarkStart w:id="1364" w:name="Tc_pQIGSiHnCE2eBrRfoHvhtA_10_3"/>
      <w:bookmarkStart w:id="1365" w:name="Tc_eWC5tVyhZkWnzovokkcAnA_10_0"/>
      <w:bookmarkStart w:id="1366" w:name="Tc_ZdJhOAPe6kOzGKNY81OTWg_9_6"/>
      <w:bookmarkStart w:id="1367" w:name="Tc_0ZEO7fJMXUe12QBH9C8J_Q_9_3"/>
      <w:bookmarkStart w:id="1368" w:name="Tc_TuKFWDXfJUu_Mp5dKxpqvA_9_0"/>
      <w:bookmarkStart w:id="1369" w:name="Tc_HlxdvrNdyUqQaakb9qG3Yw_8_7"/>
      <w:bookmarkStart w:id="1370" w:name="Tc_mDI89nv6GUqcBTLLbdr2jA_8_4"/>
      <w:bookmarkStart w:id="1371" w:name="Tc_-XUXOUa1Y0aKkPpDMtOgTQ_8_0"/>
      <w:bookmarkStart w:id="1372" w:name="Tc_y3Qz_Kw_y0afNd5QJ4kpKA_7_7"/>
      <w:bookmarkStart w:id="1373" w:name="Tc_nAA_on8uzUSiT92ZpDbRFQ_7_4"/>
      <w:bookmarkStart w:id="1374" w:name="Tc_WJtvc8dbgUqm-0SQVBoIcA_7_0"/>
      <w:bookmarkStart w:id="1375" w:name="Tc_y07yK6XLEkqsXHqbJk0FQA_6_5"/>
      <w:bookmarkStart w:id="1376" w:name="Tc_IT1q_BlSU0ez-RSZs_1Z-w_6_2"/>
      <w:bookmarkStart w:id="1377" w:name="Tc_ivnhveKv7E2uoyCyWlyaOg_6_0"/>
      <w:bookmarkStart w:id="1378" w:name="Tc_ZratzG-fRUuJJ83-p8XGPw_5_5"/>
      <w:bookmarkStart w:id="1379" w:name="Tc_eL851PoHf0aGoQ4qS1SVgw_5_2"/>
      <w:bookmarkStart w:id="1380" w:name="Tc_3alniITfOEOtsfXw-4_-gQ_4_5"/>
      <w:bookmarkStart w:id="1381" w:name="Tc_FyKOureLgkKysHqntsmIKQ_4_2"/>
      <w:bookmarkStart w:id="1382" w:name="Tc_sDczvWXleUW2k3e4uY5zFw_3_5"/>
      <w:bookmarkStart w:id="1383" w:name="Tc_JWaf0iHpzk6kLiETROF5ew_2_5"/>
      <w:bookmarkStart w:id="1384" w:name="Tc_08YgLqAPZ0aJT402Kvxksw_1_5"/>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Times New Roman;Times;serif" w:hAnsi="Times New Roman;Times;serif"/>
          <w:b/>
          <w:i/>
          <w:sz w:val="20"/>
        </w:rPr>
        <w:t>Equity Incentive Plan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Equity Incentive Plan share options is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the Equity Incentive Plan share options issued during the year ended December 31, 2023 and the period from January 18, 2022 (date of inception) to December 31, 2022:</w:t>
      </w:r>
    </w:p>
    <w:p>
      <w:pPr>
        <w:pStyle w:val="TextBody"/>
        <w:bidi w:val="0"/>
        <w:spacing w:before="0" w:after="0"/>
        <w:ind w:left="0" w:right="0" w:hanging="0"/>
        <w:jc w:val="left"/>
        <w:rPr/>
      </w:pPr>
      <w:r>
        <w:rPr/>
        <w:t>​</w:t>
      </w:r>
    </w:p>
    <w:tbl>
      <w:tblPr>
        <w:tblW w:w="6199" w:type="dxa"/>
        <w:jc w:val="left"/>
        <w:tblInd w:w="0" w:type="dxa"/>
        <w:tblLayout w:type="fixed"/>
        <w:tblCellMar>
          <w:top w:w="0" w:type="dxa"/>
          <w:left w:w="0" w:type="dxa"/>
          <w:bottom w:w="0" w:type="dxa"/>
          <w:right w:w="0" w:type="dxa"/>
        </w:tblCellMar>
      </w:tblPr>
      <w:tblGrid>
        <w:gridCol w:w="2131"/>
        <w:gridCol w:w="326"/>
        <w:gridCol w:w="314"/>
        <w:gridCol w:w="1231"/>
        <w:gridCol w:w="326"/>
        <w:gridCol w:w="304"/>
        <w:gridCol w:w="1196"/>
        <w:gridCol w:w="3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53185" cy="175260"/>
                      <wp:effectExtent l="0" t="0" r="0" b="0"/>
                      <wp:wrapNone/>
                      <wp:docPr id="194" name="Frame18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5"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99390" cy="175260"/>
                      <wp:effectExtent l="0" t="0" r="0" b="0"/>
                      <wp:wrapNone/>
                      <wp:docPr id="196" name="Frame190"/>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81685" cy="175260"/>
                      <wp:effectExtent l="0" t="0" r="0" b="0"/>
                      <wp:wrapNone/>
                      <wp:docPr id="197" name="Frame19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98"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93040" cy="175260"/>
                      <wp:effectExtent l="0" t="0" r="0" b="0"/>
                      <wp:wrapNone/>
                      <wp:docPr id="199" name="Frame19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59460" cy="175260"/>
                      <wp:effectExtent l="0" t="0" r="0" b="0"/>
                      <wp:wrapNone/>
                      <wp:docPr id="200" name="Frame194"/>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35585" cy="175260"/>
                      <wp:effectExtent l="0" t="0" r="0" b="0"/>
                      <wp:wrapNone/>
                      <wp:docPr id="201" name="Frame19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w:t>
            </w:r>
          </w:p>
        </w:tc>
        <w:tc>
          <w:tcPr>
            <w:tcW w:w="371" w:type="dxa"/>
            <w:tcBorders/>
            <w:vAlign w:val="center"/>
          </w:tcPr>
          <w:p>
            <w:pPr>
              <w:pStyle w:val="TableContents"/>
              <w:bidi w:val="0"/>
              <w:spacing w:before="0" w:after="1"/>
              <w:ind w:left="0" w:right="0" w:hanging="0"/>
              <w:jc w:val="center"/>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January 18,</w:t>
            </w:r>
          </w:p>
        </w:tc>
        <w:tc>
          <w:tcPr>
            <w:tcW w:w="371"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2022 (date of </w:t>
            </w:r>
          </w:p>
        </w:tc>
        <w:tc>
          <w:tcPr>
            <w:tcW w:w="371"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inception) to</w:t>
            </w:r>
          </w:p>
        </w:tc>
        <w:tc>
          <w:tcPr>
            <w:tcW w:w="371"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2023</w:t>
            </w:r>
          </w:p>
        </w:tc>
        <w:tc>
          <w:tcPr>
            <w:tcW w:w="326" w:type="dxa"/>
            <w:tcBorders/>
            <w:vAlign w:val="center"/>
          </w:tcPr>
          <w:p>
            <w:pPr>
              <w:pStyle w:val="TableContents"/>
              <w:bidi w:val="0"/>
              <w:spacing w:before="0" w:after="1"/>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71" w:type="dxa"/>
            <w:tcBorders/>
            <w:vAlign w:val="center"/>
          </w:tcPr>
          <w:p>
            <w:pPr>
              <w:pStyle w:val="TableContents"/>
              <w:bidi w:val="0"/>
              <w:spacing w:before="0" w:after="1"/>
              <w:ind w:left="0" w:right="0" w:hanging="0"/>
              <w:jc w:val="center"/>
              <w:rPr/>
            </w:pPr>
            <w:r>
              <w:rPr/>
              <w:t> </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4" w:type="dxa"/>
            <w:tcBorders/>
            <w:vAlign w:val="center"/>
          </w:tcPr>
          <w:p>
            <w:pPr>
              <w:pStyle w:val="TableContents"/>
              <w:bidi w:val="0"/>
              <w:spacing w:before="0" w:after="1"/>
              <w:ind w:left="0" w:right="0" w:hanging="0"/>
              <w:jc w:val="left"/>
              <w:rPr/>
            </w:pPr>
            <w:r>
              <w:rPr/>
              <w:t> </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 years</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 years</w:t>
            </w:r>
          </w:p>
        </w:tc>
        <w:tc>
          <w:tcPr>
            <w:tcW w:w="371"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119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share option activity for the year ended December 31, 2023:</w:t>
      </w:r>
    </w:p>
    <w:p>
      <w:pPr>
        <w:pStyle w:val="TextBody"/>
        <w:bidi w:val="0"/>
        <w:spacing w:before="0" w:after="0"/>
        <w:ind w:left="0" w:right="0" w:hanging="0"/>
        <w:jc w:val="left"/>
        <w:rPr/>
      </w:pPr>
      <w:r>
        <w:rPr/>
        <w:t>​</w:t>
      </w:r>
    </w:p>
    <w:tbl>
      <w:tblPr>
        <w:tblW w:w="9978" w:type="dxa"/>
        <w:jc w:val="left"/>
        <w:tblInd w:w="0" w:type="dxa"/>
        <w:tblLayout w:type="fixed"/>
        <w:tblCellMar>
          <w:top w:w="0" w:type="dxa"/>
          <w:left w:w="0" w:type="dxa"/>
          <w:bottom w:w="0" w:type="dxa"/>
          <w:right w:w="0" w:type="dxa"/>
        </w:tblCellMar>
      </w:tblPr>
      <w:tblGrid>
        <w:gridCol w:w="4456"/>
        <w:gridCol w:w="326"/>
        <w:gridCol w:w="931"/>
        <w:gridCol w:w="326"/>
        <w:gridCol w:w="282"/>
        <w:gridCol w:w="844"/>
        <w:gridCol w:w="326"/>
        <w:gridCol w:w="991"/>
        <w:gridCol w:w="326"/>
        <w:gridCol w:w="264"/>
        <w:gridCol w:w="906"/>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829560" cy="175260"/>
                      <wp:effectExtent l="0" t="0" r="0" b="0"/>
                      <wp:wrapNone/>
                      <wp:docPr id="202" name="Frame196"/>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3"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91185" cy="175260"/>
                      <wp:effectExtent l="0" t="0" r="0" b="0"/>
                      <wp:wrapNone/>
                      <wp:docPr id="204"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05"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79070" cy="175260"/>
                      <wp:effectExtent l="0" t="0" r="0" b="0"/>
                      <wp:wrapNone/>
                      <wp:docPr id="206" name="Frame20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35940" cy="175260"/>
                      <wp:effectExtent l="0" t="0" r="0" b="0"/>
                      <wp:wrapNone/>
                      <wp:docPr id="207" name="Frame20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08"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29285" cy="175260"/>
                      <wp:effectExtent l="0" t="0" r="0" b="0"/>
                      <wp:wrapNone/>
                      <wp:docPr id="209" name="Frame20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0"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7640" cy="175260"/>
                      <wp:effectExtent l="0" t="0" r="0" b="0"/>
                      <wp:wrapNone/>
                      <wp:docPr id="211" name="Frame205"/>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75310" cy="175260"/>
                      <wp:effectExtent l="0" t="0" r="0" b="0"/>
                      <wp:wrapNone/>
                      <wp:docPr id="212" name="Frame20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82"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26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center"/>
              <w:rPr/>
            </w:pPr>
            <w:r>
              <w:rPr/>
              <w:t>​</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Recapitalization</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379,824</w:t>
            </w:r>
          </w:p>
        </w:tc>
        <w:tc>
          <w:tcPr>
            <w:tcW w:w="32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383,371</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6,004,144</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(596,450)</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5,791,065</w:t>
            </w:r>
          </w:p>
        </w:tc>
        <w:tc>
          <w:tcPr>
            <w:tcW w:w="326" w:type="dxa"/>
            <w:tcBorders/>
            <w:vAlign w:val="center"/>
          </w:tcPr>
          <w:p>
            <w:pPr>
              <w:pStyle w:val="TableContents"/>
              <w:bidi w:val="0"/>
              <w:spacing w:before="0" w:after="1"/>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17,752</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1,470,572</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949</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table above are 45,611 PSOs that vested upon the Company raising external capital of $75 million or more. The milestone was considered outside of the Company’s control, and accordingly, the vesting of the PSOs were not considered probable until the financing event occurs. During the year ended December 31, 2023, the 45,611 PSOs became vested and an immaterial amount of share-based compensation expense was recognized in relation to these PSOs.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table above are 2,483,135 options to purchase Class A Ordinary Shares issued to certain directors, executives, and employees outside of the Equity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of options granted during the year ended December 31, 2023 and the period from January 18, 2022 (date of inception) to December 31, 2022 was $5.79 and $1.35,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385" w:name="Tc_WBxJPwk_OUGSbb7MR0j-yg_7_4"/>
      <w:bookmarkStart w:id="1386" w:name="Tc_2f2_XyvKAEa6WFM-qLKhvw_7_0"/>
      <w:bookmarkStart w:id="1387" w:name="Tc_jICeq3NUdkS7CQJ4faCTww_6_0"/>
      <w:bookmarkStart w:id="1388" w:name="Tc_XA4GDSl6TkmE-83EeW7rkA_5_5"/>
      <w:bookmarkStart w:id="1389" w:name="Tc_eAz-C-wQ0EaA002WftzIJw_5_4"/>
      <w:bookmarkStart w:id="1390" w:name="Tc_MZOyWsMrd0SdoeU4Knal9Q_5_2"/>
      <w:bookmarkStart w:id="1391" w:name="Tc_L3uGHev5gkmhEww-QBN1sA_5_0"/>
      <w:bookmarkStart w:id="1392" w:name="Tc_b5FKMp2wt0K5ySwJzy_j_g_4_4"/>
      <w:bookmarkStart w:id="1393" w:name="Tc_LSX4P552nkOg4uehUyUPQw_4_2"/>
      <w:bookmarkStart w:id="1394" w:name="Tc_MHYCEZeKtEmJicYThP9AoA_3_4"/>
      <w:bookmarkStart w:id="1395" w:name="Tc_6qIT1nTAb0GrjGlNmtvafQ_3_2"/>
      <w:bookmarkStart w:id="1396" w:name="Tc_YJOItzZZEU2McVKVLMltPw_2_4"/>
      <w:bookmarkStart w:id="1397" w:name="Tc_T2MAjpRTVEOz_I2dFb_wPw_1_4"/>
      <w:bookmarkStart w:id="1398" w:name="Tc_FpCpqwullUmMp9xrwP62dA_10_4"/>
      <w:bookmarkStart w:id="1399" w:name="Tc_YsKzuyewdUukkIvzTAUVkQ_10_0"/>
      <w:bookmarkStart w:id="1400" w:name="Tc_8HISIu-1eUCBEy_3BBaWkw_9_0"/>
      <w:bookmarkStart w:id="1401" w:name="Tc_KKnJybpQD02ynJZnVquApg_8_0"/>
      <w:bookmarkStart w:id="1402" w:name="Tc_zPBpjhUGNEO29xi0hIPgmA_7_0"/>
      <w:bookmarkStart w:id="1403" w:name="Tc_leDDZ_TTOE2X9BjZcqi_aQ_6_0"/>
      <w:bookmarkStart w:id="1404" w:name="Tc_TO5hEGg0vEygqkjQE6rS-Q_5_5"/>
      <w:bookmarkStart w:id="1405" w:name="Tc_mNZ9xiJbe0ObJ65a0t9KNw_5_4"/>
      <w:bookmarkStart w:id="1406" w:name="Tc_0MwF4Uksk0K-tP-64iNNzQ_5_2"/>
      <w:bookmarkStart w:id="1407" w:name="Tc_f_gZn8I0jEmyAR3F9cwr5g_5_0"/>
      <w:bookmarkStart w:id="1408" w:name="Tc_K4Wjb-8vrE-d1E6sRYPRhg_4_4"/>
      <w:bookmarkStart w:id="1409" w:name="Tc_GNqUxmPzWUGxUm8uDcFhiA_4_2"/>
      <w:bookmarkStart w:id="1410" w:name="Tc_k-q31bCQkkuWl7nBS7KYHA_3_4"/>
      <w:bookmarkStart w:id="1411" w:name="Tc_uqRAHDn6eE2x1Rlpy3niPQ_3_2"/>
      <w:bookmarkStart w:id="1412" w:name="Tc_O5ku316j7EyN6jwy319s8g_2_4"/>
      <w:bookmarkStart w:id="1413" w:name="Tc_bXr1VXafKkS4hLsbfg0t2g_1_4"/>
      <w:bookmarkStart w:id="1414" w:name="Tc_cINIAEXr3EWl9VXtimSCrQ_9_2"/>
      <w:bookmarkStart w:id="1415" w:name="Tc_I-Q8JTM73k65gpTJH7gjYg_9_0"/>
      <w:bookmarkStart w:id="1416" w:name="Tc_r-VNi-4wIUSGV7F9yQe4lg_8_4"/>
      <w:bookmarkStart w:id="1417" w:name="Tc_cwQg82rnSUuyPKf1BJFm8w_8_3"/>
      <w:bookmarkStart w:id="1418" w:name="Tc_YxYmgbpwCUuU-VJE3Xw-DA_8_0"/>
      <w:bookmarkStart w:id="1419" w:name="Tc_AxsGjcxDY06ygfbK6ged2g_7_3"/>
      <w:bookmarkStart w:id="1420" w:name="Tc_l9Hyl0zg9UyZ-DvMm7ojWw_7_0"/>
      <w:bookmarkStart w:id="1421" w:name="Tc_3BEGMoiqMUmRBt7RXBBlsQ_6_4"/>
      <w:bookmarkStart w:id="1422" w:name="Tc_JAUzd5YScEyi1bOHyPHR_A_6_0"/>
      <w:bookmarkStart w:id="1423" w:name="Tc_LysSijMvz0SDgshJNoNo3A_5_4"/>
      <w:bookmarkStart w:id="1424" w:name="Tc_T58byXSUXUm0nqPeUPq_Qg_5_0"/>
      <w:bookmarkStart w:id="1425" w:name="Tc_jTBwvPFzJ0-L8to-wiCWNw_4_2"/>
      <w:bookmarkStart w:id="1426" w:name="Tc_k5_GJirL30-T7SqcVDHCYg_3_2"/>
      <w:bookmarkStart w:id="1427" w:name="Tc_OOfbRJJ1LUOX9WLBYPMi_Q_2_2"/>
      <w:bookmarkStart w:id="1428" w:name="Tc_xE6OCUzA_0GcBZ509wLjUQ_1_2"/>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r>
        <w:rPr>
          <w:rFonts w:ascii="Times New Roman;Times;serif" w:hAnsi="Times New Roman;Times;serif"/>
          <w:i/>
          <w:sz w:val="20"/>
        </w:rPr>
        <w:t>Market-Based 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w:t>
      </w:r>
      <w:r>
        <w:rPr>
          <w:rFonts w:ascii="Times New Roman;Times;serif" w:hAnsi="Times New Roman;Times;serif"/>
          <w:b w:val="false"/>
          <w:i w:val="false"/>
          <w:caps w:val="false"/>
          <w:smallCaps w:val="false"/>
          <w:sz w:val="20"/>
        </w:rPr>
        <w:t>fifth anniversary</w:t>
      </w:r>
      <w:r>
        <w:rPr>
          <w:rFonts w:ascii="Times New Roman;Times;serif" w:hAnsi="Times New Roman;Times;serif"/>
          <w:sz w:val="20"/>
        </w:rPr>
        <w:t xml:space="preserve"> of the grant date. These awards have an exercise price of $8.16 and become exercisable when vested and the market condition is satisfied. These awards expire 10 years from the date of grant. The fair value of these Market-Based Share Options were estimated using a Monte Carlo valuation method.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weighted-average assumptions used at the grant date to determine the fair value of the Company’s Market-Based Share Options granted during the year ended December 31, 2023. No Market-Based Share Options were granted during the period from January 18, 2022 (date of inception) to December 31, 2022:</w:t>
      </w:r>
    </w:p>
    <w:p>
      <w:pPr>
        <w:pStyle w:val="TextBody"/>
        <w:bidi w:val="0"/>
        <w:spacing w:before="0" w:after="0"/>
        <w:ind w:left="0" w:right="0" w:hanging="0"/>
        <w:jc w:val="left"/>
        <w:rPr/>
      </w:pPr>
      <w:r>
        <w:rPr/>
        <w:t>​</w:t>
      </w:r>
    </w:p>
    <w:tbl>
      <w:tblPr>
        <w:tblW w:w="5369" w:type="dxa"/>
        <w:jc w:val="left"/>
        <w:tblInd w:w="0" w:type="dxa"/>
        <w:tblLayout w:type="fixed"/>
        <w:tblCellMar>
          <w:top w:w="0" w:type="dxa"/>
          <w:left w:w="0" w:type="dxa"/>
          <w:bottom w:w="0" w:type="dxa"/>
          <w:right w:w="0" w:type="dxa"/>
        </w:tblCellMar>
      </w:tblPr>
      <w:tblGrid>
        <w:gridCol w:w="3601"/>
        <w:gridCol w:w="326"/>
        <w:gridCol w:w="300"/>
        <w:gridCol w:w="826"/>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86635" cy="175260"/>
                      <wp:effectExtent l="0" t="0" r="0" b="0"/>
                      <wp:wrapNone/>
                      <wp:docPr id="213" name="Frame207"/>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4"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0500" cy="175260"/>
                      <wp:effectExtent l="0" t="0" r="0" b="0"/>
                      <wp:wrapNone/>
                      <wp:docPr id="215" name="Frame20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24510" cy="175260"/>
                      <wp:effectExtent l="0" t="0" r="0" b="0"/>
                      <wp:wrapNone/>
                      <wp:docPr id="216" name="Frame2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0660" cy="175260"/>
                      <wp:effectExtent l="0" t="0" r="0" b="0"/>
                      <wp:wrapNone/>
                      <wp:docPr id="217" name="Frame2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 years</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Market-Based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Market-Based Share Options during the year ended December 31, 2023 was approximately $0.5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Share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issued RSUs to certain employees, executives, and directors pursuant to the Equity Incentive Plan. The fair value has been estimated based on the closing price of the shares on the grant date.</w:t>
      </w:r>
    </w:p>
    <w:p>
      <w:pPr>
        <w:pStyle w:val="TextBody"/>
        <w:bidi w:val="0"/>
        <w:spacing w:before="0" w:after="0"/>
        <w:ind w:left="0" w:right="0" w:hanging="0"/>
        <w:jc w:val="left"/>
        <w:rPr/>
      </w:pPr>
      <w:r>
        <w:rPr/>
        <w:t>​</w:t>
      </w:r>
    </w:p>
    <w:tbl>
      <w:tblPr>
        <w:tblW w:w="5770" w:type="dxa"/>
        <w:jc w:val="left"/>
        <w:tblInd w:w="0" w:type="dxa"/>
        <w:tblLayout w:type="fixed"/>
        <w:tblCellMar>
          <w:top w:w="0" w:type="dxa"/>
          <w:left w:w="0" w:type="dxa"/>
          <w:bottom w:w="0" w:type="dxa"/>
          <w:right w:w="0" w:type="dxa"/>
        </w:tblCellMar>
      </w:tblPr>
      <w:tblGrid>
        <w:gridCol w:w="3196"/>
        <w:gridCol w:w="326"/>
        <w:gridCol w:w="931"/>
        <w:gridCol w:w="326"/>
        <w:gridCol w:w="266"/>
        <w:gridCol w:w="725"/>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29460" cy="175260"/>
                      <wp:effectExtent l="0" t="0" r="0" b="0"/>
                      <wp:wrapNone/>
                      <wp:docPr id="218" name="Frame212"/>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19"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91185" cy="175260"/>
                      <wp:effectExtent l="0" t="0" r="0" b="0"/>
                      <wp:wrapNone/>
                      <wp:docPr id="220"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1"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8910" cy="175260"/>
                      <wp:effectExtent l="0" t="0" r="0" b="0"/>
                      <wp:wrapNone/>
                      <wp:docPr id="222" name="Frame21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60375" cy="175260"/>
                      <wp:effectExtent l="0" t="0" r="0" b="0"/>
                      <wp:wrapNone/>
                      <wp:docPr id="223" name="Frame21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2,234,011</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Converted to RSAs</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(499,993)</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unissued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at December 31,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1,563,018</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5.93</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RSUs during the year ended December 31, 2023 and the period from January 18, 2022 (date of inception) to December 31, 2022 was approximately $1.6 million and $-0-,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Share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converted RSUs granted to a certain director pursuant to the Equity Incentive Plan into RSAs during the year ended December 31, 2023. The fair value was estimated based on the closing price of the shares on the original grant date.</w:t>
      </w:r>
    </w:p>
    <w:p>
      <w:pPr>
        <w:pStyle w:val="TextBody"/>
        <w:bidi w:val="0"/>
        <w:spacing w:before="0" w:after="0"/>
        <w:ind w:left="0" w:right="0" w:hanging="0"/>
        <w:jc w:val="left"/>
        <w:rPr/>
      </w:pPr>
      <w:r>
        <w:rPr/>
        <w:t>​</w:t>
      </w:r>
    </w:p>
    <w:tbl>
      <w:tblPr>
        <w:tblW w:w="6111" w:type="dxa"/>
        <w:jc w:val="left"/>
        <w:tblInd w:w="0" w:type="dxa"/>
        <w:tblLayout w:type="fixed"/>
        <w:tblCellMar>
          <w:top w:w="0" w:type="dxa"/>
          <w:left w:w="0" w:type="dxa"/>
          <w:bottom w:w="0" w:type="dxa"/>
          <w:right w:w="0" w:type="dxa"/>
        </w:tblCellMar>
      </w:tblPr>
      <w:tblGrid>
        <w:gridCol w:w="3196"/>
        <w:gridCol w:w="326"/>
        <w:gridCol w:w="886"/>
        <w:gridCol w:w="326"/>
        <w:gridCol w:w="294"/>
        <w:gridCol w:w="652"/>
        <w:gridCol w:w="43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29460" cy="175260"/>
                      <wp:effectExtent l="0" t="0" r="0" b="0"/>
                      <wp:wrapNone/>
                      <wp:docPr id="224" name="Frame21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25"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62610" cy="175260"/>
                      <wp:effectExtent l="0" t="0" r="0" b="0"/>
                      <wp:wrapNone/>
                      <wp:docPr id="226" name="Frame2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27"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6690" cy="175260"/>
                      <wp:effectExtent l="0" t="0" r="0" b="0"/>
                      <wp:wrapNone/>
                      <wp:docPr id="228" name="Frame222"/>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14020" cy="175260"/>
                      <wp:effectExtent l="0" t="0" r="0" b="0"/>
                      <wp:wrapNone/>
                      <wp:docPr id="229" name="Frame22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73685" cy="175260"/>
                      <wp:effectExtent l="0" t="0" r="0" b="0"/>
                      <wp:wrapNone/>
                      <wp:docPr id="230" name="Frame224"/>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43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43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43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431" w:type="dxa"/>
            <w:tcBorders/>
            <w:vAlign w:val="center"/>
          </w:tcPr>
          <w:p>
            <w:pPr>
              <w:pStyle w:val="TableContents"/>
              <w:bidi w:val="0"/>
              <w:spacing w:before="0" w:after="0"/>
              <w:ind w:left="0" w:right="0" w:hanging="0"/>
              <w:jc w:val="center"/>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RSAs at 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Converted from RSUs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499,993</w:t>
            </w:r>
          </w:p>
        </w:tc>
        <w:tc>
          <w:tcPr>
            <w:tcW w:w="326" w:type="dxa"/>
            <w:tcBorders/>
            <w:vAlign w:val="center"/>
          </w:tcPr>
          <w:p>
            <w:pPr>
              <w:pStyle w:val="TableContents"/>
              <w:bidi w:val="0"/>
              <w:spacing w:before="0" w:after="0"/>
              <w:ind w:left="0" w:right="0" w:hanging="0"/>
              <w:jc w:val="left"/>
              <w:rPr/>
            </w:pPr>
            <w:r>
              <w:rPr/>
              <w:t> </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43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RSAs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499,993</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43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29" w:name="Tc_GB-uoWiTKkyuN-tVIajVaQ_8_5"/>
      <w:bookmarkStart w:id="1430" w:name="Tc_AaHoX9mjLUaMwg_dzxyPPg_8_2"/>
      <w:bookmarkStart w:id="1431" w:name="Tc_wQBr-O4L6kmlnTvCM0LS2A_8_0"/>
      <w:bookmarkStart w:id="1432" w:name="Tc_jZ7piRrfqEWdnmlfQZzpUQ_7_0"/>
      <w:bookmarkStart w:id="1433" w:name="Tc_GiE6z6yqt0qExiuA9T9-2w_6_6"/>
      <w:bookmarkStart w:id="1434" w:name="Tc_E0hylUu2PkyVYTYdOkwMyg_6_5"/>
      <w:bookmarkStart w:id="1435" w:name="Tc_R5uJLmAKjEOa2_rT6_2KjQ_6_2"/>
      <w:bookmarkStart w:id="1436" w:name="Tc_ecHDhDvrE0qGmtniZ0OqFQ_6_0"/>
      <w:bookmarkStart w:id="1437" w:name="Tc_BymemSww8EqJgBOsoo1-AA_5_5"/>
      <w:bookmarkStart w:id="1438" w:name="Tc_W2A5k5IPzUmQoafAIcXNzw_5_2"/>
      <w:bookmarkStart w:id="1439" w:name="Tc_UMBDA1MG9k-W4b6M0G4T2Q_4_5"/>
      <w:bookmarkStart w:id="1440" w:name="Tc_hl64lqSTMkyzLobjMjaWDg_4_2"/>
      <w:bookmarkStart w:id="1441" w:name="Tc_XtUYtPCBk0GMxbyxRkA7HA_3_5"/>
      <w:bookmarkStart w:id="1442" w:name="Tc_jctYv-_tlU69q1r-2-hEaQ_3_2"/>
      <w:bookmarkStart w:id="1443" w:name="Tc_v9PgrDvIKk2xb2g_T12EFw_2_5"/>
      <w:bookmarkStart w:id="1444" w:name="Tc_FxdqAB4HH0i0-QWv8NHsLA_2_2"/>
      <w:bookmarkStart w:id="1445" w:name="Tc_5S06UuJxGkmiiqjdNw1hyw_1_5"/>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r>
        <w:rPr>
          <w:rFonts w:ascii="Times New Roman;Times;serif" w:hAnsi="Times New Roman;Times;serif"/>
          <w:sz w:val="20"/>
        </w:rPr>
        <w:t>The expense recognized related to RSAs during the year ended December 31, 2023 and period ended December 31, 2022 was approximately $0.6 million and $-0-,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Award Modification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7, 2023, the Company and its President and Chief Operating Officer (the “COO”) entered into an agreement regarding the COO’s departure from the Company (the “Severance Agreement”). In connection with Severance Agreement, 59,594 of the share options previously granted to the COO became fully vested and exercisable, with any shares purchased under the option subject to an 18-month lockup period. The Company recognized approximately $0.6 million of incremental share-based compensation during the year ended December 31, 2023 related to this share option modification.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Other Share-based Compensation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accordance with the anti-dilution provisions of the Pfizer Agreement, Pfizer was issued additional Series A-1 convertible preferred shares upon the closing of the Business Combination that were immediately converted to 267,939 Class A Ordinary Shares. During the year ended December 31, 2023, the Company recognized expense in the amount of $2.2 million within research and development in the consolidated statement of operations, related to these Class A Ordinary Shares based on their grant-date fair value.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 for all equity arrangements for the year ended December 31, 2023 and the period from January 18, 2022 (date of inception) to December 31, 2022 was as follows:</w:t>
      </w:r>
    </w:p>
    <w:p>
      <w:pPr>
        <w:pStyle w:val="TextBody"/>
        <w:bidi w:val="0"/>
        <w:spacing w:before="0" w:after="0"/>
        <w:ind w:left="0" w:right="0" w:hanging="0"/>
        <w:jc w:val="left"/>
        <w:rPr/>
      </w:pPr>
      <w:r>
        <w:rPr/>
        <w:t>​</w:t>
      </w:r>
    </w:p>
    <w:tbl>
      <w:tblPr>
        <w:tblW w:w="6864" w:type="dxa"/>
        <w:jc w:val="left"/>
        <w:tblInd w:w="0" w:type="dxa"/>
        <w:tblLayout w:type="fixed"/>
        <w:tblCellMar>
          <w:top w:w="0" w:type="dxa"/>
          <w:left w:w="0" w:type="dxa"/>
          <w:bottom w:w="0" w:type="dxa"/>
          <w:right w:w="0" w:type="dxa"/>
        </w:tblCellMar>
      </w:tblPr>
      <w:tblGrid>
        <w:gridCol w:w="3436"/>
        <w:gridCol w:w="326"/>
        <w:gridCol w:w="295"/>
        <w:gridCol w:w="800"/>
        <w:gridCol w:w="326"/>
        <w:gridCol w:w="481"/>
        <w:gridCol w:w="1200"/>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81860" cy="175260"/>
                      <wp:effectExtent l="0" t="0" r="0" b="0"/>
                      <wp:wrapNone/>
                      <wp:docPr id="231" name="Frame225"/>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2"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7325" cy="175260"/>
                      <wp:effectExtent l="0" t="0" r="0" b="0"/>
                      <wp:wrapNone/>
                      <wp:docPr id="233" name="Frame22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8000" cy="175260"/>
                      <wp:effectExtent l="0" t="0" r="0" b="0"/>
                      <wp:wrapNone/>
                      <wp:docPr id="234" name="Frame22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5"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05435" cy="175260"/>
                      <wp:effectExtent l="0" t="0" r="0" b="0"/>
                      <wp:wrapNone/>
                      <wp:docPr id="236" name="Frame23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62000" cy="175260"/>
                      <wp:effectExtent l="0" t="0" r="0" b="0"/>
                      <wp:wrapNone/>
                      <wp:docPr id="237" name="Frame231"/>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95"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 from</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w:t>
            </w:r>
          </w:p>
        </w:tc>
        <w:tc>
          <w:tcPr>
            <w:tcW w:w="326" w:type="dxa"/>
            <w:tcBorders/>
            <w:vAlign w:val="center"/>
          </w:tcPr>
          <w:p>
            <w:pPr>
              <w:pStyle w:val="TableContents"/>
              <w:bidi w:val="0"/>
              <w:spacing w:before="0" w:after="1"/>
              <w:ind w:left="0" w:right="0" w:hanging="0"/>
              <w:jc w:val="left"/>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18, 2022</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1"/>
              <w:ind w:left="0" w:right="0" w:hanging="0"/>
              <w:jc w:val="left"/>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inception) to</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left"/>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pPr>
            <w:r>
              <w:rPr/>
              <w:t>—</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6,677</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9,655</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there was approximately $19.5 million of total unrecognized share-based compensation expense related to options granted to employees, executives, and directors under the Company’s equity plans that is expected to be recognized over a weighted average period of 3.0 years. As of December 31, 2023, there was approximately $7.9 million of total unrecognized share-based compensation expense related to RSUs granted to certain employees, executives, and directors under the Company’s Equity Incentive Plan that is expected to be recognized over a weighted average period of 3.4 years. As of December 31, 2023, there was approximately $3.2 million of total unrecognized share-based compensation expense related to RSAs granted to a certain director under the Company’s Equity Incentive Plan that is expected to be recognized over a weighted average period of 3.2 years.</w:t>
      </w:r>
    </w:p>
    <w:tbl>
      <w:tblPr>
        <w:tblW w:w="1652" w:type="dxa"/>
        <w:jc w:val="left"/>
        <w:tblInd w:w="0" w:type="dxa"/>
        <w:tblLayout w:type="fixed"/>
        <w:tblCellMar>
          <w:top w:w="0" w:type="dxa"/>
          <w:left w:w="0" w:type="dxa"/>
          <w:bottom w:w="0" w:type="dxa"/>
          <w:right w:w="0" w:type="dxa"/>
        </w:tblCellMar>
      </w:tblPr>
      <w:tblGrid>
        <w:gridCol w:w="376"/>
        <w:gridCol w:w="127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12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Note Payable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8, 2022, the Company received $7.6 million in net proceeds from the issuance of a promissory note (the “Note”) issued to Hydra, LLC (“Hydra”) with a face amount of $8.0 million. The Note accrues interest at 9% per annum. The maturity date of the Note is the earlier of (i) twelve months from the date of the Note or (ii)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dates after the date on which the Company consummates the Business Combination. The proceeds from the Note were used to acquire the 2022 Lilly License. If the registration statement on Form S-4 relating to the Business Combination had not been declared effective by the U.S. Securities and Exchange commission by February 15, 2023, or if the Business Combination was not consummated by March 31, 2023, Hydra had the right to accelerate the Note and receive an amount equal to 120% of the face amount of the Note, plus accrued interest. On March 8, 2023, the Company signed a limited waiver letter under the Note, pursuant to which Hydra agreed to waive its acceleration right in consideration of the Company paying to Hydra 125% of the principal amount (equal to $10.0 million in the aggregate). The Note was repaid on March 20, 2023, upon the consummation of the Business Combination.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elected to account for the Note at fair value (see Note 4). The Company recorded any changes in the fair value of the Note during the period through other expenses in the consolidated statements of operations.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46" w:name="Tc_1uCLWVL_jU62bLoyQ0EIIw_8_5"/>
      <w:bookmarkStart w:id="1447" w:name="Tc_WVnIK8j2FEG8mz1h9PmUJQ_8_2"/>
      <w:bookmarkStart w:id="1448" w:name="Tc_ndscp6GAPECrdOoJw91Dtw_8_0"/>
      <w:bookmarkStart w:id="1449" w:name="Tc_ynucxhGpq0KCtDDJlc89NQ_7_0"/>
      <w:bookmarkStart w:id="1450" w:name="Tc_2encZmUsSEyfSn0uHNcX2w_6_5"/>
      <w:bookmarkStart w:id="1451" w:name="Tc_u8tFB-ueRU6ZLXhAYq6Iyg_6_2"/>
      <w:bookmarkStart w:id="1452" w:name="Tc_aHzpusEEq0OMftbAIRCKqw_6_0"/>
      <w:bookmarkStart w:id="1453" w:name="Tc_tYU1_mqq7EuJ6yeGZb36rw_5_5"/>
      <w:bookmarkStart w:id="1454" w:name="Tc_QemPB3cpZ0GnCHtCdUpW2g_5_2"/>
      <w:bookmarkStart w:id="1455" w:name="Tc_JTUxcQmOI0uO4ql4vKoPcg_4_5"/>
      <w:bookmarkStart w:id="1456" w:name="Tc_K7Z7teez0UaZVCo0X5yH-g_4_2"/>
      <w:bookmarkStart w:id="1457" w:name="Tc_Z1YMrcNzok6qOYSeObyb1w_3_5"/>
      <w:bookmarkStart w:id="1458" w:name="Tc_5HNMMmASoEeYOyDziwgGwA_3_2"/>
      <w:bookmarkStart w:id="1459" w:name="Tc_THvvUWXF4EOHd9Ga9QxhRQ_2_5"/>
      <w:bookmarkStart w:id="1460" w:name="Tc_GDfpA7msNUe6FFUrtbC93A_2_2"/>
      <w:bookmarkStart w:id="1461" w:name="Tc_unR--JlyLkKooZkNODgbag_1_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components of loss before income taxes were as follows:</w:t>
      </w:r>
    </w:p>
    <w:p>
      <w:pPr>
        <w:pStyle w:val="TextBody"/>
        <w:bidi w:val="0"/>
        <w:spacing w:before="0" w:after="0"/>
        <w:ind w:left="0" w:right="0" w:hanging="0"/>
        <w:jc w:val="left"/>
        <w:rPr/>
      </w:pPr>
      <w:r>
        <w:rPr/>
        <w:t>​</w:t>
      </w:r>
    </w:p>
    <w:tbl>
      <w:tblPr>
        <w:tblW w:w="6053" w:type="dxa"/>
        <w:jc w:val="left"/>
        <w:tblInd w:w="0" w:type="dxa"/>
        <w:tblLayout w:type="fixed"/>
        <w:tblCellMar>
          <w:top w:w="0" w:type="dxa"/>
          <w:left w:w="0" w:type="dxa"/>
          <w:bottom w:w="0" w:type="dxa"/>
          <w:right w:w="0" w:type="dxa"/>
        </w:tblCellMar>
      </w:tblPr>
      <w:tblGrid>
        <w:gridCol w:w="2581"/>
        <w:gridCol w:w="326"/>
        <w:gridCol w:w="229"/>
        <w:gridCol w:w="866"/>
        <w:gridCol w:w="326"/>
        <w:gridCol w:w="346"/>
        <w:gridCol w:w="1379"/>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638935" cy="175260"/>
                      <wp:effectExtent l="0" t="0" r="0" b="0"/>
                      <wp:wrapNone/>
                      <wp:docPr id="238" name="Frame23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39"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5415" cy="175260"/>
                      <wp:effectExtent l="0" t="0" r="0" b="0"/>
                      <wp:wrapNone/>
                      <wp:docPr id="240" name="Frame23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49910" cy="175260"/>
                      <wp:effectExtent l="0" t="0" r="0" b="0"/>
                      <wp:wrapNone/>
                      <wp:docPr id="241" name="Frame23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2"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3"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75665" cy="175260"/>
                      <wp:effectExtent l="0" t="0" r="0" b="0"/>
                      <wp:wrapNone/>
                      <wp:docPr id="244" name="Frame238"/>
                      <a:graphic xmlns:a="http://schemas.openxmlformats.org/drawingml/2006/main">
                        <a:graphicData uri="http://schemas.microsoft.com/office/word/2010/wordprocessingShape">
                          <wps:wsp>
                            <wps:cNvSpPr txBox="1"/>
                            <wps:spPr>
                              <a:xfrm>
                                <a:off x="0" y="0"/>
                                <a:ext cx="875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Period from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26" w:type="dxa"/>
            <w:tcBorders/>
            <w:vAlign w:val="center"/>
          </w:tcPr>
          <w:p>
            <w:pPr>
              <w:pStyle w:val="TableContents"/>
              <w:bidi w:val="0"/>
              <w:spacing w:before="0" w:after="0"/>
              <w:ind w:left="0" w:right="0" w:hanging="0"/>
              <w:jc w:val="left"/>
              <w:rPr/>
            </w:pPr>
            <w:r>
              <w:rPr/>
              <w:t>​</w:t>
            </w:r>
          </w:p>
        </w:tc>
        <w:tc>
          <w:tcPr>
            <w:tcW w:w="17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18, 2022</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Ended </w:t>
            </w:r>
          </w:p>
        </w:tc>
        <w:tc>
          <w:tcPr>
            <w:tcW w:w="326" w:type="dxa"/>
            <w:tcBorders/>
            <w:vAlign w:val="center"/>
          </w:tcPr>
          <w:p>
            <w:pPr>
              <w:pStyle w:val="TableContents"/>
              <w:bidi w:val="0"/>
              <w:spacing w:before="0" w:after="0"/>
              <w:ind w:left="0" w:right="0" w:hanging="0"/>
              <w:jc w:val="center"/>
              <w:rPr/>
            </w:pPr>
            <w:r>
              <w:rPr/>
              <w:t>​</w:t>
            </w:r>
          </w:p>
        </w:tc>
        <w:tc>
          <w:tcPr>
            <w:tcW w:w="17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(date of inception) to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left"/>
              <w:rPr/>
            </w:pPr>
            <w:r>
              <w:rPr/>
              <w:t>​</w:t>
            </w:r>
          </w:p>
        </w:tc>
        <w:tc>
          <w:tcPr>
            <w:tcW w:w="17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(36,842)</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(15,253)</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operations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(23,721)</w:t>
            </w:r>
          </w:p>
        </w:tc>
        <w:tc>
          <w:tcPr>
            <w:tcW w:w="32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(60,563)</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(27,333)</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Provision for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is no provision for income taxes because the Company has incurred losses since its inception and maintains a full valuation allowance against its net deferred tax assets. The reported amount of income tax expense for the period differs from the amount that would result from applying the statutory tax rate to net loss before taxes primarily because of the change in valuation allowance.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January 1, 2022, the Tax Cuts and Jobs Act of 2017 requires the Company to capitalize, and subsequently amortize R&amp;D expense over five years for research activities conducted in the U.S. and over fifteen years for research activities conducted outside of the U.S. Since the Company continues to be in a loss position, there is no impact to taxes payable. The State of California does not conform to the federal capitalization requirements, allowing the Company to currently deduct the capitalized R&amp;D costs in California.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Deferred tax assets and valuation allowance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reflect the tax effects of the Company’s loss carryforwards and temporary differences between the carrying amounts of assets and liabilities for financial reporting purposes and the amounts used for income tax purposes. As of December 31, 2023, the Company had $24.9 million of foreign net operating loss carryforwards of which $24.2 million was generated in the United Kingdom and $0.7 million was generated in the Cayman Islands. The NOLs generated in the United Kingdom can be carried forward indefinitely. The NOLs generated in the Cayman Islands have no value as The Cayman Islands do not impose an income tax on corporations. As of December 31, 2022, the Company had $6.3 million of foreign net operating loss carryforwards in the United Kingdom. As of December 31, 2023, the Company had federal net operating loss carryforwards of $4.2 million. The federal losses can be carried forward indefinitely. As of December 31, 2022, the Company had federal net operating loss carryforwards of $0.1 million. Under the Tax Cut and Jobs Act, NOL carryforwards arising in tax years beginning after December 31, 2021, are limited to 80% of taxable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operating loss carryforwards are subject to review and possible adjustment by the U.S. and state tax authorities. NOL carryforwards may become subject to an annual limitation in the event of certain cumulative changes in the ownership interest of significant shareholders, as defined under Section 382 Internal Revenue Code. This could limit the amount of net operating losses that the Company can utilize annually to offset future taxable income or tax liabilities. As of December 31, 2023, the Company has not performed such an analysis evaluating the potential limitation of the Company’s net operating loss carryforwards due to the “change in ownership” provisions as defined under Sections 382 and 383 of the Internal Revenue Code. Subsequent ownership changes and proposed future changes to tax rules in respect of the utilization of losses carried forward may further affect the limitation in future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62" w:name="Tc_Cw8OiLeCAkmOghGji1KGPg_11_6"/>
      <w:bookmarkStart w:id="1463" w:name="Tc__RXK6r13DUW8AtLR1qAZKg_11_5"/>
      <w:bookmarkStart w:id="1464" w:name="Tc_TUzqmslqE0645TDU2k2zig_11_3"/>
      <w:bookmarkStart w:id="1465" w:name="Tc_8Pr05SbBAE-o32jbRpjSvQ_11_2"/>
      <w:bookmarkStart w:id="1466" w:name="Tc_7NoFGNgS1kuvmMXm7d3FNQ_11_0"/>
      <w:bookmarkStart w:id="1467" w:name="Tc_091fEDxfx0SojdS3A-MH0g_10_0"/>
      <w:bookmarkStart w:id="1468" w:name="Tc_-qji5nkxUE6MLe7maLFZ1g_9_0"/>
      <w:bookmarkStart w:id="1469" w:name="Tc__qI3Alv7_0e83-ZZCFLe0Q_8_3"/>
      <w:bookmarkStart w:id="1470" w:name="Tc_tYmbpJ6XbEO2v-9yYIyEcQ_8_0"/>
      <w:bookmarkStart w:id="1471" w:name="Tc_pVsQarxH0k-1zqqgrlOfIQ_7_6"/>
      <w:bookmarkStart w:id="1472" w:name="Tc_F5D54Os7sE6THaoFwWTKFA_7_0"/>
      <w:bookmarkStart w:id="1473" w:name="Tc_kvI4v4IS9UCZHbFV7fF71Q_6_0"/>
      <w:bookmarkStart w:id="1474" w:name="Tc_Hcb-L3YDPUKiV4qDm0SdGw_5_0"/>
      <w:bookmarkStart w:id="1475" w:name="Tc_a_n8gX7Yu0an3_O1TXZ5KQ_4_5"/>
      <w:bookmarkStart w:id="1476" w:name="Tc_SmDrRIDh7keoevihZfljlg_4_2"/>
      <w:bookmarkStart w:id="1477" w:name="Tc_BxM_pKVPxUKP6KHjnJVaSA_4_0"/>
      <w:bookmarkStart w:id="1478" w:name="Tc_Wa7y_zHRJEm_HWzn00xPUg_3_0"/>
      <w:bookmarkStart w:id="1479" w:name="Tc_UOg5QToirka315ecPwOthw_2_5"/>
      <w:bookmarkStart w:id="1480" w:name="Tc_wc3b9k1Wx0-yllAiOBNVeA_2_2"/>
      <w:bookmarkStart w:id="1481" w:name="Tc_J7sMrHAILEqMKiFGDk7BxQ_1_2"/>
      <w:bookmarkStart w:id="1482" w:name="Tc_MJM4Nz53I0iNOC0108Iy7A_10_5"/>
      <w:bookmarkStart w:id="1483" w:name="Tc_OJfXdq7_RkuPGFmi2pI-xg_10_4"/>
      <w:bookmarkStart w:id="1484" w:name="Tc_hrExekEXQ0S8HG-ExmvRaQ_10_3"/>
      <w:bookmarkStart w:id="1485" w:name="Tc_QQ9XLQZMW0GRZMaRTzAnaA_10_2"/>
      <w:bookmarkStart w:id="1486" w:name="Tc_Zr5XsU_geUq8ANU_pIcLRg_9_5"/>
      <w:bookmarkStart w:id="1487" w:name="Tc_wveCkOu_GEOBqzd3QcG9Hg_9_4"/>
      <w:bookmarkStart w:id="1488" w:name="Tc_seaDkB8jh0eHbnNsiD_I6w_9_3"/>
      <w:bookmarkStart w:id="1489" w:name="Tc_5Yxu0oGl00yvV16AKP6Ltw_9_0"/>
      <w:bookmarkStart w:id="1490" w:name="Tc_dqwGxGUf-EeVdnHhnNXRuA_8_5"/>
      <w:bookmarkStart w:id="1491" w:name="Tc_qBP8JJPFjUGzUj8y9G4qoA_8_3"/>
      <w:bookmarkStart w:id="1492" w:name="Tc_7r2-Q7BqdEKspzlg8ygycw_8_0"/>
      <w:bookmarkStart w:id="1493" w:name="Tc_JCQ4Lf0m2U68mWOY1kVdYw_7_5"/>
      <w:bookmarkStart w:id="1494" w:name="Tc_3AxKkGj98kSpiXbzGiS_Aw_7_4"/>
      <w:bookmarkStart w:id="1495" w:name="Tc_FlYCMLhtHEi22Zxo9ZsfyQ_7_3"/>
      <w:bookmarkStart w:id="1496" w:name="Tc_8wK36npgzkSJ_qa4Lm0KJQ_7_0"/>
      <w:bookmarkStart w:id="1497" w:name="Tc_oG7C2BuDUkKo_hhajpCZ2A_6_5"/>
      <w:bookmarkStart w:id="1498" w:name="Tc__4S2LkVE80KWVc625-UETQ_6_3"/>
      <w:bookmarkStart w:id="1499" w:name="Tc_ibbpgS26TUSificESVJv2Q_6_0"/>
      <w:bookmarkStart w:id="1500" w:name="Tc_crsyYiKfMkGZszH4hqPwPw_5_5"/>
      <w:bookmarkStart w:id="1501" w:name="Tc_y8N8Ejn5g0CP17vi1CQU7g_5_3"/>
      <w:bookmarkStart w:id="1502" w:name="Tc_pFc7U2l69k2QUNcbOHzkXg_5_0"/>
      <w:bookmarkStart w:id="1503" w:name="Tc_2jtMRwlQFkCiqgTQyrR8DQ_4_5"/>
      <w:bookmarkStart w:id="1504" w:name="Tc_EqM3MsEDAUy6IyC2_42KiA_4_3"/>
      <w:bookmarkStart w:id="1505" w:name="Tc_Ldcs5sN9VU-6ntpN3ap6vA_4_0"/>
      <w:bookmarkStart w:id="1506" w:name="Tc_dwDHGXaWvUaU_45sNi6dhA_3_5"/>
      <w:bookmarkStart w:id="1507" w:name="Tc_0YCxRiVu4EmLv0esVlD4mA_3_3"/>
      <w:bookmarkStart w:id="1508" w:name="Tc_-AywySDtH0WXo5ai5cgtqQ_3_0"/>
      <w:bookmarkStart w:id="1509" w:name="Tc_mG-J0tcRhEiRLaAy5XtEWw_2_4"/>
      <w:bookmarkStart w:id="1510" w:name="Tc_j5d5Hw4X1UyNupPLcnKPWQ_2_2"/>
      <w:bookmarkStart w:id="1511" w:name="Tc_tlY684QwyUGk1MIuaDsiQQ_1_2"/>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rPr>
          <w:rFonts w:ascii="Times New Roman;Times;serif" w:hAnsi="Times New Roman;Times;serif"/>
          <w:sz w:val="20"/>
        </w:rPr>
        <w:t>A reconciliation of the expected income tax (benefit) computed using the federal statutory income tax rate to the Company’s effective income tax rate is as follows:</w:t>
      </w:r>
    </w:p>
    <w:p>
      <w:pPr>
        <w:pStyle w:val="TextBody"/>
        <w:bidi w:val="0"/>
        <w:spacing w:before="0" w:after="0"/>
        <w:ind w:left="0" w:right="0" w:hanging="0"/>
        <w:jc w:val="both"/>
        <w:rPr/>
      </w:pPr>
      <w:r>
        <w:rPr/>
        <w:t>​</w:t>
      </w:r>
    </w:p>
    <w:tbl>
      <w:tblPr>
        <w:tblW w:w="6301" w:type="dxa"/>
        <w:jc w:val="left"/>
        <w:tblInd w:w="0" w:type="dxa"/>
        <w:tblLayout w:type="fixed"/>
        <w:tblCellMar>
          <w:top w:w="0" w:type="dxa"/>
          <w:left w:w="0" w:type="dxa"/>
          <w:bottom w:w="0" w:type="dxa"/>
          <w:right w:w="0" w:type="dxa"/>
        </w:tblCellMar>
      </w:tblPr>
      <w:tblGrid>
        <w:gridCol w:w="4126"/>
        <w:gridCol w:w="326"/>
        <w:gridCol w:w="586"/>
        <w:gridCol w:w="361"/>
        <w:gridCol w:w="586"/>
        <w:gridCol w:w="31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20010" cy="175260"/>
                      <wp:effectExtent l="0" t="0" r="0" b="0"/>
                      <wp:wrapNone/>
                      <wp:docPr id="245" name="Frame23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46"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72110" cy="175260"/>
                      <wp:effectExtent l="0" t="0" r="0" b="0"/>
                      <wp:wrapNone/>
                      <wp:docPr id="247" name="Frame24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29235" cy="175260"/>
                      <wp:effectExtent l="0" t="0" r="0" b="0"/>
                      <wp:wrapNone/>
                      <wp:docPr id="248" name="Frame2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2110" cy="175260"/>
                      <wp:effectExtent l="0" t="0" r="0" b="0"/>
                      <wp:wrapNone/>
                      <wp:docPr id="249" name="Frame24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0660" cy="175260"/>
                      <wp:effectExtent l="0" t="0" r="0" b="0"/>
                      <wp:wrapNone/>
                      <wp:docPr id="250" name="Frame2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at federal statutory rate</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 expense, net of federal tax effect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of non-U.S.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difference between the statutory federal income tax rate and the Company’s effective tax rate in 2023 and 2022 is primarily attributable to the change in valuation allowance.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significant components of the Company’s net deferred tax assets were as follows:</w:t>
      </w:r>
    </w:p>
    <w:p>
      <w:pPr>
        <w:pStyle w:val="TextBody"/>
        <w:bidi w:val="0"/>
        <w:spacing w:before="0" w:after="0"/>
        <w:ind w:left="0" w:right="0" w:hanging="0"/>
        <w:jc w:val="left"/>
        <w:rPr/>
      </w:pPr>
      <w:r>
        <w:rPr/>
        <w:t>​</w:t>
      </w:r>
    </w:p>
    <w:tbl>
      <w:tblPr>
        <w:tblW w:w="5832" w:type="dxa"/>
        <w:jc w:val="left"/>
        <w:tblInd w:w="0" w:type="dxa"/>
        <w:tblLayout w:type="fixed"/>
        <w:tblCellMar>
          <w:top w:w="0" w:type="dxa"/>
          <w:left w:w="0" w:type="dxa"/>
          <w:bottom w:w="0" w:type="dxa"/>
          <w:right w:w="0" w:type="dxa"/>
        </w:tblCellMar>
      </w:tblPr>
      <w:tblGrid>
        <w:gridCol w:w="3226"/>
        <w:gridCol w:w="326"/>
        <w:gridCol w:w="211"/>
        <w:gridCol w:w="796"/>
        <w:gridCol w:w="326"/>
        <w:gridCol w:w="211"/>
        <w:gridCol w:w="7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48510" cy="175260"/>
                      <wp:effectExtent l="0" t="0" r="0" b="0"/>
                      <wp:wrapNone/>
                      <wp:docPr id="251" name="Frame245"/>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2"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3"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05460" cy="175260"/>
                      <wp:effectExtent l="0" t="0" r="0" b="0"/>
                      <wp:wrapNone/>
                      <wp:docPr id="254" name="Frame2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55"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56"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67360" cy="175260"/>
                      <wp:effectExtent l="0" t="0" r="0" b="0"/>
                      <wp:wrapNone/>
                      <wp:docPr id="257" name="Frame2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6,419</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evaluated the positive and negative evidence bearing upon its ability to realize the deferred tax assets as of December 31, 2023 and 2022. Management has considered the Company’s history of cumulative net losses and has concluded as of December 31, 2023 and 2022, that it was more likely than not that the Company will not realize all of the benefits of the deferred tax assets. Accordingly, a full valuation allowance has been established against the deferred tax assets as of December 31, 2023 and 2022. The valuation allowance increased by $11.5 million for the year ended December 31, 2023.</w:t>
      </w:r>
    </w:p>
    <w:p>
      <w:pPr>
        <w:pStyle w:val="TextBody"/>
        <w:bidi w:val="0"/>
        <w:spacing w:before="0" w:after="0"/>
        <w:ind w:left="0" w:right="0" w:hanging="0"/>
        <w:jc w:val="both"/>
        <w:rPr/>
      </w:pPr>
      <w:r>
        <w:rPr/>
        <w:t>​</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29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32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Redeemable Noncontrolling Interest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may exercise its Put Option at any time between the first anniversary and the second anniversary of the transaction.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The amended settlement terms represented an extinguishment and reissuance of the Z33 Series Seed Preferred Shares. The $9.2 million difference between the estimated fair value of the new instrument issued and the carrying value of the Z33 Series Seed Preferred Shares was recorded as a deemed contribution from the redeemable noncontrolling interest and as an adjustment to net loss to arrive at net loss attributable to Class A ordinary shareholders in the consolidated statement of operations. On December 31, 2023, the redeemable noncontrolling interest was accreted to its redemption value and the difference was recorded as an adjustment to net loss to arrive at net loss attributable to Class A ordinary shareholders for the year ended December 31, 2023 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and 2022, the redeemable noncontrolling interest balance was $18.7 million and $10.0 million, respectively.</w:t>
      </w:r>
    </w:p>
    <w:p>
      <w:pPr>
        <w:pStyle w:val="Normal"/>
        <w:bidi w:val="0"/>
        <w:spacing w:before="0" w:after="0"/>
        <w:jc w:val="left"/>
        <w:rPr>
          <w:sz w:val="4"/>
          <w:szCs w:val="4"/>
        </w:rPr>
      </w:pPr>
      <w:r>
        <w:rPr>
          <w:sz w:val="4"/>
          <w:szCs w:val="4"/>
        </w:rPr>
      </w:r>
      <w:bookmarkStart w:id="1512" w:name="a14SubsequentEvents_264670"/>
      <w:bookmarkStart w:id="1513" w:name="a14SubsequentEvents_264670"/>
      <w:bookmarkEnd w:id="1513"/>
    </w:p>
    <w:tbl>
      <w:tblPr>
        <w:tblW w:w="2087" w:type="dxa"/>
        <w:jc w:val="left"/>
        <w:tblInd w:w="0" w:type="dxa"/>
        <w:tblLayout w:type="fixed"/>
        <w:tblCellMar>
          <w:top w:w="0" w:type="dxa"/>
          <w:left w:w="0" w:type="dxa"/>
          <w:bottom w:w="0" w:type="dxa"/>
          <w:right w:w="0" w:type="dxa"/>
        </w:tblCellMar>
      </w:tblPr>
      <w:tblGrid>
        <w:gridCol w:w="376"/>
        <w:gridCol w:w="1711"/>
      </w:tblGrid>
      <w:tr>
        <w:trPr/>
        <w:tc>
          <w:tcPr>
            <w:tcW w:w="37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14.</w:t>
            </w:r>
          </w:p>
        </w:tc>
        <w:tc>
          <w:tcPr>
            <w:tcW w:w="171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evaluated subsequent events through March 27, 2024, the date the consolidated financial statements were available to be issued. Except for the matters described below, the Company has concluded that no other events or transactions have occurred that require disclosure in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2024, the Company entered into an employment agreement with Robert Lisicki, President and Chief Operating Officer. In conjunction with the employment agreement, the Company awarded 1,000,000 options to purchase Class A Ordinary Shares at an exercise price of $3.98 per option. The vesting of 400,000 of these options is conditional upon certain events subject to approval by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24, 2024, the Board of Directors approved a CEO transition from Someit Sidhu, Chief Executive Officer and Director, to Robert Lisicki, effective April 8,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40"/>
        <w:ind w:left="0" w:right="0" w:hanging="0"/>
        <w:jc w:val="right"/>
        <w:rPr>
          <w:rFonts w:ascii="Times New Roman;Times;serif" w:hAnsi="Times New Roman;Times;serif"/>
          <w:b/>
          <w:sz w:val="20"/>
        </w:rPr>
      </w:pPr>
      <w:bookmarkStart w:id="1514" w:name="zura-20231231xex4d2.htm"/>
      <w:bookmarkStart w:id="1515" w:name="kszura20231231xex4d2"/>
      <w:bookmarkEnd w:id="1514"/>
      <w:bookmarkEnd w:id="1515"/>
      <w:r>
        <w:rPr>
          <w:rFonts w:ascii="Times New Roman;Times;serif" w:hAnsi="Times New Roman;Times;serif"/>
          <w:b/>
          <w:sz w:val="20"/>
        </w:rPr>
        <w:t>Exhibit 4.2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COMPANY’S SECURITIES REGISTERED PURSUANT TO SECTION 12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 AS AMENDED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company incorporated in the Cayman Islands as an exempted company and our affairs are governed by the MAA, the Cayman Islands Companies Act and the common law of the Cayman Islands. Pursuant to the MAA, our authorized share capital consists of 300,000,000 Zura Class A Ordinary Shares of a par value of $0.0001 each, no Zura Class B Ordinary Shares, and 1,000,000 Zura preference shares of a par value of $0.0001 each. The following description summarizes certain terms of our shares as set out more particularly in the MAA.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26, 2024, we have 43,593,678 Class A Ordinary Shares outstanding. Our shareholders of record are entitled to one vote for each share held on all matters to be voted on by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members of our Board of Directors serve until the next annual general meeting. There is no cumulative voting with respect to the appointment of directors, with the result that the holders of more than 50% of the shares eligible to vote for the appointment of directors and voting at the applicable meeting can appoint all of the directors. Subject to the rights of any holders of preference shares to appoint directors, the number of directors that shall constitute the Zura Board shall be as determined from time to time exclusively by the Zura Board.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Directors may only be removed for cause by a majority of the other directors then in office or by the affirmative vote of at least two-thirds (662∕3%) of the voting power of all then-outstanding ordinary shares of Zura entitled to vote thereon, voting together as a single class.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shareholders have no conversion, preemptive or other subscription rights and there are no sinking fund or redemption provisions applicable to the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Register of Members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Cayman Islands law, we must keep a register of members and there will be entered therein:</w:t>
      </w:r>
    </w:p>
    <w:p>
      <w:pPr>
        <w:pStyle w:val="TextBody"/>
        <w:bidi w:val="0"/>
        <w:spacing w:before="0" w:after="240"/>
        <w:ind w:left="0" w:right="0" w:hanging="0"/>
        <w:jc w:val="left"/>
        <w:rPr/>
      </w:pPr>
      <w:r>
        <w:rPr/>
        <w:t>●</w:t>
      </w:r>
      <w:r>
        <w:rPr>
          <w:rFonts w:ascii="Times New Roman;Times;serif" w:hAnsi="Times New Roman;Times;serif"/>
          <w:sz w:val="20"/>
        </w:rPr>
        <w:t>the names and addresses of the members, a statement of the shares held by each member, and of the amount paid or agreed to be considered as paid, on the shares of each member and the voting rights of the shares of each member;</w:t>
      </w:r>
    </w:p>
    <w:p>
      <w:pPr>
        <w:pStyle w:val="TextBody"/>
        <w:bidi w:val="0"/>
        <w:spacing w:before="0" w:after="240"/>
        <w:ind w:left="0" w:right="0" w:hanging="0"/>
        <w:jc w:val="left"/>
        <w:rPr/>
      </w:pPr>
      <w:r>
        <w:rPr/>
        <w:t>●</w:t>
      </w:r>
      <w:r>
        <w:rPr>
          <w:rFonts w:ascii="Times New Roman;Times;serif" w:hAnsi="Times New Roman;Times;serif"/>
          <w:sz w:val="20"/>
        </w:rPr>
        <w:t>whether voting rights are attached to the share in issue;</w:t>
      </w:r>
    </w:p>
    <w:p>
      <w:pPr>
        <w:pStyle w:val="TextBody"/>
        <w:bidi w:val="0"/>
        <w:spacing w:before="0" w:after="240"/>
        <w:ind w:left="0" w:right="0" w:hanging="0"/>
        <w:jc w:val="left"/>
        <w:rPr/>
      </w:pPr>
      <w:r>
        <w:rPr/>
        <w:t>●</w:t>
      </w:r>
      <w:r>
        <w:rPr>
          <w:rFonts w:ascii="Times New Roman;Times;serif" w:hAnsi="Times New Roman;Times;serif"/>
          <w:sz w:val="20"/>
        </w:rPr>
        <w:t>the date on which the name of any person was entered on the register as a member; and</w:t>
      </w:r>
    </w:p>
    <w:p>
      <w:pPr>
        <w:pStyle w:val="TextBody"/>
        <w:bidi w:val="0"/>
        <w:ind w:left="0" w:right="0" w:hanging="0"/>
        <w:jc w:val="left"/>
        <w:rPr/>
      </w:pPr>
      <w:r>
        <w:rPr/>
        <w:t>●</w:t>
      </w:r>
      <w:r>
        <w:rPr>
          <w:rFonts w:ascii="Times New Roman;Times;serif" w:hAnsi="Times New Roman;Times;serif"/>
          <w:sz w:val="20"/>
        </w:rPr>
        <w:t>the date on which any person ceased to be a member.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Founder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Founder Shares were outstanding Class B Ordinary Shares that automatically converted into Zura Class A Ordinary Shares at the business combination’s closing on a one-for-one basis, subject to adjustment. The founder shares are henceforth identical to the other Zura Class A Ordinary Shares, and holders of Founder</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Shares have the same shareholder rights as public shareholders, except that (i) the Founder Shares are subject to certain transfer restrictions, as described in more detail below and (ii) the founder shares are entitled to registration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certain limited exceptions, the Founder Shares are not transferable, assignable or salable (except to permitted transferees, each of whom will be subject to the same transfer restrictions) until the earlier of (A) six months after the completion of the Business Combination or (B) subsequent to the Business Combination, (x) if the reported closing price of our Zura Class A Ordinary Shares equals or exceeds $12.00 per share (as adjusted for share sub-divisions, share dividends, reorganizations, recapitalizations and the like) for any 20 trading days within any 30-trading day period commencing at least 150 days after the Business Combination or (y) the date, following the completion of the Business Combination, on which we complete a liquidation, merger, capital share exchange, reorganization or other similar transaction that results in all of our shareholders having the right to exchange their ordinary shares for cash, securities or other property.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Preference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MAA provide that preference shares may be issued from time to time in one or more series. Our board of directors are authorized to fix the voting rights, if any, designations, powers, preferences, the relative, participating, optional or other special rights and any qualifications, limitations and restrictions thereof, applicable to the shares of each series. Our board of directors are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outstanding at the date hereof, and do not expect to have any preference shares outstanding immediately following consummation of the Business Combination. Although we do not currently intend to issue any preference shares, we cannot assure you that we will not do so in the future. No preference shares were issued or registered in connection with our initial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Redeemable Warrants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Public Shareholders’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whole warrant entitles the registered holder to purchase one Zura Class A Ordinary Share at a price of $11.50 per share, subject to adjustment as discussed below, at any time commencing on the later of 12 months from the closing of our IPO and 30 days after the completion of the Business Combination. Pursuant to the warrant agreement, a warrantholder may exercise its warrants only for a whole number of Zura Class A Ordinary Shares. This means only a whole warrant may be exercised at a given time by a warrantholder. No fractional warrants will be issued upon separation of the units and only whole warrants will trade. The warrants will expire five years after the completion of the Business Combination, at 5:00 p.m., New York City time, or earlier upon redemption or liquidation.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obligated to deliver any Zura Class A Ordinary Shares pursuant to the exercise of a warrant and will have no obligation to settle such warrant exercise unless a registration statement under the Securities Act with respect to the Zura Class A Ordinary Shares underlying the warrants is then effective and a current prospectus relating thereto is current, subject to our satisfying our obligations described below with respect to registration. No warrant will be exercisable, and we will not be obligated to issue Zura Class A Ordinary Shares upon exercise of a warrant unless Zura Class A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if not cash settled, will have paid the full purchase price for the unit solely for the share of Zura Class A Ordinary Shares underlying such unit.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agreed that as soon as practicable, we will use our best efforts to file with the SEC a registration statement registering the issuance of the Zura Class A Ordinary Shares issuable upon exercise of the warrants, to cause such registration statement to become effective and to maintain a current prospectus relating to those Zura Class A Ordinary Shares until the warrants expire or are redeemed, as specified in the warrant agreement. If a registration statement covering the Zura Class A Ordinary Shares issuable upon exercise of the warrants is not effective by the 60th business day after the closing of our Business Combination or within a specified period following the consummation of our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Once the warrants become exercisable, we may call the warrants for redemption:</w:t>
      </w:r>
    </w:p>
    <w:p>
      <w:pPr>
        <w:pStyle w:val="TextBody"/>
        <w:bidi w:val="0"/>
        <w:spacing w:before="0" w:after="240"/>
        <w:ind w:left="0" w:right="0" w:hanging="0"/>
        <w:jc w:val="left"/>
        <w:rPr/>
      </w:pPr>
      <w:r>
        <w:rPr/>
        <w:t>●</w:t>
      </w:r>
      <w:r>
        <w:rPr>
          <w:rFonts w:ascii="Times New Roman;Times;serif" w:hAnsi="Times New Roman;Times;serif"/>
          <w:sz w:val="20"/>
        </w:rPr>
        <w:t>in whole and not in part;</w:t>
      </w:r>
    </w:p>
    <w:p>
      <w:pPr>
        <w:pStyle w:val="TextBody"/>
        <w:bidi w:val="0"/>
        <w:spacing w:before="0" w:after="240"/>
        <w:ind w:left="0" w:right="0" w:hanging="0"/>
        <w:jc w:val="left"/>
        <w:rPr/>
      </w:pPr>
      <w:r>
        <w:rPr/>
        <w:t>●</w:t>
      </w:r>
      <w:r>
        <w:rPr>
          <w:rFonts w:ascii="Times New Roman;Times;serif" w:hAnsi="Times New Roman;Times;serif"/>
          <w:sz w:val="20"/>
        </w:rPr>
        <w:t>at a price of $0.01 per warrant;</w:t>
      </w:r>
    </w:p>
    <w:p>
      <w:pPr>
        <w:pStyle w:val="TextBody"/>
        <w:bidi w:val="0"/>
        <w:spacing w:before="0" w:after="240"/>
        <w:ind w:left="0" w:right="0" w:hanging="0"/>
        <w:jc w:val="left"/>
        <w:rPr/>
      </w:pPr>
      <w:r>
        <w:rPr/>
        <w:t>●</w:t>
      </w:r>
      <w:r>
        <w:rPr>
          <w:rFonts w:ascii="Times New Roman;Times;serif" w:hAnsi="Times New Roman;Times;serif"/>
          <w:sz w:val="20"/>
        </w:rPr>
        <w:t>upon not less than 30 days’ prior written notice of redemption (the “30-day redemption period”) to each warrantholder; and</w:t>
      </w:r>
    </w:p>
    <w:p>
      <w:pPr>
        <w:pStyle w:val="TextBody"/>
        <w:bidi w:val="0"/>
        <w:ind w:left="0" w:right="0" w:hanging="0"/>
        <w:jc w:val="left"/>
        <w:rPr/>
      </w:pPr>
      <w:r>
        <w:rPr/>
        <w:t>●</w:t>
      </w:r>
      <w:r>
        <w:rPr>
          <w:rFonts w:ascii="Times New Roman;Times;serif" w:hAnsi="Times New Roman;Times;serif"/>
          <w:sz w:val="20"/>
        </w:rPr>
        <w:t>if, and only if, the reported closing price of the Zura Class A Ordinary Shares equals or exceeds $18.00 per share (as adjusted for share sub-divisions, share dividends, reorganizations, recapitalizations and the like) for any 20 trading days within a 30-trading day period ending three business days before we send the notice of redemption to the warrantholders.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and when the warrants become redeemable by us, we may not exercise our redemption right if the issuance of ordinary shares upon exercise of the warrants is not exempt from registration or qualification under applicable state blue sky laws or we are unable to effect such registration or qualification. We will use our best efforts to register or qualify such ordinary shares under the blue sky laws of the state of residence in those states in which the warrants were initially offered by us in the IPO.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warrantholder will be entitled to exercise its warrant prior to the scheduled redemption date. However, the price of the Zura Class A Ordinary Shares may fall below the $18.00 redemption trigger price (as adjusted for share sub-divisions, share dividends, reorganizations, recapitalizations and the like), as well as the $11.50 warrant exercise price after the redemption notice is issued.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Zura Class A Ordinary Shares issuable upon the exercise of our warrants. If our management takes advantage of this option, all holders of warrants would pay the exercise price by surrendering their warrants for that number of Zura Class A Ordinary Shares equal to the quotient obtained by dividing (x) the product of the number of Zura Class A Ordinary Shares underlying the warrants multiplied by and the excess of the “fair market value” (defined below) over the exercise price of the warrants by (y) the fair market value. The “fair market value” shall mean the average reported closing price of the Zura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Zura Class A Ordinary Shares to be received upon exercise of the warrants, including the “fair market value” in such case. Requiring a cashless exercise in this manner will reduce the number of shares to be issued and thereby lessen the dilutive effect of a</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warrant redemption. We believe this feature is an attractive option to us if we do not need the cash from the exercise of the warrants after our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warrantholders would have been required to use had all warrantholders been required to exercise their warrants on a cashless basis, as described in more detail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Zura Class A Ordinary Shares outstanding immediately after giving effect to such exercise.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number of outstanding Zura Class A Ordinary Shares is increased by a share dividend payable in Zura Class A Ordinary Shares, or by a sub-division-up of Zura Class A Ordinary Shares or other similar event, then, on the effective date of such share dividend, sub-division-up or similar event, the number of Zura Class A Ordinary Shares issuable on exercise of each warrant will be increased in proportion to such increase in the outstanding Zura Class A Ordinary Shares. A rights offering to holders of Zura Class A Ordinary Shares entitling holders to purchase Zura Class A Ordinary Shares at a price less than the fair market value will be deemed a share dividend of a number of Zura Class A Ordinary Shares equal to the product of (i) the number of Zura Class A Ordinary Shares actually sold in such rights offering (or issuable under any other equity securities sold in such rights offering that are convertible into or exercisable for Zura Class A Ordinary Shares) and (ii) one minus the quotient of (x) the price per share of Zura Class A Ordinary Shares paid in such rights offering divided by (y) the fair market value. For these purposes (i) if the rights offering is for securities convertible into or exercisable for Zura Class A Ordinary Shares, in determining the price payable for Zura Class A Ordinary Shares, there will be taken into account any consideration received for such rights, as well as any additional amount payable upon exercise or conversion and (ii) fair market value means the volume weighted average price of Zura Class A Ordinary Shares as reported during the 10 trading day period ending on the trading day prior to the first date on which the Zura Class A Ordinary Shares trade on the applicable exchange or in the applicable market, regular way, without the right to receive such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if we, at any time while the warrants are outstanding and unexpired, pay a dividend or make a distribution in cash, securities or other assets to the holders of Zura Class A Ordinary Shares on account of such Zura Class A Ordinary Shares (or other of our shares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Zura Class A Ordinary Shares in respect of such event.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number of outstanding shares of our Zura Class A Ordinary Shares is decreased by a consolidation, combination, reverse share sub-division or reclassification of Zura Class A Ordinary Shares or other similar event, then, on the effective date of such consolidation, combination, reverse share sub-division, reclassification or similar event, the number of Zura Class A Ordinary Shares issuable on exercise of each warrant will be decreased in proportion to such decrease in outstanding Zura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Whenever the number of Zura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Zura Class A Ordinary Shares purchasable upon the exercise of the warrants immediately prior to such adjustment, and (y) the denominator of which will be the number of Zura Class A Ordinary Shares so purchasable immediately thereafter.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case of any reclassification or reorganization of the outstanding Zura Class A Ordinary Shares (other than those described above or that solely affects the par value of such Zura Class A Ordinary Shares), or in the case of any merger or consolidation of us with or into another corporation (other than a consolidation or merger in which we are the continuing corporation and that does not result in any reclassification or reorganization of our outstanding Zura Class A Ordinary Shares), or in the case of any sale or conveyance to</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Zura Class A Ordinary Shares immediately theretofore purchasable and receivable upon the exercise of the rights represented thereby, the kind and amount of shares of share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Zura Class A Ordinary Shares in such a transaction is payable in the form of Zura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This formula is to compensate the warrantholder for the loss of the option value portion of the warrant due to the requirement that the warrantholder exercise the warrant within 30 days of the event. The Black-Scholes model is an accepted pricing model for estimating fair market value where no quoted market price for an instrument is available.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warrant agreement provides that the terms of the warrants may be amended without the consent of any holder to cure any ambiguity or correct any defective provision, and that all other modifications or amendments will require the vote or written resolution of the holders of at least a majority of the then outstanding public warrants and, solely with respect to any amendment to the terms of the private placement warrants, a majority of the then outstanding private placement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warrantholders do not have the rights or privileges of holders of Zura Class A Ordinary Shares or any voting rights until they exercise their warrants and receive Zura Class A Ordinary Shares. After the issuance of Zura Class A Ordinary Shares upon exercise of the warrants, each holder will be entitled to one vote for each share held of record on all matters to be voted on by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fractional shares will be issued upon exercise of the warrants. If, upon exercise of the warrants, a holder would be entitled to receive a fractional interest in a share, we will, upon exercise, round down to the nearest whole number of Zura Class A Ordinary Shares to be issued to the warrantholder. As a result, warrantholders not purchasing an even number of warrants must sell any odd number of warrants in order to obtain full value from the fractional interests that will not be issued.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described below, the private placement warrants have terms and provisions that are identical to those of the public shareholders’ warrants, including as to exercise price, exercisability and exercise period. If the private placement warrants are held by holders other than the sponsor or its permitted transferees, the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private placement warrants will be redeemable by us and exercisable by the holders on the same basis as the warrants included in the units sold in the IPO.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holders of the private placement warrants elect to exercise them on a cashless basis, they would pay the exercise price by surrendering their warrants for that number of Zura Class A Ordinary Shares equal to the quotient obtained by dividing (x) the product of the number of Zura Class A Ordinary Shares underlying the warrants multiplied by the excess of the “fair market value” (defined below) over the exercise price of the warrants by (y) the fair market value. The “fair market value” means the average reported closing price of the Zura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an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Zura Class A Ordinary Shares issuable upon exercise of the warrants freely in the open market, the insiders could be significantly restricted from doing so. As a result, we believe that allowing the holders to exercise such warrants on a cashless basis is appropriate.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26, 2023, the Company entered into certain subscription agreements with certain individual and institutional accredited investors in connection with the sale by the Company of Class A ordinary shares, par value $0.0001 per share and Pre-Funded Warrants. Pursuant to the terms of the Subscription Agreements, each Pre-Funded Warrant was sold at a price of $4.249 per Pre-Funded Warrant. Each Pre-Funded Warrant has an exercise price of $0.001 per Class A Ordinary Share and is exercisable for one Company’s Class A Ordinary Share at any time or times on or after April 26, 2023 until exercised in full. The Pre-Funded Warrants and the Class A ordinary shares issuable upon exercise of the Pre-Funded Warrants rely on the exemptions from registration provided by Section 4(a)(2) under the Securities Act and Regulation D promulgated thereunder, for transactions not involving a public offering.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not paid any cash dividends on our ordinary shares to date. The payment of cash dividends in the future will be dependent upon our revenues and earnings, if any, capital requirements and general financial conditions. The payment of any dividends will be within the discretion of the Zura Board. It is the present intention of our board of directors to retain all earnings, if any, for use in our business operations and, accordingly, our board does not anticipate declaring any dividends in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Transfer Agent and Warrant Agent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transfer agent for our ordinary shares and the warrant agent for our warrants is Continental Stock Transfer &amp; Trust Company, 17 Battery Place, New York, New York 10004.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Listing of Our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Class A Ordinary Shares and Warrants are listed on Nasdaq under the symbols “ZURA” and “ZURAW,” respectively.</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Extraordinary General Meeting of Shareholders</w:t>
      </w:r>
    </w:p>
    <w:p>
      <w:pPr>
        <w:pStyle w:val="TextBody"/>
        <w:bidi w:val="0"/>
        <w:spacing w:before="0" w:after="240"/>
        <w:ind w:left="0" w:right="0" w:firstLine="400"/>
        <w:jc w:val="left"/>
        <w:rPr>
          <w:rFonts w:ascii="Times New Roman;Times;serif" w:hAnsi="Times New Roman;Times;serif"/>
          <w:sz w:val="20"/>
        </w:rPr>
      </w:pPr>
      <w:r>
        <w:rPr>
          <w:rFonts w:ascii="Times New Roman;Times;serif" w:hAnsi="Times New Roman;Times;serif"/>
          <w:sz w:val="20"/>
        </w:rPr>
        <w:t>Our MAA provide that the directors, the chief executive officer or the chairman of the board of directors may call general meetings, and they shall on a shareholders’ requisition forthwith proceed to convene an extraordinary general meeting of the Company. A shareholders’ requisition is a requisition of shareholders holding at the date of deposit of the requisition not less than 10% in par value of the issued shares which as at that date carry the right to vote at general meetings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Advance Notice Requirements for Shareholder Proposals and Director Nominations</w:t>
      </w:r>
    </w:p>
    <w:p>
      <w:pPr>
        <w:pStyle w:val="TextBody"/>
        <w:bidi w:val="0"/>
        <w:spacing w:before="0" w:after="240"/>
        <w:ind w:left="0" w:right="0" w:firstLine="400"/>
        <w:jc w:val="left"/>
        <w:rPr>
          <w:rFonts w:ascii="Times New Roman;Times;serif" w:hAnsi="Times New Roman;Times;serif"/>
          <w:sz w:val="20"/>
        </w:rPr>
      </w:pPr>
      <w:r>
        <w:rPr>
          <w:rFonts w:ascii="Times New Roman;Times;serif" w:hAnsi="Times New Roman;Times;serif"/>
          <w:sz w:val="20"/>
        </w:rPr>
        <w:t>Our MAA provide that shareholders seeking to bring business before our annual general meeting, or to nominate candidates for election as directors at our annual general meeting, must provide timely notice of their intent in writing. To be timely, a shareholder’s notice will need to be delivered to our principal executive offices not less than 120 calendar days before the date of the proxy statement released to shareholders in connection with the previous year’s annual general meeting or, if we did not hold an annual general meeting in the previous year, or if the date of the current year’s annual general meeting has been changed by more than 30 days from the date of the previous year’s annual general meeting, then the deadline shall be set by our board of directors with such deadline being a reasonable time before we begin to print and send the related proxy materials. Our MAA also specify certain requirements as to the form and content of a shareholders’ meeting. These provisions may preclude our shareholders from bringing matters before our annual general meeting or from making nominations for directors at our annual general meeting.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Authorized but Unissued Shares</w:t>
      </w:r>
    </w:p>
    <w:p>
      <w:pPr>
        <w:pStyle w:val="TextBody"/>
        <w:bidi w:val="0"/>
        <w:spacing w:before="0" w:after="240"/>
        <w:ind w:left="0" w:right="0" w:firstLine="400"/>
        <w:jc w:val="left"/>
        <w:rPr>
          <w:rFonts w:ascii="Times New Roman;Times;serif" w:hAnsi="Times New Roman;Times;serif"/>
          <w:sz w:val="20"/>
        </w:rPr>
      </w:pPr>
      <w:r>
        <w:rPr>
          <w:rFonts w:ascii="Times New Roman;Times;serif" w:hAnsi="Times New Roman;Times;serif"/>
          <w:sz w:val="20"/>
        </w:rPr>
        <w:t>Our authorized but unissued Zura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Zura Class A Ordinary Shares and preference shares could render more difficult or discourage an attempt to obtain control of us by means of a proxy contest, tender offer, merger or otherwise.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16" w:name="zura-20231231xex31d1.htm"/>
      <w:bookmarkStart w:id="1517" w:name="kszura20231231xex31d1"/>
      <w:bookmarkEnd w:id="1516"/>
      <w:bookmarkEnd w:id="151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 of Principal Executive Officer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Someit Sidhu, certify that: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Zura Bio Limited;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630" w:type="dxa"/>
        <w:jc w:val="center"/>
        <w:tblInd w:w="0" w:type="dxa"/>
        <w:tblLayout w:type="fixed"/>
        <w:tblCellMar>
          <w:top w:w="0" w:type="dxa"/>
          <w:left w:w="0" w:type="dxa"/>
          <w:bottom w:w="0" w:type="dxa"/>
          <w:right w:w="0" w:type="dxa"/>
        </w:tblCellMar>
      </w:tblPr>
      <w:tblGrid>
        <w:gridCol w:w="124"/>
        <w:gridCol w:w="2506"/>
      </w:tblGrid>
      <w:tr>
        <w:trPr/>
        <w:tc>
          <w:tcPr>
            <w:tcW w:w="124" w:type="dxa"/>
            <w:tcBorders/>
            <w:vAlign w:val="center"/>
          </w:tcPr>
          <w:p>
            <w:pPr>
              <w:pStyle w:val="TableContents"/>
              <w:bidi w:val="0"/>
              <w:spacing w:before="0" w:after="2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Someit Sidhu</w:t>
            </w:r>
          </w:p>
        </w:tc>
      </w:tr>
      <w:tr>
        <w:trPr/>
        <w:tc>
          <w:tcPr>
            <w:tcW w:w="124" w:type="dxa"/>
            <w:tcBorders/>
            <w:vAlign w:val="center"/>
          </w:tcPr>
          <w:p>
            <w:pPr>
              <w:pStyle w:val="TableContents"/>
              <w:bidi w:val="0"/>
              <w:spacing w:before="0" w:after="2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Someit Sidhu</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18" w:name="zura-20231231xex31d2.htm"/>
      <w:bookmarkStart w:id="1519" w:name="kszura20231231xex31d2"/>
      <w:bookmarkEnd w:id="1518"/>
      <w:bookmarkEnd w:id="151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 of Principal Financial Officer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Verender Badial, certify that: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Zura Bio Limited;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645" w:type="dxa"/>
        <w:jc w:val="center"/>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before="0" w:after="2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124" w:type="dxa"/>
            <w:tcBorders/>
            <w:vAlign w:val="center"/>
          </w:tcPr>
          <w:p>
            <w:pPr>
              <w:pStyle w:val="TableContents"/>
              <w:bidi w:val="0"/>
              <w:spacing w:before="0" w:after="2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Verender Badial</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20" w:name="zura-20231231xex32d1.htm"/>
      <w:bookmarkStart w:id="1521" w:name="kszura20231231xex32d1"/>
      <w:bookmarkEnd w:id="1520"/>
      <w:bookmarkEnd w:id="152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Chief Executive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Zura Bio Limited (the “Company”) on Form 10-K for the period ended December 31, 2023, as filed with the Securities and Exchange Commission on the date hereof (the “Report”), I certify, pursuant to 18 U.S.C. § 1350, as adopted pursuant to § 906 of the Sarbanes-Oxley Act of 2002, that: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 as of and for the period covered by the Report.</w:t>
      </w:r>
    </w:p>
    <w:p>
      <w:pPr>
        <w:pStyle w:val="TextBody"/>
        <w:bidi w:val="0"/>
        <w:spacing w:before="0" w:after="0"/>
        <w:ind w:left="0" w:right="0" w:hanging="0"/>
        <w:jc w:val="left"/>
        <w:rPr/>
      </w:pPr>
      <w:r>
        <w:rPr/>
        <w:t>​</w:t>
      </w:r>
    </w:p>
    <w:tbl>
      <w:tblPr>
        <w:tblW w:w="2630" w:type="dxa"/>
        <w:jc w:val="center"/>
        <w:tblInd w:w="0" w:type="dxa"/>
        <w:tblLayout w:type="fixed"/>
        <w:tblCellMar>
          <w:top w:w="0" w:type="dxa"/>
          <w:left w:w="0" w:type="dxa"/>
          <w:bottom w:w="0" w:type="dxa"/>
          <w:right w:w="0" w:type="dxa"/>
        </w:tblCellMar>
      </w:tblPr>
      <w:tblGrid>
        <w:gridCol w:w="124"/>
        <w:gridCol w:w="2506"/>
      </w:tblGrid>
      <w:tr>
        <w:trPr/>
        <w:tc>
          <w:tcPr>
            <w:tcW w:w="124" w:type="dxa"/>
            <w:tcBorders/>
            <w:vAlign w:val="center"/>
          </w:tcPr>
          <w:p>
            <w:pPr>
              <w:pStyle w:val="TableContents"/>
              <w:bidi w:val="0"/>
              <w:spacing w:before="0" w:after="2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Someit Sidhu</w:t>
            </w:r>
          </w:p>
        </w:tc>
      </w:tr>
      <w:tr>
        <w:trPr/>
        <w:tc>
          <w:tcPr>
            <w:tcW w:w="124" w:type="dxa"/>
            <w:tcBorders/>
            <w:vAlign w:val="center"/>
          </w:tcPr>
          <w:p>
            <w:pPr>
              <w:pStyle w:val="TableContents"/>
              <w:bidi w:val="0"/>
              <w:spacing w:before="0" w:after="2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Someit Sidhu</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22" w:name="zura-20231231xex32d2.htm"/>
      <w:bookmarkStart w:id="1523" w:name="kszura20231231xex32d2"/>
      <w:bookmarkEnd w:id="1522"/>
      <w:bookmarkEnd w:id="152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Zura Bio Limited (the “Company”) on Form 10-K for the Period ended December 31, 2023 as filed with the Securities and Exchange Commission on the date hereof (the “Report”), I certify, pursuant to 18 U.S.C. § 1350, as adopted pursuant to § 906 of the Sarbanes-Oxley Act of 2002, that: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2645" w:type="dxa"/>
        <w:jc w:val="center"/>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before="0" w:after="2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124" w:type="dxa"/>
            <w:tcBorders/>
            <w:vAlign w:val="center"/>
          </w:tcPr>
          <w:p>
            <w:pPr>
              <w:pStyle w:val="TableContents"/>
              <w:bidi w:val="0"/>
              <w:spacing w:before="0" w:after="2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Verender Badial</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bookmarkStart w:id="1524" w:name="zura-20231231xex97.htm"/>
      <w:bookmarkStart w:id="1525" w:name="kszura20231231xex97"/>
      <w:bookmarkEnd w:id="1524"/>
      <w:bookmarkEnd w:id="1525"/>
      <w:r>
        <w:rPr>
          <w:rFonts w:ascii="Times New Roman" w:hAnsi="Times New Roman"/>
          <w:b/>
          <w:sz w:val="20"/>
        </w:rPr>
        <w:t>Exhibit 97</w:t>
      </w:r>
      <w:r>
        <w:br w:type="page"/>
      </w:r>
    </w:p>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7"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ZURA BIO LIMITED INCENTIVE COMPENSATION RECOUPMENT POLICY Effective: November 29, 2023 1. INTRODUCTION The Board of Directors (the “Board”) of Zura Bio Limited, a Cayman Islands exempted corporation (the “Company”), has determined that it is in the best interests of the Company and its shareholders to adopt this Incentive Compensation Recoupment Policy (this “Policy”) providing for the Company’s recoupment of Recoverable Incentive Compensation that is received by Covered Officers of the Company under certain circumstances. Certain capitalized terms used in this Policy have the meanings given to such terms in Section 3 below. This Policy is designed to comply with, and shall be interpreted to be consistent with, Section 10D of the Exchange Act, Rule 10D-1 promulgated thereunder (“Rule 10D-1”) and Nasdaq Listing Rule 5608 (the “Listing Standards”). 2. EFFECTIVE DATE This Policy shall apply to all Incentive Compensation that is received by a Covered Officer on or after October 2, 2023 (the “Effective Date”). Incentive Compensation is deemed “received” in the Company’s fiscal period in which the Financial Reporting Measure specified in the Incentive Compensation award is attained, even if the payment or grant of such Incentive Compensation occurs after the end of that period. 3. DEFINITIONS “Accounting Restatement”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“Accounting Restatement Date”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 “Administrator” means the Compensation Committee or, in the absence of such committee, the Board. “Code” means the U.S. Internal Revenue Code of 1986, as amended, and the regulations promulgated thereunder.</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8"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“Compensation Committee” means the Compensation Committee of the Board. “Covered Officer” means each current and former Executive Officer. “Exchange” means the Nasdaq Stock Market. “Exchange Act” means the U.S. Securities Exchange Act of 1934, as amended. “Executive Officer”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 “Financial Reporting Measures” means measures that are determined and presented in accordance with the accounting principles used in preparing the Company’s financial statements, and any measures derived wholly or in part from such measures, including Company stock price and total stockholder return (“TSR”). A measure need not be presented in the Company’s financial statements or included in a filing with the SEC in order to be a Financial Reporting Measure. “Incentive Compensation” means any compensation that is granted, earned or vested based wholly or in part upon the attainment of a Financial Reporting Measure. “Lookback Period”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“Recoverable Incentive Compensation” means Incentive Compensation received by a Covered Officer during the Lookback Period that exceeds the amount of Incentive Compensation that would have been received had such amount been determined based on the Accounting Restatement, computed without regard to any taxes paid (i.e.,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“SEC” means the U.S. Securities and Exchange Commission. 4. RECOUPMENT (a) Applicability of Policy. 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(b) Recoupment Generally. 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(c) Impracticability of Recovery. Recoupment may be determined to be impracticable if, and only if: (i) 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 (ii) 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 (iii) 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 (d) Sources of Recoupment. 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0"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e.g., base salary, bonuses or commissions and compensation previously deferred by the Covered Officer. The Administrator need not utilize the same method of recovery for all Covered Officers or with respect to all types of Recoverable Incentive Compensation. (e) No Indemnification of Covered Officers. 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 (f) Indemnification of Administrator. 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 (g) No “Good Reason” for Covered Officers. 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 5. ADMINISTRATION 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 6. SEVERABILITY 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unenforceable provisions shall be deemed amended to the minimum extent necessary to render any such provision or application enforceable. 7. NO IMPAIRMENT OF OTHER REMEDIES 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 8. AMENDMENT; TERMINATION The Administrator may amend, terminate or replace this Policy or any portion of this Policy at any time and from time to time in its sole discretion. The Administrator shall amend this Policy as it deems necessary to comply with applicable law or any Listing Standard. 9. SUCCESSORS This Policy shall be binding and enforceable against all Covered Officers and, to the extent required by Rule 10D-1 and/or the applicable Listing Standards, their beneficiaries, heirs, executors, administrators or other legal representatives. 10. REQUIRED FILINGS The Company shall make any disclosures and filings with respect to this Policy that are required by law, including as required by the SEC. * * * * *</w:t>
            </w:r>
          </w:p>
        </w:tc>
      </w:tr>
    </w:tbl>
    <w:tbl>
      <w:tblPr>
        <w:tblW w:w="12965" w:type="dxa"/>
        <w:jc w:val="center"/>
        <w:tblInd w:w="0" w:type="dxa"/>
        <w:tblLayout w:type="fixed"/>
        <w:tblCellMar>
          <w:top w:w="0" w:type="dxa"/>
          <w:left w:w="0" w:type="dxa"/>
          <w:bottom w:w="0" w:type="dxa"/>
          <w:right w:w="0" w:type="dxa"/>
        </w:tblCellMar>
      </w:tblPr>
      <w:tblGrid>
        <w:gridCol w:w="12735"/>
        <w:gridCol w:w="23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2"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ZURA BIO LIMITED INCENTIVE COMPENSATION RECOUPMENT POLICY FORM OF EXECUTIVE ACKNOWLEDGMENT I, the undersigned, agree and acknowledge that I am bound by, and subject to, the Zura Bio Limited Incentive Compensation Recoupment Policy, as may be amended, restated, supplemented or otherwise modified from time to time (the “Policy”). In the event of any inconsistency between the Policy and the terms of any employment agreement, offer letter or other individual agreement with Zura Bio Limited (the “Company”) to which I am a party, or the terms of any compensation plan, program or agreement, whether or not written, under which any compensation has been granted, awarded, earned or paid to me, the terms of the Policy shall govern. 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 Agreed and Acknowledged: Name: Title: Date: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855644/000110465923005068/tm233516d1_ex2-1.htm" TargetMode="External"/><Relationship Id="rId9" Type="http://schemas.openxmlformats.org/officeDocument/2006/relationships/hyperlink" Target="https://www.sec.gov/Archives/edgar/data/1855644/000110465923055196/tm2314291d1_ex4-1.htm" TargetMode="External"/><Relationship Id="rId10" Type="http://schemas.openxmlformats.org/officeDocument/2006/relationships/hyperlink" Target="https://www.sec.gov/Archives/edgar/data/1855644/000110465923023189/tm2218919d27_ex10-17.htm" TargetMode="External"/><Relationship Id="rId11" Type="http://schemas.openxmlformats.org/officeDocument/2006/relationships/hyperlink" Target="https://www.sec.gov/Archives/edgar/data/1855644/000110465923023189/tm2218919d27_ex10-22.htm" TargetMode="External"/><Relationship Id="rId12" Type="http://schemas.openxmlformats.org/officeDocument/2006/relationships/hyperlink" Target="https://www.sec.gov/Archives/edgar/data/1855644/000110465923009979/tm2218919d21_ex10-29.htm" TargetMode="External"/><Relationship Id="rId13" Type="http://schemas.openxmlformats.org/officeDocument/2006/relationships/hyperlink" Target="https://www.sec.gov/Archives/edgar/data/1855644/000110465923055196/tm2314291d1_ex10-1.htm" TargetMode="External"/><Relationship Id="rId14" Type="http://schemas.openxmlformats.org/officeDocument/2006/relationships/hyperlink" Target="https://www.sec.gov/Archives/edgar/data/1855644/000110465923043201/tm2312086d1_ex10-1.htm" TargetMode="External"/><Relationship Id="rId15" Type="http://schemas.openxmlformats.org/officeDocument/2006/relationships/hyperlink" Target="https://www.sec.gov/Archives/edgar/data/1855644/000110465923014347/tm2218919d24_ex10-31.htm" TargetMode="External"/><Relationship Id="rId16" Type="http://schemas.openxmlformats.org/officeDocument/2006/relationships/hyperlink" Target="https://www.sec.gov/Archives/edgar/data/1855644/000110465923055196/tm2314291d1_ex10-1.htm" TargetMode="External"/><Relationship Id="rId17" Type="http://schemas.openxmlformats.org/officeDocument/2006/relationships/hyperlink" Target="https://www.sec.gov/Archives/edgar/data/1855644/000110465923090605/tm235378d7_ex10-38.htm" TargetMode="External"/><Relationship Id="rId18" Type="http://schemas.openxmlformats.org/officeDocument/2006/relationships/hyperlink" Target="https://www.sec.gov/Archives/edgar/data/1855644/000110465923043355/tm2312164d1_ex10-1.htm" TargetMode="External"/><Relationship Id="rId19" Type="http://schemas.openxmlformats.org/officeDocument/2006/relationships/hyperlink" Target="https://www.sec.gov/Archives/edgar/data/1855644/000110465923043355/tm2312164d1_ex10-2.htm" TargetMode="External"/><Relationship Id="rId20" Type="http://schemas.openxmlformats.org/officeDocument/2006/relationships/hyperlink" Target="https://www.sec.gov/Archives/edgar/data/1855644/000141057823001121/zura-20230331xex10d28.htm" TargetMode="External"/><Relationship Id="rId21" Type="http://schemas.openxmlformats.org/officeDocument/2006/relationships/hyperlink" Target="https://www.sec.gov/Archives/edgar/data/1855644/000110465923124000/tm2332309d1_ex10-1.htm" TargetMode="External"/><Relationship Id="rId22" Type="http://schemas.openxmlformats.org/officeDocument/2006/relationships/hyperlink" Target="https://www.sec.gov/Archives/edgar/data/1855644/000110465924001984/tm242343d1_ex10-1.htm" TargetMode="External"/><Relationship Id="rId23" Type="http://schemas.openxmlformats.org/officeDocument/2006/relationships/hyperlink" Target="https://www.sec.gov/Archives/edgar/data/1855644/000110465922111238/tm2218919d12_ex21-2.htm" TargetMode="External"/><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103516</Words>
  <Characters>570245</Characters>
  <CharactersWithSpaces>673184</CharactersWithSpaces>
  <Paragraphs>7387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