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zura-20251231x10k.htm"/>
        <w:bookmarkStart w:id="1" w:name="kszura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9cd1d4eb_1418_42ab_9319_fc0c2dafdf08"/>
      <w:bookmarkEnd w:id="2"/>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60"/>
        <w:ind w:left="0" w:right="0" w:hanging="0"/>
        <w:jc w:val="both"/>
        <w:rPr/>
      </w:pPr>
      <w:r>
        <w:rPr/>
        <w:t>​</w:t>
      </w:r>
    </w:p>
    <w:p>
      <w:pPr>
        <w:pStyle w:val="TextBody"/>
        <w:bidi w:val="0"/>
        <w:spacing w:before="0" w:after="60"/>
        <w:ind w:left="0" w:right="0" w:hanging="0"/>
        <w:jc w:val="center"/>
        <w:rPr>
          <w:rFonts w:ascii="Times New Roman;Times;serif" w:hAnsi="Times New Roman;Times;serif"/>
          <w:b/>
          <w:sz w:val="34"/>
        </w:rPr>
      </w:pPr>
      <w:r>
        <w:rPr>
          <w:rFonts w:ascii="Times New Roman;Times;serif" w:hAnsi="Times New Roman;Times;serif"/>
          <w:b/>
          <w:sz w:val="34"/>
        </w:rPr>
        <w:t>FORM 10-K</w:t>
      </w:r>
    </w:p>
    <w:p>
      <w:pPr>
        <w:pStyle w:val="TextBody"/>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(Mark One)</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 w:name="Tc_urxsSnckbkaB_232wni-Ug_1_1"/>
      <w:bookmarkStart w:id="4" w:name="_586b5a43_a625_4a4e_972f_8ae424206286"/>
      <w:bookmarkStart w:id="5" w:name="Tc_urxsSnckbkaB_232wni-Ug_1_1"/>
      <w:bookmarkStart w:id="6" w:name="_586b5a43_a625_4a4e_972f_8ae424206286"/>
      <w:bookmarkEnd w:id="5"/>
      <w:bookmarkEnd w:id="6"/>
    </w:p>
    <w:tbl>
      <w:tblPr>
        <w:tblW w:w="9422" w:type="dxa"/>
        <w:jc w:val="left"/>
        <w:tblInd w:w="0" w:type="dxa"/>
        <w:tblLayout w:type="fixed"/>
        <w:tblCellMar>
          <w:top w:w="0" w:type="dxa"/>
          <w:left w:w="0" w:type="dxa"/>
          <w:bottom w:w="0" w:type="dxa"/>
          <w:right w:w="0" w:type="dxa"/>
        </w:tblCellMar>
      </w:tblPr>
      <w:tblGrid>
        <w:gridCol w:w="331"/>
        <w:gridCol w:w="909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09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0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ANNUAL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fiscal year ended December 31, 2025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7" w:name="Tc_uEuJVyU5fUyekfbthz_1AA_1_1"/>
      <w:bookmarkStart w:id="8" w:name="_7603c0d5_8132_44eb_ac99_1d6809753408"/>
      <w:bookmarkStart w:id="9" w:name="Tc_uEuJVyU5fUyekfbthz_1AA_1_1"/>
      <w:bookmarkStart w:id="10" w:name="_7603c0d5_8132_44eb_ac99_1d6809753408"/>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 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001-40598</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8"/>
        </w:rPr>
      </w:pPr>
      <w:r>
        <w:rPr>
          <w:rFonts w:ascii="Times New Roman;Times;serif" w:hAnsi="Times New Roman;Times;serif"/>
          <w:b/>
          <w:sz w:val="38"/>
        </w:rPr>
        <w:t>ZURA BIO LIMITED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2ErG9VnupkKCaKh_bCY3IQ_4_1"/>
      <w:bookmarkStart w:id="12" w:name="Tc_oVkvICbCGUG7y7nZRf4VAw_4_0"/>
      <w:bookmarkStart w:id="13" w:name="Tc_sLZyeSvlQkOJrcxu17nv1Q_3_0"/>
      <w:bookmarkStart w:id="14" w:name="Tc_GuX-HuE26UGjBURufHTzfw_2_1"/>
      <w:bookmarkStart w:id="15" w:name="Tc_Gm6Q06KYXUmcEzxjpzlZqg_2_0"/>
      <w:bookmarkStart w:id="16" w:name="_634bf6b4_744c_43c5_afe3_e42dad2b94c6"/>
      <w:bookmarkStart w:id="17" w:name="Tc_2ErG9VnupkKCaKh_bCY3IQ_4_1"/>
      <w:bookmarkStart w:id="18" w:name="Tc_oVkvICbCGUG7y7nZRf4VAw_4_0"/>
      <w:bookmarkStart w:id="19" w:name="Tc_sLZyeSvlQkOJrcxu17nv1Q_3_0"/>
      <w:bookmarkStart w:id="20" w:name="Tc_GuX-HuE26UGjBURufHTzfw_2_1"/>
      <w:bookmarkStart w:id="21" w:name="Tc_Gm6Q06KYXUmcEzxjpzlZqg_2_0"/>
      <w:bookmarkStart w:id="22" w:name="_634bf6b4_744c_43c5_afe3_e42dad2b94c6"/>
      <w:bookmarkEnd w:id="17"/>
      <w:bookmarkEnd w:id="18"/>
      <w:bookmarkEnd w:id="19"/>
      <w:bookmarkEnd w:id="20"/>
      <w:bookmarkEnd w:id="21"/>
      <w:bookmarkEnd w:id="22"/>
    </w:p>
    <w:tbl>
      <w:tblPr>
        <w:tblW w:w="4637" w:type="dxa"/>
        <w:jc w:val="left"/>
        <w:tblInd w:w="0" w:type="dxa"/>
        <w:tblLayout w:type="fixed"/>
        <w:tblCellMar>
          <w:top w:w="0" w:type="dxa"/>
          <w:left w:w="0" w:type="dxa"/>
          <w:bottom w:w="0" w:type="dxa"/>
          <w:right w:w="0" w:type="dxa"/>
        </w:tblCellMar>
      </w:tblPr>
      <w:tblGrid>
        <w:gridCol w:w="3076"/>
        <w:gridCol w:w="156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98-1725736</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1489 W. Warm Springs Rd. #110</w:t>
            </w:r>
          </w:p>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Henderson, Nevada</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89014</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Registrant’s telephone number, including area code:</w:t>
      </w:r>
      <w:r>
        <w:rPr>
          <w:rFonts w:ascii="Times New Roman;Times;serif" w:hAnsi="Times New Roman;Times;serif"/>
          <w:sz w:val="20"/>
        </w:rPr>
        <w:t xml:space="preserve"> </w:t>
      </w:r>
      <w:r>
        <w:rPr>
          <w:rFonts w:ascii="Times New Roman;Times;serif" w:hAnsi="Times New Roman;Times;serif"/>
          <w:b/>
          <w:sz w:val="18"/>
        </w:rPr>
        <w:t>(702) 825-9872</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3" w:name="Tc_hZVfKBvxrkWsKEiYfsM8ng_1_4"/>
      <w:bookmarkStart w:id="24" w:name="Tc_H0Mxirn4g0-6Oo5KF3J9Jw_0_4"/>
      <w:bookmarkStart w:id="25" w:name="Tc_CEIpvzYxwUuvSmfK4od5gg_0_2"/>
      <w:bookmarkStart w:id="26" w:name="Tc_vnayGjvrF0uNbIOriwZwBA_0_0"/>
      <w:bookmarkStart w:id="27" w:name="_65536a39_a34b_4cd0_8f43_3e0b530ddaaf"/>
      <w:bookmarkStart w:id="28" w:name="Tc_hZVfKBvxrkWsKEiYfsM8ng_1_4"/>
      <w:bookmarkStart w:id="29" w:name="Tc_H0Mxirn4g0-6Oo5KF3J9Jw_0_4"/>
      <w:bookmarkStart w:id="30" w:name="Tc_CEIpvzYxwUuvSmfK4od5gg_0_2"/>
      <w:bookmarkStart w:id="31" w:name="Tc_vnayGjvrF0uNbIOriwZwBA_0_0"/>
      <w:bookmarkStart w:id="32" w:name="_65536a39_a34b_4cd0_8f43_3e0b530ddaaf"/>
      <w:bookmarkEnd w:id="28"/>
      <w:bookmarkEnd w:id="29"/>
      <w:bookmarkEnd w:id="30"/>
      <w:bookmarkEnd w:id="31"/>
      <w:bookmarkEnd w:id="32"/>
    </w:p>
    <w:tbl>
      <w:tblPr>
        <w:tblW w:w="8885" w:type="dxa"/>
        <w:jc w:val="left"/>
        <w:tblInd w:w="0" w:type="dxa"/>
        <w:tblLayout w:type="fixed"/>
        <w:tblCellMar>
          <w:top w:w="0" w:type="dxa"/>
          <w:left w:w="0" w:type="dxa"/>
          <w:bottom w:w="28" w:type="dxa"/>
          <w:right w:w="0" w:type="dxa"/>
        </w:tblCellMar>
      </w:tblPr>
      <w:tblGrid>
        <w:gridCol w:w="4051"/>
        <w:gridCol w:w="346"/>
        <w:gridCol w:w="826"/>
        <w:gridCol w:w="346"/>
        <w:gridCol w:w="3316"/>
      </w:tblGrid>
      <w:tr>
        <w:trPr/>
        <w:tc>
          <w:tcPr>
            <w:tcW w:w="40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405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 par value $0.0001 per share</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2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ZURA</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331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br/>
            </w:r>
            <w:r>
              <w:rPr>
                <w:rFonts w:ascii="Times New Roman;Times;serif" w:hAnsi="Times New Roman;Times;serif"/>
                <w:sz w:val="16"/>
              </w:rPr>
              <w:t>(The Nasdaq Capital Market)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if the Registrant is a well - 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4"/>
        </w:rPr>
        <w:t>NO</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15 (d) of the Act. YES </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4"/>
        </w:rPr>
        <w:t>NO</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14"/>
        </w:rPr>
        <w:t>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b w:val="false"/>
          <w:i w:val="false"/>
          <w:caps w:val="false"/>
          <w:smallCaps w:val="false"/>
          <w:sz w:val="14"/>
        </w:rPr>
        <w:t>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3" w:name="Tc_z5sbfq_RTEi6M_Evl7ZF3Q_4_0"/>
      <w:bookmarkStart w:id="34" w:name="Tc_MfAP7L4j1EiQ5xXv0ZIQ2w_2_4"/>
      <w:bookmarkStart w:id="35" w:name="Tc_OjuosSJ2M0Ccd6KHAyJzwg_2_2"/>
      <w:bookmarkStart w:id="36" w:name="Tc_E1NfEthpEEyqmbZlFlxe8g_0_6"/>
      <w:bookmarkStart w:id="37" w:name="Tc_NfDJHZYBx0Saia-mHZ8W2w_0_4"/>
      <w:bookmarkStart w:id="38" w:name="Tc_W1hIBYueKku4lKx-tjN76w_0_2"/>
      <w:bookmarkStart w:id="39" w:name="Tc_RqF0rim3v0itQqjFcbbWdw_0_0"/>
      <w:bookmarkStart w:id="40" w:name="_4ea28bd2_7387_4d15_a160_d0f74642b602"/>
      <w:bookmarkStart w:id="41" w:name="Tc_z5sbfq_RTEi6M_Evl7ZF3Q_4_0"/>
      <w:bookmarkStart w:id="42" w:name="Tc_MfAP7L4j1EiQ5xXv0ZIQ2w_2_4"/>
      <w:bookmarkStart w:id="43" w:name="Tc_OjuosSJ2M0Ccd6KHAyJzwg_2_2"/>
      <w:bookmarkStart w:id="44" w:name="Tc_E1NfEthpEEyqmbZlFlxe8g_0_6"/>
      <w:bookmarkStart w:id="45" w:name="Tc_NfDJHZYBx0Saia-mHZ8W2w_0_4"/>
      <w:bookmarkStart w:id="46" w:name="Tc_W1hIBYueKku4lKx-tjN76w_0_2"/>
      <w:bookmarkStart w:id="47" w:name="Tc_RqF0rim3v0itQqjFcbbWdw_0_0"/>
      <w:bookmarkStart w:id="48" w:name="_4ea28bd2_7387_4d15_a160_d0f74642b602"/>
      <w:bookmarkEnd w:id="41"/>
      <w:bookmarkEnd w:id="42"/>
      <w:bookmarkEnd w:id="43"/>
      <w:bookmarkEnd w:id="44"/>
      <w:bookmarkEnd w:id="45"/>
      <w:bookmarkEnd w:id="46"/>
      <w:bookmarkEnd w:id="47"/>
      <w:bookmarkEnd w:id="48"/>
    </w:p>
    <w:tbl>
      <w:tblPr>
        <w:tblW w:w="5056" w:type="dxa"/>
        <w:jc w:val="left"/>
        <w:tblInd w:w="0" w:type="dxa"/>
        <w:tblLayout w:type="fixed"/>
        <w:tblCellMar>
          <w:top w:w="0" w:type="dxa"/>
          <w:left w:w="0" w:type="dxa"/>
          <w:bottom w:w="0" w:type="dxa"/>
          <w:right w:w="0"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425" w:type="dxa"/>
            <w:gridSpan w:val="2"/>
            <w:tcBorders/>
            <w:vAlign w:val="center"/>
          </w:tcPr>
          <w:p>
            <w:pPr>
              <w:pStyle w:val="TableContents"/>
              <w:bidi w:val="0"/>
              <w:spacing w:before="0" w:after="0"/>
              <w:ind w:left="0" w:right="0" w:hanging="0"/>
              <w:jc w:val="left"/>
              <w:rPr/>
            </w:pPr>
            <w:r>
              <w:rPr/>
              <w:t>​</w:t>
            </w:r>
          </w:p>
        </w:tc>
        <w:tc>
          <w:tcPr>
            <w:tcW w:w="2120" w:type="dxa"/>
            <w:gridSpan w:val="2"/>
            <w:tcBorders/>
            <w:vAlign w:val="center"/>
          </w:tcPr>
          <w:p>
            <w:pPr>
              <w:pStyle w:val="TableContents"/>
              <w:bidi w:val="0"/>
              <w:spacing w:before="0" w:after="0"/>
              <w:ind w:left="0" w:right="0" w:hanging="0"/>
              <w:jc w:val="left"/>
              <w:rPr/>
            </w:pPr>
            <w:r>
              <w:rPr/>
              <w:t>​</w:t>
            </w:r>
          </w:p>
        </w:tc>
        <w:tc>
          <w:tcPr>
            <w:tcW w:w="470" w:type="dxa"/>
            <w:gridSpan w:val="2"/>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 (b) of the Sarbanes - Oxley Act (15 U.S.C. 7262 (b))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If securities are registered pursuant to Section 12 (b)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 - based compensation received by any of the registrant’s executive officers during the relevant recovery period pursuant to - 240.10D - 1 (b).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of the Registrant, based on the closing price of the Registrant’s units on The Nasdaq Capital Market on June 30, 2025 (the last business day of the Registrant’s most recently completed second fiscal quarter) was $58,992,819.</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As of March 16, 2026, the Registrant had 94,880,710 Class A Ordinary Shares, par value US$0.0001 each, issued and outstanding.</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Part III of this Annual Report incorporates by reference information from the definitive proxy statement for the registrant’s 2026 Annual General Meeting of Shareholders, which is expected to be filed with the Securities and Exchange Commission not later than 120 days after the registrant’s fiscal year ended December 31, 2025.</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40133a24_81b5_42fc_8b87_d97709d19105"/>
      <w:bookmarkStart w:id="50" w:name="TOC"/>
      <w:bookmarkEnd w:id="49"/>
      <w:bookmarkEnd w:id="50"/>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30"/>
        <w:gridCol w:w="109"/>
        <w:gridCol w:w="466"/>
      </w:tblGrid>
      <w:tr>
        <w:trPr/>
        <w:tc>
          <w:tcPr>
            <w:tcW w:w="9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15050" cy="29210"/>
                      <wp:effectExtent l="0" t="0" r="0" b="0"/>
                      <wp:wrapNone/>
                      <wp:docPr id="1" name="Frame1"/>
                      <a:graphic xmlns:a="http://schemas.openxmlformats.org/drawingml/2006/main">
                        <a:graphicData uri="http://schemas.microsoft.com/office/word/2010/wordprocessingShape">
                          <wps:wsp>
                            <wps:cNvSpPr txBox="1"/>
                            <wps:spPr>
                              <a:xfrm>
                                <a:off x="0" y="0"/>
                                <a:ext cx="61150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95910" cy="175260"/>
                      <wp:effectExtent l="0" t="0" r="0" b="0"/>
                      <wp:wrapNone/>
                      <wp:docPr id="2" name="Frame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630" w:type="dxa"/>
            <w:tcBorders/>
            <w:vAlign w:val="center"/>
          </w:tcPr>
          <w:p>
            <w:pPr>
              <w:pStyle w:val="TableContents"/>
              <w:bidi w:val="0"/>
              <w:spacing w:before="0" w:after="0"/>
              <w:ind w:left="0" w:right="0" w:hanging="0"/>
              <w:jc w:val="left"/>
              <w:rPr/>
            </w:pPr>
            <w:hyperlink w:anchor="SPECIALNOTEREGARDINGFORWARDLOOKINGSTATEM">
              <w:r>
                <w:rPr>
                  <w:rStyle w:val="InternetLink"/>
                  <w:rFonts w:ascii="Times New Roman;Times;serif" w:hAnsi="Times New Roman;Times;serif"/>
                  <w:b w:val="false"/>
                  <w:i w:val="false"/>
                  <w:caps w:val="false"/>
                  <w:smallCaps w:val="false"/>
                  <w:sz w:val="20"/>
                </w:rPr>
                <w:t>SPECIAL NOTE REGARDING FORWARD LOOKING STATEMENTS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0" w:type="dxa"/>
            <w:tcBorders/>
            <w:vAlign w:val="center"/>
          </w:tcPr>
          <w:p>
            <w:pPr>
              <w:pStyle w:val="TableContents"/>
              <w:bidi w:val="0"/>
              <w:spacing w:before="0" w:after="0"/>
              <w:ind w:left="0" w:right="0" w:hanging="0"/>
              <w:jc w:val="left"/>
              <w:rPr/>
            </w:pPr>
            <w:hyperlink w:anchor="SUMMARYOFRISKFACTORS_173519">
              <w:r>
                <w:rPr>
                  <w:rStyle w:val="InternetLink"/>
                  <w:rFonts w:ascii="Times New Roman;Times;serif" w:hAnsi="Times New Roman;Times;serif"/>
                  <w:b w:val="false"/>
                  <w:i w:val="false"/>
                  <w:caps w:val="false"/>
                  <w:smallCaps w:val="false"/>
                  <w:sz w:val="20"/>
                </w:rPr>
                <w:t>SUMMARY OF RISK FACTORS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30" w:type="dxa"/>
            <w:tcBorders/>
            <w:vAlign w:val="center"/>
          </w:tcPr>
          <w:p>
            <w:pPr>
              <w:pStyle w:val="TableContents"/>
              <w:bidi w:val="0"/>
              <w:spacing w:before="0" w:after="0"/>
              <w:ind w:left="0" w:right="0" w:hanging="0"/>
              <w:jc w:val="left"/>
              <w:rPr/>
            </w:pPr>
            <w:hyperlink w:anchor="PARTI_325214">
              <w:r>
                <w:rPr>
                  <w:rStyle w:val="InternetLink"/>
                  <w:rFonts w:ascii="Times New Roman;Times;serif" w:hAnsi="Times New Roman;Times;serif"/>
                  <w:b w:val="false"/>
                  <w:i w:val="false"/>
                  <w:caps w:val="false"/>
                  <w:smallCaps w:val="false"/>
                  <w:sz w:val="20"/>
                </w:rPr>
                <w:t>PART I</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30" w:type="dxa"/>
            <w:tcBorders/>
            <w:vAlign w:val="center"/>
          </w:tcPr>
          <w:p>
            <w:pPr>
              <w:pStyle w:val="TableContents"/>
              <w:bidi w:val="0"/>
              <w:spacing w:before="0" w:after="0"/>
              <w:ind w:left="0" w:right="0" w:hanging="0"/>
              <w:jc w:val="left"/>
              <w:rPr/>
            </w:pPr>
            <w:hyperlink w:anchor="ITEM1BUSINESS_124553">
              <w:r>
                <w:rPr>
                  <w:rStyle w:val="InternetLink"/>
                  <w:rFonts w:ascii="Times New Roman;Times;serif" w:hAnsi="Times New Roman;Times;serif"/>
                  <w:b w:val="false"/>
                  <w:i w:val="false"/>
                  <w:caps w:val="false"/>
                  <w:smallCaps w:val="false"/>
                  <w:sz w:val="20"/>
                </w:rPr>
                <w:t>ITEM 1. BUSINESS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30" w:type="dxa"/>
            <w:tcBorders/>
            <w:vAlign w:val="center"/>
          </w:tcPr>
          <w:p>
            <w:pPr>
              <w:pStyle w:val="TableContents"/>
              <w:bidi w:val="0"/>
              <w:spacing w:before="0" w:after="0"/>
              <w:ind w:left="0" w:right="0" w:hanging="0"/>
              <w:jc w:val="left"/>
              <w:rPr/>
            </w:pPr>
            <w:hyperlink w:anchor="ITEM1ARISKFACTORS_657310">
              <w:r>
                <w:rPr>
                  <w:rStyle w:val="InternetLink"/>
                  <w:rFonts w:ascii="Times New Roman;Times;serif" w:hAnsi="Times New Roman;Times;serif"/>
                  <w:b w:val="false"/>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0" w:type="dxa"/>
            <w:tcBorders/>
            <w:vAlign w:val="center"/>
          </w:tcPr>
          <w:p>
            <w:pPr>
              <w:pStyle w:val="TableContents"/>
              <w:bidi w:val="0"/>
              <w:spacing w:before="0" w:after="0"/>
              <w:ind w:left="0" w:right="0" w:hanging="0"/>
              <w:jc w:val="left"/>
              <w:rPr/>
            </w:pPr>
            <w:hyperlink w:anchor="ITEM1BUNRESOLVEDSTAFFCOMMENTS_821195">
              <w:r>
                <w:rPr>
                  <w:rStyle w:val="InternetLink"/>
                  <w:rFonts w:ascii="Times New Roman;Times;serif" w:hAnsi="Times New Roman;Times;serif"/>
                  <w:b w:val="false"/>
                  <w:i w:val="false"/>
                  <w:caps w:val="false"/>
                  <w:smallCaps w:val="false"/>
                  <w:sz w:val="20"/>
                </w:rPr>
                <w:t>ITEM 1B. UNRESOLVED STAFF COMMENTS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9630" w:type="dxa"/>
            <w:tcBorders/>
            <w:vAlign w:val="center"/>
          </w:tcPr>
          <w:p>
            <w:pPr>
              <w:pStyle w:val="TableContents"/>
              <w:bidi w:val="0"/>
              <w:spacing w:before="0" w:after="0"/>
              <w:ind w:left="0" w:right="0" w:hanging="0"/>
              <w:jc w:val="left"/>
              <w:rPr/>
            </w:pPr>
            <w:hyperlink w:anchor="ITEM1CCYBERSECURITY_940248">
              <w:r>
                <w:rPr>
                  <w:rStyle w:val="InternetLink"/>
                  <w:rFonts w:ascii="Times New Roman;Times;serif" w:hAnsi="Times New Roman;Times;serif"/>
                  <w:b w:val="false"/>
                  <w:i w:val="false"/>
                  <w:caps w:val="false"/>
                  <w:smallCaps w:val="false"/>
                  <w:sz w:val="20"/>
                </w:rPr>
                <w:t>ITEM 1C. CYBERSECURITY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9630" w:type="dxa"/>
            <w:tcBorders/>
            <w:vAlign w:val="center"/>
          </w:tcPr>
          <w:p>
            <w:pPr>
              <w:pStyle w:val="TableContents"/>
              <w:bidi w:val="0"/>
              <w:spacing w:before="0" w:after="0"/>
              <w:ind w:left="0" w:right="0" w:hanging="0"/>
              <w:jc w:val="left"/>
              <w:rPr/>
            </w:pPr>
            <w:hyperlink w:anchor="ITEM2PROPERTIES_548146">
              <w:r>
                <w:rPr>
                  <w:rStyle w:val="InternetLink"/>
                  <w:rFonts w:ascii="Times New Roman;Times;serif" w:hAnsi="Times New Roman;Times;serif"/>
                  <w:b w:val="false"/>
                  <w:i w:val="false"/>
                  <w:caps w:val="false"/>
                  <w:smallCaps w:val="false"/>
                  <w:sz w:val="20"/>
                </w:rPr>
                <w:t>ITEM 2. PROPERTIES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630" w:type="dxa"/>
            <w:tcBorders/>
            <w:vAlign w:val="center"/>
          </w:tcPr>
          <w:p>
            <w:pPr>
              <w:pStyle w:val="TableContents"/>
              <w:bidi w:val="0"/>
              <w:spacing w:before="0" w:after="0"/>
              <w:ind w:left="0" w:right="0" w:hanging="0"/>
              <w:jc w:val="left"/>
              <w:rPr/>
            </w:pPr>
            <w:hyperlink w:anchor="ITEM3LEGALPROCEEDINGS_475628">
              <w:r>
                <w:rPr>
                  <w:rStyle w:val="InternetLink"/>
                  <w:rFonts w:ascii="Times New Roman;Times;serif" w:hAnsi="Times New Roman;Times;serif"/>
                  <w:b w:val="false"/>
                  <w:i w:val="false"/>
                  <w:caps w:val="false"/>
                  <w:smallCaps w:val="false"/>
                  <w:sz w:val="20"/>
                </w:rPr>
                <w:t>ITEM 3. LEGAL PROCEEDINGS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630" w:type="dxa"/>
            <w:tcBorders/>
            <w:vAlign w:val="center"/>
          </w:tcPr>
          <w:p>
            <w:pPr>
              <w:pStyle w:val="TableContents"/>
              <w:bidi w:val="0"/>
              <w:spacing w:before="0" w:after="0"/>
              <w:ind w:left="0" w:right="0" w:hanging="0"/>
              <w:jc w:val="left"/>
              <w:rPr/>
            </w:pPr>
            <w:hyperlink w:anchor="ITEM4MINESAFETYDISCLOSURES_52848">
              <w:r>
                <w:rPr>
                  <w:rStyle w:val="InternetLink"/>
                  <w:rFonts w:ascii="Times New Roman;Times;serif" w:hAnsi="Times New Roman;Times;serif"/>
                  <w:b w:val="false"/>
                  <w:i w:val="false"/>
                  <w:caps w:val="false"/>
                  <w:smallCaps w:val="false"/>
                  <w:sz w:val="20"/>
                </w:rPr>
                <w:t>ITEM 4. MINE SAFETY DISCLOSURES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630" w:type="dxa"/>
            <w:tcBorders/>
            <w:vAlign w:val="center"/>
          </w:tcPr>
          <w:p>
            <w:pPr>
              <w:pStyle w:val="TableContents"/>
              <w:bidi w:val="0"/>
              <w:spacing w:before="0" w:after="0"/>
              <w:ind w:left="0" w:right="0" w:hanging="0"/>
              <w:jc w:val="left"/>
              <w:rPr/>
            </w:pPr>
            <w:hyperlink w:anchor="PARTII_331045">
              <w:r>
                <w:rPr>
                  <w:rStyle w:val="InternetLink"/>
                  <w:rFonts w:ascii="Times New Roman;Times;serif" w:hAnsi="Times New Roman;Times;serif"/>
                  <w:b w:val="false"/>
                  <w:i w:val="false"/>
                  <w:caps w:val="false"/>
                  <w:smallCaps w:val="false"/>
                  <w:sz w:val="20"/>
                </w:rPr>
                <w:t>PART II</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9630"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9630" w:type="dxa"/>
            <w:tcBorders/>
            <w:vAlign w:val="center"/>
          </w:tcPr>
          <w:p>
            <w:pPr>
              <w:pStyle w:val="TableContents"/>
              <w:bidi w:val="0"/>
              <w:spacing w:before="0" w:after="0"/>
              <w:ind w:left="0" w:right="0" w:hanging="0"/>
              <w:jc w:val="left"/>
              <w:rPr/>
            </w:pPr>
            <w:hyperlink w:anchor="ITEM6RESERVED_279066">
              <w:r>
                <w:rPr>
                  <w:rStyle w:val="InternetLink"/>
                  <w:rFonts w:ascii="Times New Roman;Times;serif" w:hAnsi="Times New Roman;Times;serif"/>
                  <w:b w:val="false"/>
                  <w:i w:val="false"/>
                  <w:caps w:val="false"/>
                  <w:smallCaps w:val="false"/>
                  <w:sz w:val="20"/>
                </w:rPr>
                <w:t>ITEM 6. [RESERVED]</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9630"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9630"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9630"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 FINANCIAL STATEMENTS AND SUPPLEMENTARY DATA</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9630"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9630" w:type="dxa"/>
            <w:tcBorders/>
            <w:vAlign w:val="center"/>
          </w:tcPr>
          <w:p>
            <w:pPr>
              <w:pStyle w:val="TableContents"/>
              <w:bidi w:val="0"/>
              <w:spacing w:before="0" w:after="0"/>
              <w:ind w:left="0" w:right="0" w:hanging="0"/>
              <w:jc w:val="left"/>
              <w:rPr/>
            </w:pPr>
            <w:hyperlink w:anchor="ITEM9ACONTROLSANDPROCEDURES_948383">
              <w:r>
                <w:rPr>
                  <w:rStyle w:val="InternetLink"/>
                  <w:rFonts w:ascii="Times New Roman;Times;serif" w:hAnsi="Times New Roman;Times;serif"/>
                  <w:b w:val="false"/>
                  <w:i w:val="false"/>
                  <w:caps w:val="false"/>
                  <w:smallCaps w:val="false"/>
                  <w:sz w:val="20"/>
                </w:rPr>
                <w:t>ITEM 9A. CONTROLS AND PROCEDURES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9630" w:type="dxa"/>
            <w:tcBorders/>
            <w:vAlign w:val="center"/>
          </w:tcPr>
          <w:p>
            <w:pPr>
              <w:pStyle w:val="TableContents"/>
              <w:bidi w:val="0"/>
              <w:spacing w:before="0" w:after="0"/>
              <w:ind w:left="0" w:right="0" w:hanging="0"/>
              <w:jc w:val="left"/>
              <w:rPr/>
            </w:pPr>
            <w:hyperlink w:anchor="ITEM9BOTHERINFORMATION_528717">
              <w:r>
                <w:rPr>
                  <w:rStyle w:val="InternetLink"/>
                  <w:rFonts w:ascii="Times New Roman;Times;serif" w:hAnsi="Times New Roman;Times;serif"/>
                  <w:b w:val="false"/>
                  <w:i w:val="false"/>
                  <w:caps w:val="false"/>
                  <w:smallCaps w:val="false"/>
                  <w:sz w:val="20"/>
                </w:rPr>
                <w:t>ITEM 9B. OTHER INFORMATION</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9630"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 DISCLOSURE REGARDING FOREIGN JURISDICTIONS THAT PREVENT INSPECTIONS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9630" w:type="dxa"/>
            <w:tcBorders/>
            <w:vAlign w:val="center"/>
          </w:tcPr>
          <w:p>
            <w:pPr>
              <w:pStyle w:val="TableContents"/>
              <w:bidi w:val="0"/>
              <w:spacing w:before="0" w:after="0"/>
              <w:ind w:left="0" w:right="0" w:hanging="0"/>
              <w:jc w:val="left"/>
              <w:rPr/>
            </w:pPr>
            <w:hyperlink w:anchor="PARTIII_610072">
              <w:r>
                <w:rPr>
                  <w:rStyle w:val="InternetLink"/>
                  <w:rFonts w:ascii="Times New Roman;Times;serif" w:hAnsi="Times New Roman;Times;serif"/>
                  <w:b w:val="false"/>
                  <w:i w:val="false"/>
                  <w:caps w:val="false"/>
                  <w:smallCaps w:val="false"/>
                  <w:sz w:val="20"/>
                </w:rPr>
                <w:t>PART III</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9630"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9630" w:type="dxa"/>
            <w:tcBorders/>
            <w:vAlign w:val="center"/>
          </w:tcPr>
          <w:p>
            <w:pPr>
              <w:pStyle w:val="TableContents"/>
              <w:bidi w:val="0"/>
              <w:spacing w:before="0" w:after="0"/>
              <w:ind w:left="0" w:right="0" w:hanging="0"/>
              <w:jc w:val="left"/>
              <w:rPr/>
            </w:pPr>
            <w:hyperlink w:anchor="ITEM11EXECUTIVECOMPENSATION_971302">
              <w:r>
                <w:rPr>
                  <w:rStyle w:val="InternetLink"/>
                  <w:rFonts w:ascii="Times New Roman;Times;serif" w:hAnsi="Times New Roman;Times;serif"/>
                  <w:b w:val="false"/>
                  <w:i w:val="false"/>
                  <w:caps w:val="false"/>
                  <w:smallCaps w:val="false"/>
                  <w:sz w:val="20"/>
                </w:rPr>
                <w:t>ITEM 11. EXECUTIVE COMPENSATION</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9630"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SHAREHOLDER MATTERS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9630"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9630"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 PRINCIPAL ACCOUNTING FEES AND SERVICES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9630" w:type="dxa"/>
            <w:tcBorders/>
            <w:vAlign w:val="center"/>
          </w:tcPr>
          <w:p>
            <w:pPr>
              <w:pStyle w:val="TableContents"/>
              <w:bidi w:val="0"/>
              <w:spacing w:before="0" w:after="0"/>
              <w:ind w:left="0" w:right="0" w:hanging="0"/>
              <w:jc w:val="left"/>
              <w:rPr/>
            </w:pPr>
            <w:hyperlink w:anchor="PARTIV_691372">
              <w:r>
                <w:rPr>
                  <w:rStyle w:val="InternetLink"/>
                  <w:rFonts w:ascii="Times New Roman;Times;serif" w:hAnsi="Times New Roman;Times;serif"/>
                  <w:b w:val="false"/>
                  <w:i w:val="false"/>
                  <w:caps w:val="false"/>
                  <w:smallCaps w:val="false"/>
                  <w:sz w:val="20"/>
                </w:rPr>
                <w:t>PART IV</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9630"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 EXHIBITS, FINANCIAL STATEMENT SCHEDULES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9630" w:type="dxa"/>
            <w:tcBorders/>
            <w:vAlign w:val="center"/>
          </w:tcPr>
          <w:p>
            <w:pPr>
              <w:pStyle w:val="TableContents"/>
              <w:bidi w:val="0"/>
              <w:spacing w:before="0" w:after="0"/>
              <w:ind w:left="0" w:right="0" w:hanging="0"/>
              <w:jc w:val="left"/>
              <w:rPr/>
            </w:pPr>
            <w:hyperlink w:anchor="ITEM16FORM10KSUMMARY_949803">
              <w:r>
                <w:rPr>
                  <w:rStyle w:val="InternetLink"/>
                  <w:rFonts w:ascii="Times New Roman;Times;serif" w:hAnsi="Times New Roman;Times;serif"/>
                  <w:b w:val="false"/>
                  <w:i w:val="false"/>
                  <w:caps w:val="false"/>
                  <w:smallCaps w:val="false"/>
                  <w:sz w:val="20"/>
                </w:rPr>
                <w:t>ITEM 16. FORM 10-K SUMMARY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SPECIALNOTEREGARDINGFORWARDLOOKINGSTATEM"/>
      <w:bookmarkStart w:id="52" w:name="_1c04d0ad_ffab_474e_930f_953fae5255e1"/>
      <w:bookmarkEnd w:id="51"/>
      <w:bookmarkEnd w:id="52"/>
      <w:r>
        <w:rPr>
          <w:rFonts w:ascii="Times New Roman;Times;serif" w:hAnsi="Times New Roman;Times;serif"/>
          <w:b/>
          <w:sz w:val="20"/>
        </w:rPr>
        <w:t>SPECIAL NOTE REGARDING FORWARD 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on Form 10-K (this “Annual Report”)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forward-looking statements are based on the current expectations of Zura Bio Limited (the “Company” or “Zura”) and its management thereof and are inherently subject to uncertainties and changes in circumstances and their potential effects and speak only as of the date of such statement. Forward-looking statements are not guarantees of performance. You should not put undue reliance on our forward-looking statements.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product candidates and their related benefits, and our beliefs regarding competing product candidates and products both in development and approved, may not be achieved;</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and strategy may not be 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key events and initiation of our studies and release of clinical data may take longer than anticipated or may not be achieved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regarding the potential general acceptability and maintenance of our product candidates by regulatory authorities, payors, physicians, and patients may not be achieved;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attract and retain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with respect to our future operating expenses, capital requirements and needs for additional financing may not be achieved;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completed any clinical trials, not engaged in topline readout activities, and have no products approved for commercial sale;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since inception, and expect to incur significant losses for the foreseeable future and may not be able to achieve or sustain profitability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renew existing contracts, enter into new contracts or may experience disputes or other challenges with respect to our vendors or other third parties;</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contract development manufacturing organizations for the manufacture of clinical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 research organizations, clinical trial sites, and other third parties to conduct our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obtain regulatory approval for our product candidates, and there may be related restrictions or limitations of any approved products;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respond to general economic and geopolitical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effectively manage growth;</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face competitive pressures from other companies worldwide; </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adequately protect our intellectual property rights;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set forth in documents filed, or to be filed, with the U.S. Securities and Exchange Commission (the “SEC”).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 discussion of the risks, uncertainties and other factors described above, as well as other risks material to our business, can be found under “Risk Factors” in Part I, Item 1A of this Annual Report.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reasons described above, we caution you against relying on any forward-looking statements, which should also be read in conjunction with this Annual Report and the documents referenced within this Annual Report and the other cautionary statements that are included elsewhere in this Annual Report and in our public filings, including under “Management’s Discussion and Analysis of Financial Condition and Results of Operations.” Forward-looking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SUMMARYOFRISKFACTORS_173519"/>
      <w:bookmarkStart w:id="54" w:name="_a9ca6085_0b5e_4c50_beb0_35e334abf5b2"/>
      <w:bookmarkEnd w:id="53"/>
      <w:bookmarkEnd w:id="54"/>
      <w:r>
        <w:rPr>
          <w:rFonts w:ascii="Times New Roman;Times;serif" w:hAnsi="Times New Roman;Times;serif"/>
          <w:b/>
          <w:sz w:val="20"/>
        </w:rPr>
        <w:t>SUMMARY OF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subject to numerous risks and uncertainties, including those described in Item 1A “</w:t>
      </w:r>
      <w:r>
        <w:rPr>
          <w:rFonts w:ascii="Times New Roman;Times;serif" w:hAnsi="Times New Roman;Times;serif"/>
          <w:i/>
          <w:sz w:val="20"/>
        </w:rPr>
        <w:t>Risk Factors</w:t>
      </w:r>
      <w:r>
        <w:rPr>
          <w:rFonts w:ascii="Times New Roman;Times;serif" w:hAnsi="Times New Roman;Times;serif"/>
          <w:sz w:val="20"/>
        </w:rPr>
        <w:t>”. These risks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have not completed any clinical trials, and have not taken a product through to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since inception, and we expect to incur significant losses for the foreseeable future and may not be able to achieve or sustain profitability in the future. We have not generated any revenue from our product candidates, tibulizumab (ZB-106), torudokimab (ZB-880) and crebankitug (ZB-168) (collectively, the “ZB Assets”), and may never generate revenue or become profitable.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recurring losses from operations and financial condition could raise substantial doubt about our ability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capital when needed, or on acceptable terms, we may be forced to delay, reduce and/or eliminate one or more of our development programs or future commercialization efforts. We have never successfully completed the regulatory approval process for any product candidates, and we may be unable to do so for any product candidates we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substantially dependent on the success of the ZB Assets, and our ongoing and anticipated clinical trials of the ZB Assets may not be 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find it difficult to enroll and retain patients in our clinical trials. If we experience delays or difficulties in the enrollment of patients in clinical trials and our successful completion of clinical trials, our receipt of marketing approvals could be delayed or prevented.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preclinical studies and early clinical trials may not be predictive of the success of our later clinical trials, and the results of our clinical trials may not satisfy the requirements of the United States Food and Drug Administration (“FDA”), European Medicines Agency (“EMA”), or other foreign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and clinical development involves a lengthy and expensive process with uncertain outcomes, and results of earlier studies and trials may not be predictive of future clinical trial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interim data from our clinical trials that we announce or publish may change as more patient data become available and are subject to audit and verification procedures.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develop the ZB Assets in combination with other therapies, which exposes us to additional risks related to other agents or active pharmaceutical or biological ingredients used in combination with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or other regulatory authorities revoke their approval of these other therapies or revoke their approval of, or if safety, efficacy, manufacturing or supply issues arise with, the therapies we choose to evaluate in combination with any product candidate we develop, we may be unable to obtain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license agreements with Pfizer Inc. and their wholly owned subsidiaries (“Pfizer”) and Eli Lilly and Company and their wholly owned subsidiaries (“Lilly”) to permit us to use certain patents, know-how and technology. Termination of these rights or the failure to comply with obligations under these agreements could materially harm our business and prevent us from developing or commercializing the ZB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proprietary rights is uncertain. We have limited geographical protection with respect to our licensed patents and may not be able to protect our intellectual property rights throughout the world. Patent terms may not protect our competitive position with respect to the ZB Assets for an adequate amount of time. If we do not obtain patent term extension in the United States under the Drug Price Competition and Patent Term Restoration Act of 1984 (the “Hatch-Waxman Act”) and in foreign countries under similar legislation, our business may be materially harmed.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able to maintain or enforce trade secret protection for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patent laws in the United States and other jurisdictions could diminish the value of patents in general, thereby impairing our ability to protect the ZB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processes of the FDA, EMA, and other foreign regulatory authorities are complex, time-consuming, and inherently unpredictable.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extensive ongoing regulatory obligations and continued regulatory review, which may result in significant additional expense, and we may be subject to penalties if we fail to comply with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independent contractors, consultants, commercial collaborators, principal investigators, contract research organizations (“CROs”), suppliers and vendors may engage in misconduct or other improper activities, including noncompliance with regulatory standards and requirements. Our business operations and current and future arrangements with investigators, healthcare professionals, consultants, third-party payors, patient organizations and customers will be subject to applicable healthcare regulatory laws, which could expose us to penalties.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legislative and regulatory reform discourse and potential or enacted measures may have a material adverse impact on our business and results of operations and legislative or political discussions surrounding the desire for and implementation of pricing reforms may adversely impact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our key personnel and anticipate hiring additional key personnel. If we are not successful in attracting and retaining qualified personnel, we may not be able to successfully implement our business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including consultants,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successfully implement our plans and strategies, we will need to grow the size of our organization, and we may experience difficulties in managing this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computer systems, or those of any third parties with whom we work, may fail or suffer security or data privacy breaches or other unauthorized or improper access to, use of, or destruction of our proprietary or confidential data, employee data or personal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form or seek collaborations or strategic alliances or enter into licensing arrangements, and we may not realize the benefits of such collaborations, alliances or licensing arrangements.</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 and may decline in the future.</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and may continue to fluctuate significantly.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cash dividends in the past and we do not expect to pay cash dividends in the foreseeable future. Any return on investment may be limited to the capital appreciation, if any, of our Class A ordinary shares, par value $0.0001 per share (the “Class A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and/or issuances of our securities could result in additional dilution of the percentage ownership of our shareholders and could cause our share price to fall.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holders of our Class A Ordinary Shares sell a significant portion of their securities, it may negatively impact the market price of our Class A Ordinary Shares and such holders still may receive significant proceeds.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 w:name="PARTI_325214"/>
      <w:bookmarkStart w:id="56" w:name="_7814663b_da91_4603_bd0b_25b94046135e"/>
      <w:bookmarkStart w:id="57" w:name="_PART_I"/>
      <w:bookmarkEnd w:id="55"/>
      <w:bookmarkEnd w:id="56"/>
      <w:bookmarkEnd w:id="57"/>
      <w:r>
        <w:rPr>
          <w:rFonts w:ascii="Times New Roman;Times;serif" w:hAnsi="Times New Roman;Times;serif"/>
          <w:b/>
          <w:sz w:val="20"/>
        </w:rPr>
        <w:t>PART I</w:t>
      </w:r>
    </w:p>
    <w:p>
      <w:pPr>
        <w:pStyle w:val="TextBody"/>
        <w:bidi w:val="0"/>
        <w:spacing w:before="0" w:after="240"/>
        <w:ind w:left="0" w:right="0" w:hanging="0"/>
        <w:jc w:val="both"/>
        <w:rPr>
          <w:rFonts w:ascii="Times New Roman;Times;serif" w:hAnsi="Times New Roman;Times;serif"/>
          <w:b/>
          <w:sz w:val="20"/>
        </w:rPr>
      </w:pPr>
      <w:bookmarkStart w:id="58" w:name="ITEM1BUSINESS_124553"/>
      <w:bookmarkEnd w:id="58"/>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bookmarkStart w:id="59" w:name="Overview_4786"/>
      <w:bookmarkEnd w:id="59"/>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clinical-stage biotechnology company developing novel and differentiated medicines for patients with autoimmune and inflammatory diseases, including serious and debilitating conditions with significant unmet medical need. These diseases are often chronic, biologically complex and difficult to treat, and many patients do not achieve durable disease control with currently available therapies.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strategy is to identify immune-mediated diseases in which translational and clinical evidence supports the role of specific biological pathways in disease pathogenesis. We focus on targets for which human data, including biomarker findings, genetic associations and prior clinical studies, inform therapeutic rationale and development decisions. We seek to advance product candidates in therapeutic areas where there remains meaningful unmet medical need and where, if clinical benefit is demonstrated, there may be potential for commercial relevance.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in-licensed three clinical-stage product candidates:</w:t>
      </w:r>
    </w:p>
    <w:tbl>
      <w:tblPr>
        <w:tblW w:w="10205" w:type="dxa"/>
        <w:jc w:val="left"/>
        <w:tblInd w:w="0" w:type="dxa"/>
        <w:tblLayout w:type="fixed"/>
        <w:tblCellMar>
          <w:top w:w="28" w:type="dxa"/>
          <w:left w:w="28" w:type="dxa"/>
          <w:bottom w:w="28" w:type="dxa"/>
          <w:right w:w="28" w:type="dxa"/>
        </w:tblCellMar>
      </w:tblPr>
      <w:tblGrid>
        <w:gridCol w:w="124"/>
        <w:gridCol w:w="237"/>
        <w:gridCol w:w="9844"/>
      </w:tblGrid>
      <w:tr>
        <w:trPr/>
        <w:tc>
          <w:tcPr>
            <w:tcW w:w="124" w:type="dxa"/>
            <w:tcBorders/>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4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Tibulizumab (ZB-106)</w:t>
            </w:r>
            <w:r>
              <w:rPr>
                <w:rFonts w:ascii="Times New Roman;Times;serif" w:hAnsi="Times New Roman;Times;serif"/>
                <w:b w:val="false"/>
                <w:i w:val="false"/>
                <w:caps w:val="false"/>
                <w:smallCaps w:val="false"/>
                <w:sz w:val="20"/>
              </w:rPr>
              <w:t>, a humanized bispecific antibody engineered to bind and neutralize interleukin-17A (“IL-17A”) and B cell activating factor (“BAFF”) within a single therapeutic molecule.</w:t>
            </w:r>
          </w:p>
        </w:tc>
      </w:tr>
    </w:tbl>
    <w:tbl>
      <w:tblPr>
        <w:tblW w:w="10205" w:type="dxa"/>
        <w:jc w:val="left"/>
        <w:tblInd w:w="0" w:type="dxa"/>
        <w:tblLayout w:type="fixed"/>
        <w:tblCellMar>
          <w:top w:w="28" w:type="dxa"/>
          <w:left w:w="28" w:type="dxa"/>
          <w:bottom w:w="28" w:type="dxa"/>
          <w:right w:w="28" w:type="dxa"/>
        </w:tblCellMar>
      </w:tblPr>
      <w:tblGrid>
        <w:gridCol w:w="124"/>
        <w:gridCol w:w="248"/>
        <w:gridCol w:w="9833"/>
      </w:tblGrid>
      <w:tr>
        <w:trPr/>
        <w:tc>
          <w:tcPr>
            <w:tcW w:w="124" w:type="dxa"/>
            <w:tcBorders/>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Crebankitug (ZB-168)</w:t>
            </w:r>
            <w:r>
              <w:rPr>
                <w:rFonts w:ascii="Times New Roman;Times;serif" w:hAnsi="Times New Roman;Times;serif"/>
                <w:b w:val="false"/>
                <w:i w:val="false"/>
                <w:caps w:val="false"/>
                <w:smallCaps w:val="false"/>
                <w:sz w:val="20"/>
              </w:rPr>
              <w:t>, a fully human immunoglobulin G1 (“IgG1”) monoclonal antibody targeting interleukin-7 receptor alpha (“IL-7Rα”).</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2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Torudokimab (ZB-880)</w:t>
            </w:r>
            <w:r>
              <w:rPr>
                <w:rFonts w:ascii="Times New Roman;Times;serif" w:hAnsi="Times New Roman;Times;serif"/>
                <w:b w:val="false"/>
                <w:i w:val="false"/>
                <w:caps w:val="false"/>
                <w:smallCaps w:val="false"/>
                <w:sz w:val="20"/>
              </w:rPr>
              <w:t>, a fully human immunoglobulin G4 (“IgG4”) monoclonal antibody targeting interleukin-33 (“IL-33”).</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currently conducting two global Phase 2 clinical trials evaluating tibulizumab in adult participants, each of which includes an optional open</w:t>
        <w:noBreakHyphen/>
        <w:t>label extension:</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TibuSHIELD in hidradenitis suppurativa (“HS”)</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TibuSURE in diffuse cutaneous systemic sclerosis (“dcSSc”)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Crebankitug and torudokimab were previously evaluated in early-stage clinical trials conducted by third parties prior to our in-licensing of development rights, and we are assessing potential future development strategies for these product candidates based on available clinical and translational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completed any Phase 2 or Phase 3 clinical trials and have no products approved for commercial sale.</w:t>
      </w:r>
    </w:p>
    <w:p>
      <w:pPr>
        <w:pStyle w:val="TextBody"/>
        <w:bidi w:val="0"/>
        <w:spacing w:before="0" w:after="240"/>
        <w:ind w:left="0" w:right="0" w:hanging="0"/>
        <w:jc w:val="left"/>
        <w:rPr>
          <w:rFonts w:ascii="Times New Roman;Times;serif" w:hAnsi="Times New Roman;Times;serif"/>
          <w:b/>
          <w:sz w:val="20"/>
        </w:rPr>
      </w:pPr>
      <w:bookmarkStart w:id="60" w:name="OurStrategy_610528"/>
      <w:bookmarkEnd w:id="60"/>
      <w:r>
        <w:rPr>
          <w:rFonts w:ascii="Times New Roman;Times;serif" w:hAnsi="Times New Roman;Times;serif"/>
          <w:b/>
          <w:sz w:val="20"/>
        </w:rPr>
        <w:t>Overall Opportunity in Autoimmune and Inflammatory Diseases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Autoimmune and inflammatory diseases arise from dysregulated immune signaling involving multiple immune cell types, cytokines and interconnected molecular pathways. Collectively, these diseases affect millions of individuals worldwide and represent a significant and growing global healthcare burden. Many of these conditions are chronic, heterogeneous and biologically complex, often involving persistent immune activation, tissue remodeling and, in certain cases, progressive fibrosis or organ dysfunction.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Over the past two decades, advances in immunology have led to the development of targeted biologic therapies that have transformed treatment in several autoimmune indications. These therapies have demonstrated that selective modulation of specific cytokines and immune pathways can meaningfully alter disease activity. However, a substantial proportion of patients across multiple autoimmune diseases do not achieve adequate or durable disease control, and treatment resistance, partial response or disease progression may occur in certain populations.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Emerging research has highlighted the interconnected nature of immune signaling networks, including interactions between T cell–associated cytokines, B cell survival pathways, innate immune activation and tissue-resident stromal responses. In diseases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characterized by overlapping biological drivers, inhibition of a single pathway may not fully address immune redundancy or compensatory mechanisms that can sustain inflammation or fibrotic progression.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Advances in antibody engineering have enabled the development of highly selective monoclonal antibodies as well as multi-target constructs designed to engage more than one immune mediator within a single therapeutic molecule. Multi-pathway strategies, including bispecific antibodies, are being explored in autoimmune and inflammatory research to evaluate whether coordinated modulation of complementary immune drivers may be appropriate in select disease settings supported by translational and clinical evidence. At the same time, single-target monoclonal antibodies remain a clinically validated approach where a specific signaling axis is strongly implicated in disease pathogenesis.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continued advances in immune biology, biomarker development and clinical translational research provide opportunities to evaluate differentiated antibody-based approaches in diseases where significant unmet medical need persists. Our strategy is to align the biological rationale of each product candidate with human data supporting the relevance of the targeted immune pathways in the disease under study.</w:t>
      </w:r>
    </w:p>
    <w:p>
      <w:pPr>
        <w:pStyle w:val="TextBody"/>
        <w:bidi w:val="0"/>
        <w:spacing w:before="0" w:after="240"/>
        <w:ind w:left="0" w:right="0" w:hanging="0"/>
        <w:jc w:val="left"/>
        <w:rPr>
          <w:rFonts w:ascii="Times New Roman;Times;serif" w:hAnsi="Times New Roman;Times;serif"/>
          <w:b/>
          <w:sz w:val="20"/>
        </w:rPr>
      </w:pPr>
      <w:bookmarkStart w:id="61" w:name="OurProductCandidates_189085"/>
      <w:bookmarkEnd w:id="61"/>
      <w:r>
        <w:rPr>
          <w:rFonts w:ascii="Times New Roman;Times;serif" w:hAnsi="Times New Roman;Times;serif"/>
          <w:b/>
          <w:sz w:val="20"/>
        </w:rPr>
        <w:t>Our Product Candidates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Tibulizumab (ZB-106)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Tibulizumab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Tibulizumab is a humanized IgG4 single-chain variable fragment bispecific antibody engineered to bind and neutralize both IL-17A and BAFF within a single therapeutic molecule.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IL-17A is a pro-inflammatory cytokine produced primarily by T-helper 17 (“Th17”) cells and other immune cell subsets and has been implicated in chronic inflammatory and fibrotic diseases. BAFF is a cytokine that plays a central role in B cell development, activation, differentiation and survival. Dysregulation of IL-17A and BAFF signaling has been reported in multiple autoimmune and inflammatory diseases.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By targeting both IL-17A and BAFF, tibulizumab is designed to modulate complementary T cell–associated and B cell–associated immune pathways that may contribute to disease pathogenesis in certain immune-mediated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Tibulizumab incorporates antigen-binding domains derived from antibodies previously evaluated in clinical development, including ixekizumab (marketed as TALTZ®), an anti-IL-17A antibody, and tabalumab, an anti-BAFF antibody.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our initiation of Phase 2 clinical trials, tibulizumab was evaluated in Phase 1 and Phase 1b clinical trials conducted by Lilly. These studies assessed safety, tolerability, pharmacokinetics (“PK”) and pharmacodynamics (“PD”) activity and supported advancement of tibulizumab into Phase 2 clinical development. See “—Completed Clinical Trials and Clinical Observations for Tibulizumab” below for a summary of these studies.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Biological Rationale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IL-17A Pathway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IL-17 family of cytokines consists of six structurally related isoforms, including IL-17A and IL-17F. IL-17 promotes the release of pro-inflammatory cytokines and chemokines and contributes to the recruitment and activation of immune cells at sites of inflammation. Dysregulated IL</w:t>
        <w:noBreakHyphen/>
        <w:t>17 signaling has been associated with chronic inflammatory conditions and, in some contexts, tissue remodeling and fibrotic processes.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IL-17 family members can form both homodimers and heterodimers that signal through a shared receptor complex. IL-17A is the prototypical and most extensively studied member of this family and is the most potent activator of IL-17 signaling. IL-17A can signal as an IL</w:t>
        <w:noBreakHyphen/>
        <w:t>17A homodimer or it can dimerize with the closely related IL-17F to form an IL-17A/F heterodimer, which has shared signaling properties of IL-17A and IL-17F.</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Tibulizumab binds to IL</w:t>
        <w:noBreakHyphen/>
        <w:t>17A and, through IL</w:t>
        <w:noBreakHyphen/>
        <w:t>17A engagement, inhibits signaling mediated by IL</w:t>
        <w:noBreakHyphen/>
        <w:t>17A homodimers as well as signaling mediated by IL</w:t>
        <w:noBreakHyphen/>
        <w:t>17A/F heterodimers. By targeting IL</w:t>
        <w:noBreakHyphen/>
        <w:t>17A</w:t>
        <w:noBreakHyphen/>
        <w:t xml:space="preserve">dependent signaling while also neutralizing BAFF, tibulizumab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designed to modulate complementary immune pathways that may contribute to disease pathogenesis in certain autoimmune and inflammatory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BAFF Pathway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BAFF is a cytokine involved in multiple aspects of immune system regulation and is best characterized for its role in B-lymphocyte maturation, activation and survival. BAFF is expressed as a membrane-bound protein and can be cleaved to generate a soluble 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Elevated BAFF levels have been reported in several autoimmune diseases. Overexpression of BAFF in preclinical models has been associated with autoantibody production and autoimmune-like phenotypes. In humans, increased BAFF concentrations have been observed in diseases including systemic sclerosis (“SSc”), systemic lupus erythematosus, rheumatoid arthritis (“RA”) and primary Sjögren’s syndrome.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By simultaneously neutralizing IL-17A and BAFF, tibulizumab is designed to modulate both T cell– and B cell–associated immune mechanisms that may contribute to disease pathogenesis.</w:t>
      </w:r>
    </w:p>
    <w:p>
      <w:pPr>
        <w:pStyle w:val="TextBody"/>
        <w:bidi w:val="0"/>
        <w:spacing w:before="0" w:after="240"/>
        <w:ind w:left="0" w:right="0" w:hanging="0"/>
        <w:jc w:val="both"/>
        <w:rPr/>
      </w:pPr>
      <w:r>
        <w:rPr/>
        <w:drawing>
          <wp:inline distT="0" distB="0" distL="0" distR="0">
            <wp:extent cx="3482340" cy="233934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482340" cy="233934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Completed Clinical Trials and Clinical Observations for Tibulizumab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Tibulizumab was previously evaluated in three clinical trials conducted by Lilly:</w:t>
      </w:r>
    </w:p>
    <w:tbl>
      <w:tblPr>
        <w:tblW w:w="10205" w:type="dxa"/>
        <w:jc w:val="left"/>
        <w:tblInd w:w="0" w:type="dxa"/>
        <w:tblLayout w:type="fixed"/>
        <w:tblCellMar>
          <w:top w:w="28" w:type="dxa"/>
          <w:left w:w="28" w:type="dxa"/>
          <w:bottom w:w="28" w:type="dxa"/>
          <w:right w:w="28" w:type="dxa"/>
        </w:tblCellMar>
      </w:tblPr>
      <w:tblGrid>
        <w:gridCol w:w="124"/>
        <w:gridCol w:w="233"/>
        <w:gridCol w:w="9848"/>
      </w:tblGrid>
      <w:tr>
        <w:trPr/>
        <w:tc>
          <w:tcPr>
            <w:tcW w:w="124"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4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 single ascending dose (“SAD”) clinical trial.</w:t>
            </w:r>
            <w:r>
              <w:rPr>
                <w:caps w:val="false"/>
                <w:smallCaps w:val="false"/>
              </w:rPr>
              <w:t xml:space="preserve"> </w:t>
            </w:r>
            <w:r>
              <w:rPr>
                <w:rFonts w:ascii="Times New Roman;Times;serif" w:hAnsi="Times New Roman;Times;serif"/>
                <w:b w:val="false"/>
                <w:i w:val="false"/>
                <w:caps w:val="false"/>
                <w:smallCaps w:val="false"/>
                <w:sz w:val="20"/>
              </w:rPr>
              <w:t>This first-in-human clinical trial evaluated safety, tolerability, PK, immunogenicity and target engagement of tibulizumab in healthy participants and in participants with RA.</w:t>
            </w:r>
          </w:p>
        </w:tc>
      </w:tr>
    </w:tbl>
    <w:tbl>
      <w:tblPr>
        <w:tblW w:w="10205" w:type="dxa"/>
        <w:jc w:val="left"/>
        <w:tblInd w:w="0" w:type="dxa"/>
        <w:tblLayout w:type="fixed"/>
        <w:tblCellMar>
          <w:top w:w="28" w:type="dxa"/>
          <w:left w:w="28" w:type="dxa"/>
          <w:bottom w:w="28" w:type="dxa"/>
          <w:right w:w="28"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 SAD clinical trial in healthy Japanese and Caucasian participants.</w:t>
            </w:r>
            <w:r>
              <w:rPr>
                <w:caps w:val="false"/>
                <w:smallCaps w:val="false"/>
              </w:rPr>
              <w:t xml:space="preserve"> </w:t>
            </w:r>
            <w:r>
              <w:rPr>
                <w:rFonts w:ascii="Times New Roman;Times;serif" w:hAnsi="Times New Roman;Times;serif"/>
                <w:b w:val="false"/>
                <w:i w:val="false"/>
                <w:caps w:val="false"/>
                <w:smallCaps w:val="false"/>
                <w:sz w:val="20"/>
              </w:rPr>
              <w:t>This single-site, randomized, investigator- and participant-blinded, placebo-controlled clinical trial evaluated safety, tolerability and PK following a single subcutaneous dose.</w:t>
            </w:r>
          </w:p>
        </w:tc>
      </w:tr>
    </w:tbl>
    <w:tbl>
      <w:tblPr>
        <w:tblW w:w="10205" w:type="dxa"/>
        <w:jc w:val="left"/>
        <w:tblInd w:w="0" w:type="dxa"/>
        <w:tblLayout w:type="fixed"/>
        <w:tblCellMar>
          <w:top w:w="28" w:type="dxa"/>
          <w:left w:w="28" w:type="dxa"/>
          <w:bottom w:w="28" w:type="dxa"/>
          <w:right w:w="28" w:type="dxa"/>
        </w:tblCellMar>
      </w:tblPr>
      <w:tblGrid>
        <w:gridCol w:w="124"/>
        <w:gridCol w:w="224"/>
        <w:gridCol w:w="9857"/>
      </w:tblGrid>
      <w:tr>
        <w:trPr/>
        <w:tc>
          <w:tcPr>
            <w:tcW w:w="124" w:type="dxa"/>
            <w:tcBorders/>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5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1b multiple ascending dose (“MAD”) clinical trial in participants with Sjögren’s syndrome.</w:t>
            </w:r>
            <w:r>
              <w:rPr>
                <w:caps w:val="false"/>
                <w:smallCaps w:val="false"/>
              </w:rPr>
              <w:t xml:space="preserve"> </w:t>
            </w:r>
            <w:r>
              <w:rPr>
                <w:rFonts w:ascii="Times New Roman;Times;serif" w:hAnsi="Times New Roman;Times;serif"/>
                <w:b w:val="false"/>
                <w:i w:val="false"/>
                <w:caps w:val="false"/>
                <w:smallCaps w:val="false"/>
                <w:sz w:val="20"/>
              </w:rPr>
              <w:t>This multicenter, parallel-group, randomized, investigator- and participant-blinded, placebo-controlled clinical trial evaluated safety, tolerability, PK, and PD of tibulizumab administered once every 2 weeks (“Q2W”) or once every 4 weeks (“Q4W”) for 16 weeks.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Phase 1 clinical trials, tibulizumab demonstrated a PK profile supportive of subcutaneous Phase 2 dosing at four-week intervals. PD observations confirmed impact on human biology and included changes consistent with the product candidate’s mechanism of action, including changes in inflammatory biomarkers, such as CD20+ B cells and high-sensitivity C-reactive protein in participants with RA, and reductions in total and naïve B cell counts in participants with Sjögren’s syndrome.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PD findings were exploratory and were not designed to evaluate clinical efficacy. The Phase 1 and Phase 1b clinical trials were not powered to assess clinical outcomes.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safety profile observed in Phase 1 and Phase 1b clinical trials supported advancement into Phase 2 clinical trials.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Hidradenitis Suppurativa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Disease Background and Unmet Medical Need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HS, also known as acne inversa, is a chronic, recurrent and debilitating inflammatory skin disease of the hair follicle. Reported worldwide prevalence estimates range from approximately 0.05% to 4.1%. HS typically presents in early adulthood, although delayed diagnosis is common.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Patients characteristically experience painful nodules, purulent abscesses and draining sinus tracts in intertriginous areas such as the axillary, inguinal, perineal and inframammary regions. HS is associated with substantial physical morbidity, impaired mobility, scarring and psychosocial burden. Comorbidities may include inflammatory arthropathies, metabolic syndrome, cardiovascular risk factors and depression.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Despite approved biologic therapies targeting inflammatory pathways, many patients experience incomplete responses or recurrent disease flares. No therapies specifically targeting B cell survival pathways are currently approved for HS.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Pathogenesis and Translational Evidence</w:t>
      </w:r>
    </w:p>
    <w:p>
      <w:pPr>
        <w:pStyle w:val="TextBody"/>
        <w:bidi w:val="0"/>
        <w:spacing w:lineRule="auto" w:line="328" w:before="0" w:after="160"/>
        <w:ind w:left="0" w:right="0" w:firstLine="720"/>
        <w:jc w:val="both"/>
        <w:rPr>
          <w:rFonts w:ascii="Times New Roman;Times;serif" w:hAnsi="Times New Roman;Times;serif"/>
          <w:sz w:val="20"/>
        </w:rPr>
      </w:pPr>
      <w:r>
        <w:rPr>
          <w:rFonts w:ascii="Times New Roman;Times;serif" w:hAnsi="Times New Roman;Times;serif"/>
          <w:sz w:val="20"/>
        </w:rPr>
        <w:t>Follicular occlusion is thought to be an initiating event in HS, followed by rupture and a local immune response characterized by neutrophil recruitment and sustained inflammation.</w:t>
      </w:r>
    </w:p>
    <w:p>
      <w:pPr>
        <w:pStyle w:val="TextBody"/>
        <w:bidi w:val="0"/>
        <w:spacing w:lineRule="auto" w:line="328" w:before="0" w:after="160"/>
        <w:ind w:left="0" w:right="0" w:firstLine="720"/>
        <w:jc w:val="both"/>
        <w:rPr>
          <w:rFonts w:ascii="Times New Roman;Times;serif" w:hAnsi="Times New Roman;Times;serif"/>
          <w:sz w:val="20"/>
        </w:rPr>
      </w:pPr>
      <w:r>
        <w:rPr>
          <w:rFonts w:ascii="Times New Roman;Times;serif" w:hAnsi="Times New Roman;Times;serif"/>
          <w:sz w:val="20"/>
        </w:rPr>
        <w:t>In translational studies, IL-17A-producing cells have been identified in HS lesional tissue, and IL-17-associated signaling has been implicated in amplification of inflammatory responses. B cell and plasma cell infiltration has also been reported in chronic HS lesions, and BAFF expression has been observed in lesional tissue.</w:t>
      </w:r>
    </w:p>
    <w:p>
      <w:pPr>
        <w:pStyle w:val="TextBody"/>
        <w:bidi w:val="0"/>
        <w:spacing w:lineRule="auto" w:line="328" w:before="0" w:after="160"/>
        <w:ind w:left="0" w:right="0" w:firstLine="720"/>
        <w:jc w:val="both"/>
        <w:rPr>
          <w:rFonts w:ascii="Times New Roman;Times;serif" w:hAnsi="Times New Roman;Times;serif"/>
          <w:sz w:val="20"/>
        </w:rPr>
      </w:pPr>
      <w:r>
        <w:rPr>
          <w:rFonts w:ascii="Times New Roman;Times;serif" w:hAnsi="Times New Roman;Times;serif"/>
          <w:sz w:val="20"/>
        </w:rPr>
        <w:t>These findings support investigation of immune pathways involving both IL-17A and BAFF in HS.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Diffuse Cutaneous Systemic Sclerosis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Disease Background and Unmet Medical Need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SSc is an orphan autoimmune disease characterized by immune dysregulation, vasculopathy and progressive fibrosis of the skin and internal organs. dcSSc is associated with rapid disease progression, extensive skin involvement and early visceral organ complications.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currently no therapies approved to treat the totality of dcSSc manifestations. Approved agents for systemic sclerosis–associated interstitial lung disease slow lung function decline but do not broadly reverse fibrosis or address multi-organ disease.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Pathogenesis and Translational Evidence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Elevated BAFF levels have been reported in patients with SSc and have been associated with disease activity in observational studies. In translational investigations, BAFF signaling has been associated with B cell activation and profibrotic gene expression.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Increased Th17 cell activity and IL-17 expression have also been reported in SSc. IL-17 signaling has been implicated in fibroblast activation and collagen production in certain experimental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Dual inhibition of IL-17A and BAFF is intended to address inflammatory and B cell–associated components implicated in SSc pathogenesis. The clinical effect of this approach is being evaluated in the ongoing Phase 2 clinical trial of TibuSURE in dcSSc.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Ongoing Clinical Trials of Tibulizumab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Tibulizumab is currently being evaluated in two ongoing global Phase 2 clinical trials: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TibuSHIELD – Hidradenitis Suppurativa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2025, we initiated TibuSHIELD, a randomized, double-blind, placebo-controlled Phase 2 clinical trial evaluating tibulizumab in adults with moderate-to-severe HS.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trial is designed to assess safety, tolerability and efficacy in approximately 225 participants across the United States, Canada and Europe. In January 2026, we expanded the planned enrollment from approximately 180 participants to approximately 225 participants pursuant to a protocol amendment.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primary endpoint is the percent change from baseline in total abscess and inflammatory nodule count at Week 16. Key secondary endpoints include the proportion of participants achieving HiSCR50 or HiSCR75 at Week 16, as well as additional safety and clinical activity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trial includes:</w:t>
      </w:r>
    </w:p>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16-week double-blind efficacy assessment period</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optional open-label extension period following completion of the double-blind portion</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12-week safety follow-up period after the last dose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Topline results from the 16-week double-blind portion of the trial are expected in the fourth quarter of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TibuSURE – Diffuse Cutaneous Systemic Sclerosis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2024, we initiated TibuSURE, a randomized, double-blind, placebo-controlled Phase 2 clinical trial evaluating tibulizumab in adults with early dcSSc.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trial is designed to assess safety, tolerability and efficacy in approximately 80 participants across the United States, Latin America, and Europe.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primary endpoint is the modified Rodnan Skin Score at Week 24. Secondary endpoints include measures of lung involvement, including forced vital capacity and quantitative high-resolution computed tomography, as well as functional and composite clinical measures such as the Health Assessment Questionnaire-Disability Index and the revised Combined Response Index in Systemic Sclerosis.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trial includes:</w:t>
      </w:r>
    </w:p>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24-week double-blind efficacy assessment period</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optional open-label extension period following completion of the double-blind portion</w:t>
            </w:r>
          </w:p>
        </w:tc>
      </w:tr>
    </w:tbl>
    <w:p>
      <w:pPr>
        <w:pStyle w:val="TextBody"/>
        <w:bidi w:val="0"/>
        <w:spacing w:lineRule="auto" w:line="328" w:before="0" w:after="240"/>
        <w:ind w:left="720" w:right="0" w:hanging="0"/>
        <w:jc w:val="both"/>
        <w:rPr>
          <w:rFonts w:ascii="Times New Roman;Times;serif" w:hAnsi="Times New Roman;Times;serif"/>
          <w:sz w:val="20"/>
        </w:rPr>
      </w:pPr>
      <w:r>
        <w:rPr>
          <w:rFonts w:ascii="Times New Roman;Times;serif" w:hAnsi="Times New Roman;Times;serif"/>
          <w:sz w:val="20"/>
        </w:rPr>
        <w:t>Topline results from the 24-week double-blind portion of the trial are expected in the first half of 2027.</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Crebankitug (ZB-168)</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Crebankitug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Crebankitug is a fully human immunoglobulin G1 monoclonal antibody that binds and neutralizes the interleukin-7 receptor alpha chain (“IL-7Rα”). IL-7Rα is a shared receptor component involved in signaling mediated by interleukin-7 (“IL-7”) and thymic stromal lymphopoietin (“TSLP”). Through binding to IL-7Rα, crebankitug is designed to inhibit signaling mediated by both IL-7 and TSLP.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Biological Background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IL-7 was initially characterized for its role in lymphocyte growth and survival and is now recognized as an important regulator of T cell development and peripheral T cell homeostasis. IL-7 signaling occurs through IL-7Rα in combination with the common gamma chain receptor and contributes to T cell survival, proliferation and differentiation.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IL-7Rα also serves as a receptor component for TSLP, a cytokine involved in modulation of immune responses, particularly at epithelial barrier tissues. TSLP signaling has been implicated in inflammatory and autoimmune conditions through activation of dendritic cells and promotion of T-helper cell responses.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Dysregulation of the IL-7/IL-7Rα axis and related signaling pathways has been associated with autoimmune and inflammatory diseases. Genetic polymorphisms involving IL-7R have been reported in multiple autoimmune conditions, including multiple sclerosis (“MS”), type 1 diabetes (“T1D”), RA and primary Sjögren’s syndrome.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By targeting IL-7Rα, crebankitug is designed to modulate signaling associated with both IL-7 and TSLP pathways, which are involved in T cell survival, activation and immune homeostasis.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Completed Clinical Trials and Clinical Observations for Crebankitug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Crebankitug was previously evaluated in three Phase 1/1b clinical trials conducted by Pfizer prior to our in-licensing of development rights:</w:t>
      </w:r>
    </w:p>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760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 SAD clinical trial</w:t>
            </w:r>
            <w:r>
              <w:rPr>
                <w:caps w:val="false"/>
                <w:smallCaps w:val="false"/>
              </w:rPr>
              <w:t xml:space="preserve"> </w:t>
            </w:r>
            <w:r>
              <w:rPr>
                <w:rFonts w:ascii="Times New Roman;Times;serif" w:hAnsi="Times New Roman;Times;serif"/>
                <w:b w:val="false"/>
                <w:i w:val="false"/>
                <w:caps w:val="false"/>
                <w:smallCaps w:val="false"/>
                <w:sz w:val="20"/>
              </w:rPr>
              <w:t>in adult healthy participants to assess safety, tolerability and PK.</w:t>
            </w:r>
          </w:p>
        </w:tc>
      </w:tr>
    </w:tbl>
    <w:tbl>
      <w:tblPr>
        <w:tblW w:w="10205" w:type="dxa"/>
        <w:jc w:val="left"/>
        <w:tblInd w:w="0" w:type="dxa"/>
        <w:tblLayout w:type="fixed"/>
        <w:tblCellMar>
          <w:top w:w="28" w:type="dxa"/>
          <w:left w:w="28" w:type="dxa"/>
          <w:bottom w:w="28" w:type="dxa"/>
          <w:right w:w="28" w:type="dxa"/>
        </w:tblCellMar>
      </w:tblPr>
      <w:tblGrid>
        <w:gridCol w:w="124"/>
        <w:gridCol w:w="228"/>
        <w:gridCol w:w="9853"/>
      </w:tblGrid>
      <w:tr>
        <w:trPr/>
        <w:tc>
          <w:tcPr>
            <w:tcW w:w="124" w:type="dxa"/>
            <w:tcBorders/>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85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1b clinical trial in participants with established T1D.</w:t>
            </w:r>
            <w:r>
              <w:rPr>
                <w:caps w:val="false"/>
                <w:smallCaps w:val="false"/>
              </w:rPr>
              <w:t xml:space="preserve"> </w:t>
            </w:r>
            <w:r>
              <w:rPr>
                <w:rFonts w:ascii="Times New Roman;Times;serif" w:hAnsi="Times New Roman;Times;serif"/>
                <w:b w:val="false"/>
                <w:i w:val="false"/>
                <w:caps w:val="false"/>
                <w:smallCaps w:val="false"/>
                <w:sz w:val="20"/>
              </w:rPr>
              <w:t>This was a multicenter, randomized, double-blind, sponsor-open, placebo-controlled clinical trial evaluating multiple ascending doses of crebankitug in adult participants diagnosed with T1D within the preceding two years.</w:t>
            </w:r>
          </w:p>
        </w:tc>
      </w:tr>
    </w:tbl>
    <w:tbl>
      <w:tblPr>
        <w:tblW w:w="10205" w:type="dxa"/>
        <w:jc w:val="left"/>
        <w:tblInd w:w="0" w:type="dxa"/>
        <w:tblLayout w:type="fixed"/>
        <w:tblCellMar>
          <w:top w:w="28" w:type="dxa"/>
          <w:left w:w="28" w:type="dxa"/>
          <w:bottom w:w="28" w:type="dxa"/>
          <w:right w:w="28" w:type="dxa"/>
        </w:tblCellMar>
      </w:tblPr>
      <w:tblGrid>
        <w:gridCol w:w="124"/>
        <w:gridCol w:w="224"/>
        <w:gridCol w:w="9857"/>
      </w:tblGrid>
      <w:tr>
        <w:trPr/>
        <w:tc>
          <w:tcPr>
            <w:tcW w:w="124" w:type="dxa"/>
            <w:tcBorders/>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985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1b clinical trial in participants with MS.</w:t>
            </w:r>
            <w:r>
              <w:rPr>
                <w:caps w:val="false"/>
                <w:smallCaps w:val="false"/>
              </w:rPr>
              <w:t xml:space="preserve"> </w:t>
            </w:r>
            <w:r>
              <w:rPr>
                <w:rFonts w:ascii="Times New Roman;Times;serif" w:hAnsi="Times New Roman;Times;serif"/>
                <w:b w:val="false"/>
                <w:i w:val="false"/>
                <w:caps w:val="false"/>
                <w:smallCaps w:val="false"/>
                <w:sz w:val="20"/>
              </w:rPr>
              <w:t>This was a randomized, multicenter, double-blind, sponsor-open, placebo-controlled clinical trial designed to evaluate multiple ascending doses of crebankitug in adult participants with MS. The clinical trial enrolled four participants and was terminated by the sponsor for reasons other than participant safety.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Across clinical development, crebankitug was administered to 93 participants. In Phase 1 and Phase 1b clinical trials, safety, tolerability and PK were evaluated. In the Phase 1b clinical trial in participants with T1D, crebankitug demonstrated biologic activity consistent with IL-7Rα blockade, including reductions in effector and memory T cell populations while sparing regulatory T cell populations. Changes in gene expression associated with T cell activation, trafficking and differentiation were also observed. The majority of adverse events were Grade 1 or Grade 2. There were no deaths or permanent discontinuations due to adverse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Crebankitug has been administered via intravenous (“IV”) infusion and subcutaneous (“SC”) injection in clinical trials.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Potential Future Development Considerations for Crebankitug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assessing the competitive landscape, including developments in IL-7 and TSLP-targeted programs, and evaluating potential therapeutic indications and development strategies for crebankitug. These evaluations may include consideration of disease selection, clinical trial design and the timing and scope of potential future development and clinical studies.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Torudokimab (ZB-880)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Torudokimab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Torudokimab is a fully human IgG4 monoclonal antibody that binds and neutralizes soluble human IL-33. IL-33 signaling occurs primarily through suppression of tumorigenicity 2 (“ST2”), a receptor expressed on multiple immune cell types.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Torudokimab was previously evaluated in three clinical trials conducted by Lilly prior to our in-licensing of development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Biological Background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IL-33 is a member of the interleukin-1 (“IL-1”) cytokine superfamily and is characterized as an epithelial-derived cytokine released in response to cellular stress or tissue injury. Upon binding to the ST2 receptor, IL-33 can activate innate and adaptive immune cells and promote type 2 immune responses.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IL-33/ST2 signaling axis has been investigated as a therapeutic target in inflammatory and respiratory diseases, including asthma and chronic obstructive pulmonary disease (“COPD”). IL-33 signaling has also been studied in dermatologic and other immune-mediated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By neutralizing IL-33, torudokimab is designed to inhibit signaling mediated through the IL-33/ST2 pathway.</w:t>
      </w:r>
    </w:p>
    <w:p>
      <w:pPr>
        <w:pStyle w:val="TextBody"/>
        <w:bidi w:val="0"/>
        <w:spacing w:before="0" w:after="240"/>
        <w:ind w:left="0" w:right="0" w:hanging="0"/>
        <w:jc w:val="left"/>
        <w:rPr>
          <w:rFonts w:ascii="Times New Roman;Times;serif" w:hAnsi="Times New Roman;Times;serif"/>
          <w:b/>
          <w:i/>
          <w:sz w:val="20"/>
        </w:rPr>
      </w:pPr>
      <w:bookmarkStart w:id="62" w:name="Manufacturing_641"/>
      <w:bookmarkEnd w:id="62"/>
      <w:r>
        <w:rPr>
          <w:rFonts w:ascii="Times New Roman;Times;serif" w:hAnsi="Times New Roman;Times;serif"/>
          <w:b/>
          <w:i/>
          <w:sz w:val="20"/>
        </w:rPr>
        <w:t>Completed Clinical Trials and Clinical Observations for Torudokimab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Torudokimab was previously evaluated in three clinical trials conducted by Lilly:</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98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 SAD and MAD clinical trial.</w:t>
            </w:r>
            <w:r>
              <w:rPr>
                <w:caps w:val="false"/>
                <w:smallCaps w:val="false"/>
              </w:rPr>
              <w:t xml:space="preserve"> </w:t>
            </w:r>
            <w:r>
              <w:rPr>
                <w:rFonts w:ascii="Times New Roman;Times;serif" w:hAnsi="Times New Roman;Times;serif"/>
                <w:b w:val="false"/>
                <w:i w:val="false"/>
                <w:caps w:val="false"/>
                <w:smallCaps w:val="false"/>
                <w:sz w:val="20"/>
              </w:rPr>
              <w:t>This was a first-in-human clinical trial in healthy participants evaluating safety, tolerability, PK, immunogenicity, and target engagement.</w:t>
            </w:r>
          </w:p>
        </w:tc>
      </w:tr>
    </w:tbl>
    <w:tbl>
      <w:tblPr>
        <w:tblW w:w="10205" w:type="dxa"/>
        <w:jc w:val="left"/>
        <w:tblInd w:w="0" w:type="dxa"/>
        <w:tblLayout w:type="fixed"/>
        <w:tblCellMar>
          <w:top w:w="28" w:type="dxa"/>
          <w:left w:w="28" w:type="dxa"/>
          <w:bottom w:w="28" w:type="dxa"/>
          <w:right w:w="28" w:type="dxa"/>
        </w:tblCellMar>
      </w:tblPr>
      <w:tblGrid>
        <w:gridCol w:w="124"/>
        <w:gridCol w:w="244"/>
        <w:gridCol w:w="98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83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 clinical trial.</w:t>
            </w:r>
            <w:r>
              <w:rPr>
                <w:caps w:val="false"/>
                <w:smallCaps w:val="false"/>
              </w:rPr>
              <w:t xml:space="preserve"> </w:t>
            </w:r>
            <w:r>
              <w:rPr>
                <w:rFonts w:ascii="Times New Roman;Times;serif" w:hAnsi="Times New Roman;Times;serif"/>
                <w:b w:val="false"/>
                <w:i w:val="false"/>
                <w:caps w:val="false"/>
                <w:smallCaps w:val="false"/>
                <w:sz w:val="20"/>
              </w:rPr>
              <w:t>This was a safety, tolerability, and PK trial evaluating different solution formulations and injection methods in healthy participants.</w:t>
            </w:r>
          </w:p>
        </w:tc>
      </w:tr>
    </w:tbl>
    <w:tbl>
      <w:tblPr>
        <w:tblW w:w="10205" w:type="dxa"/>
        <w:jc w:val="left"/>
        <w:tblInd w:w="0" w:type="dxa"/>
        <w:tblLayout w:type="fixed"/>
        <w:tblCellMar>
          <w:top w:w="28" w:type="dxa"/>
          <w:left w:w="28" w:type="dxa"/>
          <w:bottom w:w="28" w:type="dxa"/>
          <w:right w:w="28"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98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2 clinical trial in participants with atopic dermatitis (“AD”).</w:t>
            </w:r>
            <w:r>
              <w:rPr>
                <w:caps w:val="false"/>
                <w:smallCaps w:val="false"/>
              </w:rPr>
              <w:t xml:space="preserve"> </w:t>
            </w:r>
            <w:r>
              <w:rPr>
                <w:rFonts w:ascii="Times New Roman;Times;serif" w:hAnsi="Times New Roman;Times;serif"/>
                <w:b w:val="false"/>
                <w:i w:val="false"/>
                <w:caps w:val="false"/>
                <w:smallCaps w:val="false"/>
                <w:sz w:val="20"/>
              </w:rPr>
              <w:t>This was a multicenter, randomized, double-blind, placebo-controlled, parallel-group clinical trial evaluating efficacy and safety in adult participants with moderate-to-severe AD.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Across clinical development, 244 participants were dosed with torudokimab. In Phase 1 clinical trials, torudokimab demonstrated a PK profile consistent with monoclonal antibodies, with an average half-life of approximately 20 days. The majority of adverse events were Grade 1 or Grade 2. There were no deaths and no serious adverse events assessed as causally related to torudokimab. No apparent clinical impact of anti-drug antibodies was observed.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Phase 2 clinical trial in moderate-to-severe AD was terminated early following a planned interim analysis due to lack of efficacy. Safety findings did not contribute to the study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Torudokimab was administered via IV infusion and SC injection in clinical trials. In healthy participants, both SC and IV formulations were evaluated. In patient populations, torudokimab was administered via SC injection.</w:t>
      </w:r>
    </w:p>
    <w:p>
      <w:pPr>
        <w:pStyle w:val="TextBody"/>
        <w:bidi w:val="0"/>
        <w:spacing w:before="0" w:after="240"/>
        <w:ind w:left="0" w:right="0" w:hanging="0"/>
        <w:jc w:val="left"/>
        <w:rPr>
          <w:rFonts w:ascii="Times New Roman;Times;serif" w:hAnsi="Times New Roman;Times;serif"/>
          <w:b/>
          <w:i/>
          <w:sz w:val="20"/>
        </w:rPr>
      </w:pPr>
      <w:bookmarkStart w:id="63" w:name="IntellectualProperty_100228"/>
      <w:bookmarkEnd w:id="63"/>
      <w:r>
        <w:rPr>
          <w:rFonts w:ascii="Times New Roman;Times;serif" w:hAnsi="Times New Roman;Times;serif"/>
          <w:b/>
          <w:i/>
          <w:sz w:val="20"/>
        </w:rPr>
        <w:t>Potential Future Development Considerations for Torudokimab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assessing the competitive landscape, including developments in IL-33 and ST2-targeted programs, and evaluating potential therapeutic indications and clinical development strategies for torudokimab. These evaluations may include consideration of disease selection, clinical trial design, and the timing and scope of potential future clinical studies.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own or operate, and currently have no plans to establish, any dedicated Zura manufacturing facilities. Our current and future requirements for producing bulk drug substance and finished drug product are met through contract manufacturers.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manufactured three batches of tibulizumab finished drug product in Italy and three batches of tibulizumab drug substance in the Netherlands through contract manufacturers in accordance with current good manufacturing practices (“cGMP”). Additional batches of both tibulizumab drug substance and drug product are anticipated to be manufactured in 2026. Prior to our in-licensing of tibulizumab, Lilly manufactured tibulizumab. Pursuant to the Lilly license, we have a license to the drug substance manufacturing process and the associated analytical testing.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2024, torudokimab drug substance and drug product were moved from WuXi, People’s Republic of China (“PRC”) to the United Kingdom (“U.K.”). We have an ongoing stability study in WuXi. The PRC, and WuXi specifically, have faced increased scrutiny by the U.S. government, which could necessitate the selection of a new manufacturer and require additional stability studies thus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impacting our ability to supply torudokimab to meet future demand. See the risk factor titled “</w:t>
      </w:r>
      <w:r>
        <w:rPr>
          <w:rFonts w:ascii="Times New Roman;Times;serif" w:hAnsi="Times New Roman;Times;serif"/>
          <w:i/>
          <w:sz w:val="20"/>
        </w:rPr>
        <w:t>Our business, operations, financial position, and clinical development plans and timelines could be materially adversely affected by international conflicts and economic sanctions</w:t>
      </w:r>
      <w:r>
        <w:rPr>
          <w:rFonts w:ascii="Times New Roman;Times;serif" w:hAnsi="Times New Roman;Times;serif"/>
          <w:sz w:val="20"/>
        </w:rPr>
        <w:t>” under Part I, Item 1A Risk Factors in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crebankitug, we transferred the cGMP drug substance manufacturing process and associated analytical testing to the Netherlands. The facility manufactured a batch of cGMP drug substance and this material is available for release for use in crebankitug clinical studies. Similarly, the cGMP drug product manufacturing process was transferred to Italy and a batch of cGMP drug product was manufactured and is available for release for use in crebankitug clinical studies.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outsourced manufacturing facilities are equipped to produce tibulizumab and crebankitug for both clinical and commercial use. We continue to monitor and assess contract manufacturers for our future needs. We currently have no plans to establish in-house manufacturing capabilities.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With respect to our intellectual property, our continued development, clinical and commercial success depends in large part on our ability to: obtain and maintain patent protection for the ZB Assets (including but not limited to their components, formulations, methods of manufacturing, and methods of treatment in the United States and other countries); operate without infringing valid and enforceable patents and proprietary rights of others; and prevent others from infringing on our proprietary or intellectual property rights.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intend to take advantage of regulatory protection afforded through data exclusivity, market exclusivity and patent term extensions, where available. We may also seek to rely on regulatory protection afforded through Orphan Drug Designation, if appropriate. We may also rely on trade secrets and know-how to protect aspects of our business that are not amenable to, or that we do not consider appropriate or timely for, patent protection.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Tibulizumab Intellectual Property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hold a license to issued patents that cover the composition of matter for tibulizumab in several major pharmaceutical markets, including the United States, China, Japan, Germany, France, Italy, the United Kingdom, and Spain. The earliest priority date for these patents is 2012. The terms of these patents are capable of continuing into 2033 in most jurisdictions without taking into account any patent term adjustment or extension regime of any country.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Crebankitug Intellectual Property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hold a license to issued patents that cover the composition of matter for crebankitug in several major pharmaceutical markets, including the United States, Japan, Germany, France, Italy, the United Kingdom, and Spain. The earliest priority date for these patents is 2010. The terms of these patents are capable of continuing into 2031 in most jurisdictions without taking into account any patent term adjustment or extension regime of any country.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Torudokimab Intellectual Property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hold a license to issued patents that cover the composition of matter for torudokimab in several major pharmaceutical markets, including the United States, China, Japan, Germany, France, Italy, the United Kingdom, and Spain. The earliest priority date for these patents is 2016. The terms of these patents are capable of continuing into 2037 in most jurisdictions without taking into account any patent term adjustment or extension regime of any country.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a party to certain licenses that provide rights that are necessary or useful for developing and commercializing our assets.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2023 Lilly License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April 26, 2023, our consolidated subsidiary ZB17 LLC (“ZB17”) entered into a license agreement with Lilly (the “2023 Lilly License” and, together with the 2022 Lilly License defined below, the “Lilly Licenses”) pursuant to which Lilly granted ZB17 an exclusive license to develop, manufacture and commercialize tibulizumab. As consideration, we paid Lilly an upfront payment consisting of $5.8 million during 2023 and issued 1,000,000 Class A Ordinary Shares at an aggregate fair value of $7.8 million during the year ended 2023. During certain specified periods, Lilly shall have the exclusive right to evaluate certain clinical trial results and determine whether it wishes to negotiate an agreement for the further development and commercialization of ZB-106 by Lilly. If Lilly provides notice to the Company before the expiry of the applicable period that it wishes to seek to negotiate an agreement, the parties will have good faith negotiations regarding an agreement for further development and commercialization.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During 2024, ZB17 made an additional payment of $5.0 million to Lilly in connection with the receipt of certain know-how, data, information and materials that Lilly is required to provide under the license agreement.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also obligated to make payments to Lilly (a) for four development milestone payments up to an aggregate of $155.0 million, and sales milestone payments up to an aggregate of $440.0 million based on respective thresholds of net sales of products developed from tibulizumab; and (b) over a multi-year period (twelve years, or upon the later expiration of regulatory exclusivity of tibulizumab in a country) for an annual earned royalty at a marginal royalty rate in the mid-single digits to low-double digits, with increasing rates based on net sales in the respective calendar year, based on a percentage of sales within varying thresholds for a certain period of years (collectively, the “2023 Lilly Contingent Payments”). As of December 31, 2025, none of the 2023 Lilly Contingent Payments are due and accordingly will not be recorded in our financial statements until they are due.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2022 Lilly License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December 8, 2022, our consolidated subsidiary Z33 Bio Inc. (“Z33”) entered into a license agreement with Lilly (the “2022 Lilly License”) pursuant to which Lilly granted Z33 an exclusive (even as to Lilly) license to develop, manufacture, and commercialize torudokimab. As consideration, we paid Lilly an upfront fee of $7.0 million during 2022 and issued Lilly 550,000 Class A Ordinary Shares at an aggregate fair value of $4.5 million upon the Closing Date of the Business Combination during the year ended December 31, 2023.</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to the consideration paid and transferred in 2022, we paid an additional $3.0 million to Lilly in December 2025 because a financing by Z33 with gross proceeds exceeding $100.0 million did not occur by December 7, 2025. We are also obligated to make payments to Lilly for (a) 10 commercial, development and regulatory milestone payments up to an aggregate of $155.0 million and sales milestone payments up to an aggregate of $440.0 million based on respective thresholds of net sales of products developed from the licensed compound; and (b) an annual earned royalty at a marginal royalty rate in the mid-single to low-double digits, with increasing rates based on net sales in the respective calendar year, based on a percentage of sales within varying thresholds for a certain period of the year (collectively, the “2022 Lilly Contingent Payments”). As of December 31, 2025, none of the 2022 Lilly Contingent Payments are due and accordingly will not be recorded in our financial statements until they are due.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Pfizer Agreement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March 22, 2022, we entered into a license agreement and a Series A-1 Subscription and Shareholder’s Agreement (collectively, the “Pfizer Agreement”) with Pfizer. Under the Pfizer Agreement, we acquired a license for crebankitug in exchange for $5.0 million in cash and 2,702,083 shares (as adjusted by the exchange ratio established in the Business Combination Agreement (as defined herein)) of our Series A-1 convertible preferred shares, representing a 20% interest in us. The Pfizer Agreement is accounted for as an asset acquisition, as substantially all of the $7.5 million value transferred to us was allocated to in-process research and development. On the acquisition date, the compound licensed had not yet received regulatory approval and the in-process research and development (the “IPR&amp;D”) did not have an alternative use.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to the consideration transferred during 2022, we are obligated to make payments to Pfizer for (a) twelve (12) development and regulatory milestone payments aggregating up to $70.0 million and sales milestone payments up to an aggregate of $525.0 million based on respective thresholds of net sales of products (developed from the licensed compound) (the “Products”); and (b) an annual earned royalty at a marginal royalty rate in the mid-single digits to low double digits, based on thresholds of net sales of Products (collectively, the “Pfizer Contingent Payments”). Royalties are payable on a country-by-country basis for a certain period of years or upon the later expiration of regulatory exclusivity of our Products in a country.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recorded the first $1.0 million development milestone, included in the Pfizer Contingent Payments, as a component of research and development in the consolidated statement of operations during the year ended December 31, 2023. This amount was fully paid to Pfizer during the year ended December 31, 2024. As of December 31, 2025, no additional Pfizer Contingent Payments are due and accordingly no additional Pfizer Contingent Payments will be recorded in our financial statements until they are due.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Pfizer Agreement also had an anti-dilution provision to allow Pfizer to maintain an 18% interest in us. Immediately prior to the Closing Date of the Business Combination (each as defined below), additional share options and restricted share units were issued to certain employees, executives, and directors that would result in the dilution of Pfizer’s ownership in us. In accordance with the anti-dilution provision of the Pfizer Agreement, Pfizer was issued additional Series A-1 convertible preferred shares upon the closing of the Business Combination that were immediately converted to 267,939 Class A Ordinary Shares. Following the Business Combination, the anti-dilution provision is no longer in effect.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Lonza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are free to terminate the Lonza License at any time upon 60 days’ notice, with or without cause. Lonza may terminate the Lonza License for cause upon a breach by us or for other commercially standard reasons.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October 2023, we began manufacturing drug substance with another third party. As a result of manufacturing with a third party other than Lonza, under the terms of the Lonza License, we had a license fee of $0.4 million due to Lonza in the fourth quarter of 2023 and annually thereafter. During each of the years ended December 31, 2025 and 2024, $0.4 million was paid for the Lonza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more information, see the factors regarding third parties and manufacturing described under the heading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WuXi Biologics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2023, we entered into a biologics master services agreement (the “WuXi Biologics MSA”) with WuXi Biologics and its affiliates (“WuXi Biologics”). Under the WuXi Biologics MSA, we are obligated to pay WuXi Biologics a service fee and all non-cancellable obligations in the amount specified in each work order associated with the agreement for the provision of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WuXi Biologics MSA may be terminated upon 30 days’ written notice by either party. Each work order under the WuXi Biologics MSA terminates upon completion of the services under such work order, or earlier under certain circumstances: (i) by us upon 3 months’ written notice for reasonable cause, (ii) by WuXi if the services cannot be reasonably performed due to technical difficulties, or (iii) immediately by either party if a material breach is uncured for 30 days. Termination fees may apply under (i) and in the case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material breach in (iii). In July 2023, we entered into a cell line license agreement (the “Cell Line License Agreement”) with WuXi Biologics. The Cell Line License Agreement provides us with a non-exclusive, worldwide, sublicensable license to certain of WuXi Biologics’s know-how, cell line, and biological materials to manufacture, have manufactured, use, sell and import certain products produced through the use of the cell line licensed by WuXi Biologics under the Cell Line License Agreement (the “WuXi Biologics Licensed Products”). 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 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 As of December 31, 2025, there are no payments currently due under the Cell Line License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Athanor Letter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29, 2025, in connection with the termination of the (i) letter agreement with Stone Peach Properties, LLC (“Stone Peach”) and ZB17, dated April 24, 2023, as amended by letter agreement dated November 21, 2023 (the “ZB17 Letter Agreement”) and (ii) letter agreement dated December 8, 2022, as amended on November 21, 2023 (the “Z33 Letter Agreement” and, together with the ZB17 Letter Agreement, the “Stone Peach Letter Agreements”) by and between Stone Peach, us and Z33, as described in Note 5 to our consolidated financial statements located in “</w:t>
      </w:r>
      <w:r>
        <w:rPr>
          <w:rFonts w:ascii="Times New Roman;Times;serif" w:hAnsi="Times New Roman;Times;serif"/>
          <w:i/>
          <w:sz w:val="20"/>
        </w:rPr>
        <w:t>Item 15—Exhibits and Financial Statement Schedules—Financial Statements</w:t>
      </w:r>
      <w:r>
        <w:rPr>
          <w:rFonts w:ascii="Times New Roman;Times;serif" w:hAnsi="Times New Roman;Times;serif"/>
          <w:sz w:val="20"/>
        </w:rPr>
        <w:t>,” we entered into a letter agreement with Athanor Capital, an exempted company incorporated under the laws of the Cayman Islands with limited liability (“Athanor”) (the “Athanor Agreement”), pursuant to which we issued to Athanor 8,657,402 Class A Ordinary Shares (the “Athanor Shares”). Athanor is also entitled to piggyback registration rights pursuant to which Athanor has the right to include Athanor Shares in certain registered offerings by us or if we propose to file a registration statement under the Securities Act of 1933, as amended (the “Securities Act”), with respect to the registration of equity securities, as set forth in the Athanor Agreement. In addition, pursuant to the terms of the Athanor Agreement, we paid Athanor an upfront fee in an amount equal to $7.3 million and shall pay a one-time milestone payment in the amount of $25.0 million after the occurrence of the earliest of the following events: (i) we or ZB17 undergoes a Change of Control (as defined in the Athanor Agreement), (ii) the consummation by us or ZB17 of a sale of assets resulting in net proceeds in excess of $500.0 million, or (iii) First Indication Regulatory Approval (as defined in the Athanor Agreement). In addition, pursuant to the terms of the Athanor Agreement, we agreed to pay an amount equal to 2% of Net Sales (as defined in the Athanor Agreement) for the Product (as defined in the Athanor Agreement) to the extent such Net Sales (collectively, the “Net Sales Payments”) are the subject of a royalty payment under the 2023 Lilly License. The Athanor Agreement contains representations, warranties and covenants by the parties in addition to the terms described above and shall remain in effect on a country-by-country basis until the expiration of the obligation to pay the Net Sales Payments. See also Part II, Item 7. “</w:t>
      </w:r>
      <w:r>
        <w:rPr>
          <w:rFonts w:ascii="Times New Roman;Times;serif" w:hAnsi="Times New Roman;Times;serif"/>
          <w:i/>
          <w:sz w:val="20"/>
        </w:rPr>
        <w:t>Management’s Discussion and Analysis of Financial Condition and Results of Operations—Athanor Letter Agreement,</w:t>
      </w:r>
      <w:r>
        <w:rPr>
          <w:rFonts w:ascii="Times New Roman;Times;serif" w:hAnsi="Times New Roman;Times;serif"/>
          <w:sz w:val="20"/>
        </w:rPr>
        <w:t>” “—</w:t>
      </w:r>
      <w:r>
        <w:rPr>
          <w:rFonts w:ascii="Times New Roman;Times;serif" w:hAnsi="Times New Roman;Times;serif"/>
          <w:i/>
          <w:sz w:val="20"/>
        </w:rPr>
        <w:t>Stone Peach Settlement and Release Agreement</w:t>
      </w:r>
      <w:r>
        <w:rPr>
          <w:rFonts w:ascii="Times New Roman;Times;serif" w:hAnsi="Times New Roman;Times;serif"/>
          <w:sz w:val="20"/>
        </w:rPr>
        <w:t>,” and “—</w:t>
      </w:r>
      <w:r>
        <w:rPr>
          <w:rFonts w:ascii="Times New Roman;Times;serif" w:hAnsi="Times New Roman;Times;serif"/>
          <w:i/>
          <w:sz w:val="20"/>
        </w:rPr>
        <w:t>Audit Subcommittee Investigation</w:t>
      </w:r>
      <w:r>
        <w:rPr>
          <w:rFonts w:ascii="Times New Roman;Times;serif" w:hAnsi="Times New Roman;Times;serif"/>
          <w:sz w:val="20"/>
        </w:rPr>
        <w:t>” for more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Approval and Regulation of Drugs and Biologics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United States, our drug product candidates are all regulated by the FDA as biologics. Biologics require the submission of a biologics license application (“BLA”) and approval by the FDA prior to being marketed in the United States. Manufacturers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biologics may also be subject to state and local regulation. The steps required before a biologic may be marketed in the United States generally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studies, animal studies and formulation studies, performed in accordance with the FDA’s good laboratory practices (“GLP”) requirements, and applicable requirements for the humane use of laboratory animals or other applicable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application for an IND, which must become effective before human clinical trials may commence;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protocol and related documentation by an independent IRB or ethics committee at each clinical trial site before each trial may be initiated at the site;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FDA of a BLA for marketing approval that includes sufficient evidence of establishing the safety, efficacy, purity, and potency of the proposed biological product for its intended indication, including from results of nonclinical testing and clinical trials;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by the FDA within 60 days of its receipt of a BLA to accept and file the application;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pre-license inspection of the manufacturing facility or facilities where the biological product is produced to assess compliance with cGMPs to assure that the facilities, methods and controls are adequate to preserve the biological product’s identity, strength, quality and purity;</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meeting, if applicable;</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FDA audit of the preclinical study and clinical trial sites that generated the data in support of the BLA;</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user fees for FDA review of the BLA (unless a fee waiver applies);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or licensure, of the BLA to permit commercial marketing of the product for particular indications for use in the United States.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Preclinical Studies and the IND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preclinical studies must comply with federal regulations and requirements, including, as applicable, GLP and the Animal Welfare Act. Prior to commencing an initial clinical trial in humans with a product candidate in the United States, an IND must be submitted to the FDA, and the FDA must allow the IND to proceed. An IND is an exemption from the FDCA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commence. Once submitted, the IND automatically becomes effective 30 days after receipt by the FDA, unless the FDA places the IND on a full or partial clinical hold within that 30-day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Clinical trials involve the administration of the product candidate to healthy volunteers or participants under the supervision of qualified investigators. Clinical trials are subject to extensive regulation and must be conducted in compliance with (i) federal regulations, (ii) GCP standards, which set safeguards to protect the rights and health of participants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participant must be obtained before participation in the clinical trial may begin.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participant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participants.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Clinical development for a product candidate is generally divided into three phases. Although the phases are usually conducted sequentially, they may overlap or be combined. The three phases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1.</w:t>
            </w:r>
            <w:r>
              <w:rPr>
                <w:caps w:val="false"/>
                <w:smallCaps w:val="false"/>
              </w:rPr>
              <w:t xml:space="preserve"> </w:t>
            </w:r>
            <w:r>
              <w:rPr>
                <w:rFonts w:ascii="Times New Roman;Times;serif" w:hAnsi="Times New Roman;Times;serif"/>
                <w:b w:val="false"/>
                <w:i w:val="false"/>
                <w:caps w:val="false"/>
                <w:smallCaps w:val="false"/>
                <w:sz w:val="20"/>
              </w:rPr>
              <w:t>Phase 1 involves the initial introduction of a product candidate into humans. Phase 1 clinical trials are typically conducted in healthy volunteers, but in some situations are conducted in participants with the target disease or condition. These clinical trials are generally designed to evaluate the safety, metabolism,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2.</w:t>
            </w:r>
            <w:r>
              <w:rPr>
                <w:caps w:val="false"/>
                <w:smallCaps w:val="false"/>
              </w:rPr>
              <w:t xml:space="preserve"> </w:t>
            </w:r>
            <w:r>
              <w:rPr>
                <w:rFonts w:ascii="Times New Roman;Times;serif" w:hAnsi="Times New Roman;Times;serif"/>
                <w:b w:val="false"/>
                <w:i w:val="false"/>
                <w:caps w:val="false"/>
                <w:smallCaps w:val="false"/>
                <w:sz w:val="20"/>
              </w:rPr>
              <w:t>Phase 2 includes the controlled clinical trials conducted to obtain initial evidence of effectiveness of the product candidate for a particular indication(s) in participants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Phase 3.</w:t>
            </w:r>
            <w:r>
              <w:rPr>
                <w:caps w:val="false"/>
                <w:smallCaps w:val="false"/>
              </w:rPr>
              <w:t xml:space="preserve"> </w:t>
            </w:r>
            <w:r>
              <w:rPr>
                <w:rFonts w:ascii="Times New Roman;Times;serif" w:hAnsi="Times New Roman;Times;serif"/>
                <w:b w:val="false"/>
                <w:i w:val="false"/>
                <w:caps w:val="false"/>
                <w:smallCaps w:val="false"/>
                <w:sz w:val="20"/>
              </w:rPr>
              <w:t>Phase 3 clinical trials are clinical trials conducted in an expanded patient population at geographically dispersed clinical trial sites. They 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 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 Concurrent with clinical trials, companies usually complete additional animal studies and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which is an independent group of qualified experts organized by the trial sponsor to evaluate at designated points in time whether a trial may move forward and/or should be modified. These decisions are based on unblinded access to data from the ongoing trial and generally involve determinations regarding the benefit-risk ratio for study patients and the scientific integrity and validity of the clinical trial. In addition, there are requirements for the registration of certain clinical trials of product candidates on public registries, such as www.clinicaltrials.gov, and the submission of certain information pertaining to these trials, including clinical trial results, after trial completion.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Biologics License Applications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alternative sources. To support marketing approval, the data submitted must be sufficient in quality and quantity to establish the safety and effectiveness of the product candidate to the satisfaction of the FDA.</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Under the Prescription Drug User Fee Act, as amended, (“PDUFA”)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Before approving a BLA, the FDA will inspect the facilities at which the product is manufactured or the facilities that are significantly involved in the product development and distribution process. The FDA will not approve the product candidate unless cGMP compliance is satisfactory and the manufacturing processes and facilities are adequate to assure consistent production of the product within required specifications. Additionally, before approving, the FDA will typically inspect one or more clinical sites to assure compliance with GCP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 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for the FDA to reconsider the application.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BLA does not satisfy the regulatory criteria for approval and deny approval of a resubmitted application. FDA approval of any application may include many delays or may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safety, purity, or potency, which can be costly.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to some of the conditions established in an approved application, including changes in indications, labeling, or manufacturing processes or facilities, require submission and FDA approval of a new BLA and/or a supplemental BLA (“sBLA”) before the change can be implemented. An sBLA for a new indication typically requires clinical data similar to that in the original application, and the FDA generally uses the same procedures and actions in reviewing an sBLA as it does in reviewing a new BLA. 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new legislation, may be established that could delay or prevent regulatory approval of our product candidates under development or affect our ability to maintain product approvals we have obtained.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Market Exclusivity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Biologics Price Competition and Innovation Act of 2009 (“BPCIA”), created an abbreviated approval pathway for biological products shown to be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Post-Approval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w:t>
      </w:r>
      <w:r>
        <w:rPr>
          <w:rFonts w:ascii="Times New Roman;Times;serif" w:hAnsi="Times New Roman;Times;serif"/>
          <w:sz w:val="24"/>
        </w:rPr>
        <w:t>o</w:t>
      </w:r>
      <w:r>
        <w:rPr>
          <w:rFonts w:ascii="Times New Roman;Times;serif" w:hAnsi="Times New Roman;Times;serif"/>
          <w:sz w:val="20"/>
        </w:rPr>
        <w:t>n and quality control to maintain compliance with cGMP and other aspects of regulatory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production and quality control to maintain cGMP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Newly discovered or developed safety or effectiveness data may require changes to a product’s approved labeling, including the addition of new warnings and contraindications, and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in the European Union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Review and Approval Process in the EU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 medicinal products can only be commercialized after a related marketing authorization (“MA”), has been granted. To obtain an MA for a product in the EU, an applicant must submit a Marketing Authorization Application (“MA Application”), either under a centralized procedure administered by the EMA, or one of the procedures administered by the competent authorities of EU Member States (decentralized procedure, national procedure or mutual recognition procedure). An MA may be granted only to an applicant established in the EU.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centralized procedure provides for the grant of a single MA by the European Commission that is valid throughout the European Economic Area (“EEA”) (which is comprised of the 27 EU Member States plus Iceland, Liechtenstein and Norway). Pursuant to Regulation (EC) No 726/2004, the centralized procedure is compulsory for specific products, including for (i) medicinal products derived from biotechnological processes, (ii) products designated as orphan medicinal products, (iii) advanced therapy medicinal products,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 The maximum timeframe for the evaluation of an MA Application under the centralized procedure is 210 days, excluding clock stops when additional information or written or oral explanation is to be provided by the applicant in response to questions of the CHMP.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Agencies’ Coordination Group for Mutual Recognition and Decentralised Procedures – Human for review. The subsequent decision of the European Commission is binding on all EU Member States.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United States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 Application assessment once a dossier has been submitted.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Post-authorization Requirements in the EU</w:t>
      </w:r>
    </w:p>
    <w:p>
      <w:pPr>
        <w:pStyle w:val="TextBody"/>
        <w:bidi w:val="0"/>
        <w:spacing w:before="0" w:after="240"/>
        <w:ind w:left="0" w:right="0" w:firstLine="720"/>
        <w:jc w:val="both"/>
        <w:rPr>
          <w:rFonts w:ascii="Times New Roman;Times;serif" w:hAnsi="Times New Roman;Times;serif"/>
          <w:color w:val="231F20"/>
          <w:sz w:val="20"/>
        </w:rPr>
      </w:pPr>
      <w:r>
        <w:rPr>
          <w:rFonts w:ascii="Times New Roman;Times;serif" w:hAnsi="Times New Roman;Times;serif"/>
          <w:color w:val="231F20"/>
          <w:sz w:val="20"/>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w:t>
      </w:r>
    </w:p>
    <w:p>
      <w:pPr>
        <w:pStyle w:val="TextBody"/>
        <w:bidi w:val="0"/>
        <w:spacing w:before="0" w:after="240"/>
        <w:ind w:left="0" w:right="0" w:firstLine="720"/>
        <w:jc w:val="both"/>
        <w:rPr>
          <w:rFonts w:ascii="Times New Roman;Times;serif" w:hAnsi="Times New Roman;Times;serif"/>
          <w:color w:val="231F20"/>
          <w:sz w:val="20"/>
        </w:rPr>
      </w:pPr>
      <w:r>
        <w:rPr>
          <w:rFonts w:ascii="Times New Roman;Times;serif" w:hAnsi="Times New Roman;Times;serif"/>
          <w:color w:val="231F20"/>
          <w:sz w:val="20"/>
        </w:rPr>
        <w:t>All new MA Applications must include a risk management plan,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periodic safety update reports, or the conduct of additional clinical trials or post-authorization safety studies.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color w:val="231F20"/>
          <w:sz w:val="20"/>
        </w:rPr>
        <w:t>In</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EU,</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advertising</w:t>
      </w:r>
      <w:r>
        <w:rPr>
          <w:rFonts w:ascii="Times New Roman;Times;serif" w:hAnsi="Times New Roman;Times;serif"/>
          <w:color w:val="231F20"/>
          <w:spacing w:val="-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7"/>
          <w:sz w:val="20"/>
        </w:rPr>
        <w:t xml:space="preserve"> </w:t>
      </w:r>
      <w:r>
        <w:rPr>
          <w:rFonts w:ascii="Times New Roman;Times;serif" w:hAnsi="Times New Roman;Times;serif"/>
          <w:color w:val="231F20"/>
          <w:sz w:val="20"/>
        </w:rPr>
        <w:t>promotion</w:t>
      </w:r>
      <w:r>
        <w:rPr>
          <w:rFonts w:ascii="Times New Roman;Times;serif" w:hAnsi="Times New Roman;Times;serif"/>
          <w:color w:val="231F20"/>
          <w:spacing w:val="-20"/>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medicinal</w:t>
      </w:r>
      <w:r>
        <w:rPr>
          <w:rFonts w:ascii="Times New Roman;Times;serif" w:hAnsi="Times New Roman;Times;serif"/>
          <w:color w:val="231F20"/>
          <w:spacing w:val="-19"/>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16"/>
          <w:sz w:val="20"/>
        </w:rPr>
        <w:t xml:space="preserve"> </w:t>
      </w:r>
      <w:r>
        <w:rPr>
          <w:rFonts w:ascii="Times New Roman;Times;serif" w:hAnsi="Times New Roman;Times;serif"/>
          <w:color w:val="231F20"/>
          <w:sz w:val="20"/>
        </w:rPr>
        <w:t>are</w:t>
      </w:r>
      <w:r>
        <w:rPr>
          <w:rFonts w:ascii="Times New Roman;Times;serif" w:hAnsi="Times New Roman;Times;serif"/>
          <w:color w:val="231F20"/>
          <w:spacing w:val="-6"/>
          <w:sz w:val="20"/>
        </w:rPr>
        <w:t xml:space="preserve"> </w:t>
      </w:r>
      <w:r>
        <w:rPr>
          <w:rFonts w:ascii="Times New Roman;Times;serif" w:hAnsi="Times New Roman;Times;serif"/>
          <w:color w:val="231F20"/>
          <w:sz w:val="20"/>
        </w:rPr>
        <w:t>subject</w:t>
      </w:r>
      <w:r>
        <w:rPr>
          <w:rFonts w:ascii="Times New Roman;Times;serif" w:hAnsi="Times New Roman;Times;serif"/>
          <w:color w:val="231F20"/>
          <w:spacing w:val="-13"/>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both</w:t>
      </w:r>
      <w:r>
        <w:rPr>
          <w:rFonts w:ascii="Times New Roman;Times;serif" w:hAnsi="Times New Roman;Times;serif"/>
          <w:color w:val="231F20"/>
          <w:spacing w:val="-8"/>
          <w:sz w:val="20"/>
        </w:rPr>
        <w:t xml:space="preserve"> </w:t>
      </w:r>
      <w:r>
        <w:rPr>
          <w:rFonts w:ascii="Times New Roman;Times;serif" w:hAnsi="Times New Roman;Times;serif"/>
          <w:color w:val="231F20"/>
          <w:sz w:val="20"/>
        </w:rPr>
        <w:t>EU</w:t>
      </w:r>
      <w:r>
        <w:rPr>
          <w:rFonts w:ascii="Times New Roman;Times;serif" w:hAnsi="Times New Roman;Times;serif"/>
          <w:color w:val="231F20"/>
          <w:spacing w:val="-6"/>
          <w:sz w:val="20"/>
        </w:rPr>
        <w:t xml:space="preserve"> </w:t>
      </w:r>
      <w:r>
        <w:rPr>
          <w:rFonts w:ascii="Times New Roman;Times;serif" w:hAnsi="Times New Roman;Times;serif"/>
          <w:color w:val="231F20"/>
          <w:sz w:val="20"/>
        </w:rPr>
        <w:t>and</w:t>
      </w:r>
      <w:r>
        <w:rPr>
          <w:rFonts w:ascii="Times New Roman;Times;serif" w:hAnsi="Times New Roman;Times;serif"/>
          <w:color w:val="231F20"/>
          <w:spacing w:val="-7"/>
          <w:sz w:val="20"/>
        </w:rPr>
        <w:t xml:space="preserve"> </w:t>
      </w:r>
      <w:r>
        <w:rPr>
          <w:rFonts w:ascii="Times New Roman;Times;serif" w:hAnsi="Times New Roman;Times;serif"/>
          <w:color w:val="231F20"/>
          <w:sz w:val="20"/>
        </w:rPr>
        <w:t>EU</w:t>
      </w:r>
      <w:r>
        <w:rPr>
          <w:rFonts w:ascii="Times New Roman;Times;serif" w:hAnsi="Times New Roman;Times;serif"/>
          <w:color w:val="231F20"/>
          <w:spacing w:val="-6"/>
          <w:sz w:val="20"/>
        </w:rPr>
        <w:t xml:space="preserve"> </w:t>
      </w:r>
      <w:r>
        <w:rPr>
          <w:rFonts w:ascii="Times New Roman;Times;serif" w:hAnsi="Times New Roman;Times;serif"/>
          <w:color w:val="231F20"/>
          <w:sz w:val="20"/>
        </w:rPr>
        <w:t>Member</w:t>
      </w:r>
      <w:r>
        <w:rPr>
          <w:rFonts w:ascii="Times New Roman;Times;serif" w:hAnsi="Times New Roman;Times;serif"/>
          <w:color w:val="231F20"/>
          <w:spacing w:val="-16"/>
          <w:sz w:val="20"/>
        </w:rPr>
        <w:t xml:space="preserve"> </w:t>
      </w:r>
      <w:r>
        <w:rPr>
          <w:rFonts w:ascii="Times New Roman;Times;serif" w:hAnsi="Times New Roman;Times;serif"/>
          <w:color w:val="231F20"/>
          <w:sz w:val="20"/>
        </w:rPr>
        <w:t>States’</w:t>
      </w:r>
      <w:r>
        <w:rPr>
          <w:rFonts w:ascii="Times New Roman;Times;serif" w:hAnsi="Times New Roman;Times;serif"/>
          <w:color w:val="231F20"/>
          <w:spacing w:val="-14"/>
          <w:sz w:val="20"/>
        </w:rPr>
        <w:t xml:space="preserve"> </w:t>
      </w:r>
      <w:r>
        <w:rPr>
          <w:rFonts w:ascii="Times New Roman;Times;serif" w:hAnsi="Times New Roman;Times;serif"/>
          <w:color w:val="231F20"/>
          <w:sz w:val="20"/>
        </w:rPr>
        <w:t>laws governing</w:t>
      </w:r>
      <w:r>
        <w:rPr>
          <w:rFonts w:ascii="Times New Roman;Times;serif" w:hAnsi="Times New Roman;Times;serif"/>
          <w:color w:val="231F20"/>
          <w:spacing w:val="-18"/>
          <w:sz w:val="20"/>
        </w:rPr>
        <w:t xml:space="preserve"> </w:t>
      </w:r>
      <w:r>
        <w:rPr>
          <w:rFonts w:ascii="Times New Roman;Times;serif" w:hAnsi="Times New Roman;Times;serif"/>
          <w:color w:val="231F20"/>
          <w:sz w:val="20"/>
        </w:rPr>
        <w:t>promotion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5"/>
          <w:sz w:val="20"/>
        </w:rPr>
        <w:t xml:space="preserve"> </w:t>
      </w:r>
      <w:r>
        <w:rPr>
          <w:rFonts w:ascii="Times New Roman;Times;serif" w:hAnsi="Times New Roman;Times;serif"/>
          <w:color w:val="231F20"/>
          <w:sz w:val="20"/>
        </w:rPr>
        <w:t>medicinal</w:t>
      </w:r>
      <w:r>
        <w:rPr>
          <w:rFonts w:ascii="Times New Roman;Times;serif" w:hAnsi="Times New Roman;Times;serif"/>
          <w:color w:val="231F20"/>
          <w:spacing w:val="-19"/>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17"/>
          <w:sz w:val="20"/>
        </w:rPr>
        <w:t xml:space="preserve"> </w:t>
      </w:r>
      <w:r>
        <w:rPr>
          <w:rFonts w:ascii="Times New Roman;Times;serif" w:hAnsi="Times New Roman;Times;serif"/>
          <w:color w:val="231F20"/>
          <w:sz w:val="20"/>
        </w:rPr>
        <w:t>interactions</w:t>
      </w:r>
      <w:r>
        <w:rPr>
          <w:rFonts w:ascii="Times New Roman;Times;serif" w:hAnsi="Times New Roman;Times;serif"/>
          <w:color w:val="231F20"/>
          <w:spacing w:val="-3"/>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9"/>
          <w:sz w:val="20"/>
        </w:rPr>
        <w:t xml:space="preserve"> </w:t>
      </w:r>
      <w:r>
        <w:rPr>
          <w:rFonts w:ascii="Times New Roman;Times;serif" w:hAnsi="Times New Roman;Times;serif"/>
          <w:color w:val="231F20"/>
          <w:sz w:val="20"/>
        </w:rPr>
        <w:t>physicians</w:t>
      </w:r>
      <w:r>
        <w:rPr>
          <w:rFonts w:ascii="Times New Roman;Times;serif" w:hAnsi="Times New Roman;Times;serif"/>
          <w:color w:val="231F20"/>
          <w:spacing w:val="-1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0"/>
          <w:sz w:val="20"/>
        </w:rPr>
        <w:t xml:space="preserve"> </w:t>
      </w:r>
      <w:r>
        <w:rPr>
          <w:rFonts w:ascii="Times New Roman;Times;serif" w:hAnsi="Times New Roman;Times;serif"/>
          <w:color w:val="231F20"/>
          <w:sz w:val="20"/>
        </w:rPr>
        <w:t>healthcare</w:t>
      </w:r>
      <w:r>
        <w:rPr>
          <w:rFonts w:ascii="Times New Roman;Times;serif" w:hAnsi="Times New Roman;Times;serif"/>
          <w:color w:val="231F20"/>
          <w:spacing w:val="-18"/>
          <w:sz w:val="20"/>
        </w:rPr>
        <w:t xml:space="preserve"> </w:t>
      </w:r>
      <w:r>
        <w:rPr>
          <w:rFonts w:ascii="Times New Roman;Times;serif" w:hAnsi="Times New Roman;Times;serif"/>
          <w:color w:val="231F20"/>
          <w:sz w:val="20"/>
        </w:rPr>
        <w:t>professionals, misleading</w:t>
      </w:r>
      <w:r>
        <w:rPr>
          <w:rFonts w:ascii="Times New Roman;Times;serif" w:hAnsi="Times New Roman;Times;serif"/>
          <w:color w:val="231F20"/>
          <w:spacing w:val="-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7"/>
          <w:sz w:val="20"/>
        </w:rPr>
        <w:t xml:space="preserve"> </w:t>
      </w:r>
      <w:r>
        <w:rPr>
          <w:rFonts w:ascii="Times New Roman;Times;serif" w:hAnsi="Times New Roman;Times;serif"/>
          <w:color w:val="231F20"/>
          <w:sz w:val="20"/>
        </w:rPr>
        <w:t>comparative</w:t>
      </w:r>
      <w:r>
        <w:rPr>
          <w:rFonts w:ascii="Times New Roman;Times;serif" w:hAnsi="Times New Roman;Times;serif"/>
          <w:color w:val="231F20"/>
          <w:spacing w:val="-2"/>
          <w:sz w:val="20"/>
        </w:rPr>
        <w:t xml:space="preserve"> </w:t>
      </w:r>
      <w:r>
        <w:rPr>
          <w:rFonts w:ascii="Times New Roman;Times;serif" w:hAnsi="Times New Roman;Times;serif"/>
          <w:color w:val="231F20"/>
          <w:sz w:val="20"/>
        </w:rPr>
        <w:t>advertising</w:t>
      </w:r>
      <w:r>
        <w:rPr>
          <w:rFonts w:ascii="Times New Roman;Times;serif" w:hAnsi="Times New Roman;Times;serif"/>
          <w:color w:val="231F20"/>
          <w:spacing w:val="-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7"/>
          <w:sz w:val="20"/>
        </w:rPr>
        <w:t xml:space="preserve"> </w:t>
      </w:r>
      <w:r>
        <w:rPr>
          <w:rFonts w:ascii="Times New Roman;Times;serif" w:hAnsi="Times New Roman;Times;serif"/>
          <w:color w:val="231F20"/>
          <w:sz w:val="20"/>
        </w:rPr>
        <w:t>unfair</w:t>
      </w:r>
      <w:r>
        <w:rPr>
          <w:rFonts w:ascii="Times New Roman;Times;serif" w:hAnsi="Times New Roman;Times;serif"/>
          <w:color w:val="231F20"/>
          <w:spacing w:val="-12"/>
          <w:sz w:val="20"/>
        </w:rPr>
        <w:t xml:space="preserve"> </w:t>
      </w:r>
      <w:r>
        <w:rPr>
          <w:rFonts w:ascii="Times New Roman;Times;serif" w:hAnsi="Times New Roman;Times;serif"/>
          <w:color w:val="231F20"/>
          <w:sz w:val="20"/>
        </w:rPr>
        <w:t>commercial</w:t>
      </w:r>
      <w:r>
        <w:rPr>
          <w:rFonts w:ascii="Times New Roman;Times;serif" w:hAnsi="Times New Roman;Times;serif"/>
          <w:color w:val="231F20"/>
          <w:spacing w:val="-2"/>
          <w:sz w:val="20"/>
        </w:rPr>
        <w:t xml:space="preserve"> </w:t>
      </w:r>
      <w:r>
        <w:rPr>
          <w:rFonts w:ascii="Times New Roman;Times;serif" w:hAnsi="Times New Roman;Times;serif"/>
          <w:color w:val="231F20"/>
          <w:sz w:val="20"/>
        </w:rPr>
        <w:t>practices.</w:t>
      </w:r>
      <w:r>
        <w:rPr>
          <w:rFonts w:ascii="Times New Roman;Times;serif" w:hAnsi="Times New Roman;Times;serif"/>
          <w:color w:val="231F20"/>
          <w:spacing w:val="-18"/>
          <w:sz w:val="20"/>
        </w:rPr>
        <w:t xml:space="preserve"> </w:t>
      </w:r>
      <w:r>
        <w:rPr>
          <w:rFonts w:ascii="Times New Roman;Times;serif" w:hAnsi="Times New Roman;Times;serif"/>
          <w:sz w:val="20"/>
        </w:rPr>
        <w:t xml:space="preserve">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medicinal product promotional materials and advertising comply with the product’s Summary of Product Characteristics (“SmPC”) and may require approval by the competent national authorities in connection with an MA. The SmPC is the document that provides information to physicians </w:t>
      </w:r>
      <w:r>
        <w:rPr>
          <w:rFonts w:ascii="Times New Roman;Times;serif" w:hAnsi="Times New Roman;Times;serif"/>
          <w:color w:val="231F20"/>
          <w:sz w:val="20"/>
        </w:rPr>
        <w:t>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0"/>
          <w:sz w:val="20"/>
        </w:rPr>
        <w:t xml:space="preserve"> </w:t>
      </w:r>
      <w:r>
        <w:rPr>
          <w:rFonts w:ascii="Times New Roman;Times;serif" w:hAnsi="Times New Roman;Times;serif"/>
          <w:color w:val="231F20"/>
          <w:sz w:val="20"/>
        </w:rPr>
        <w:t>healthcare</w:t>
      </w:r>
      <w:r>
        <w:rPr>
          <w:rFonts w:ascii="Times New Roman;Times;serif" w:hAnsi="Times New Roman;Times;serif"/>
          <w:color w:val="231F20"/>
          <w:spacing w:val="-18"/>
          <w:sz w:val="20"/>
        </w:rPr>
        <w:t xml:space="preserve"> </w:t>
      </w:r>
      <w:r>
        <w:rPr>
          <w:rFonts w:ascii="Times New Roman;Times;serif" w:hAnsi="Times New Roman;Times;serif"/>
          <w:color w:val="231F20"/>
          <w:sz w:val="20"/>
        </w:rPr>
        <w:t>professionals</w:t>
      </w:r>
      <w:r>
        <w:rPr>
          <w:rFonts w:ascii="Times New Roman;Times;serif" w:hAnsi="Times New Roman;Times;serif"/>
          <w:sz w:val="20"/>
        </w:rPr>
        <w:t xml:space="preserve"> concerning the safe and effective use of the product. Promotional activity that does not comply with the SmPC is considered off-label and is prohibited in the EU.</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Clinical Trials in the EU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Similarly to the United States, the various phases of non-clinical and clinical research in the EU are subject to significant regulatory controls.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 clinical trials are governed by the Clinical Trials Regulation (EU) No 536/2014 (“CTR”), which entered into application on January 31, 2022, repealing and replacing the former Clinical Trials Directive 2001/20.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three-year transition period ended on January 31, 2025. Since this date, all new or ongoing trials are subject to the provisions of the CTR.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Health Care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Health care providers, including physicians,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(“HITECH”),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false statements statute, which prohibits knowingly and willfully falsifying, concealing or covering up a material fact or making any materially false statement in connection with the delivery of or payment for health care benefits, items or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Corrupt Practices Act which prohibits companies and their intermediaries from making, or offering or promising to make improper payments to non-U.S. officials for the purpose of obtaining or retaining business or otherwise seeking favorable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transparency requirements known as the federal Physician Payments Sunshine Act, enacted as part of the Patient Protection and Affordable Health Care Act, as amended by the Health Care and Education Reconciliation Act (collectively, the “ACA”),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which may apply to health care items or services that are reimbursed by non-government third-party payors, including private insurers.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Violations of such laws may result in significant penalties, including criminal, civil and administrative penalties, damages, fines, disgorgement, imprisonment, exclusion from participation in government healthcare programs, contractual damages, reputational harm, integrity oversight and reporting obligations, diminished profits and future earnings, and the curtailment or restructuring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Pharmaceutical Insurance Coverage and Health Care Reform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For example, the U.S. Department of Health and Human Services (“HHS”), imposes rebates on many Medicare Part B and Medicare Part D products to penalize price increases that outpace inflation on an annual basis. HHS has also been empowered to negotiate the price of certain single-source biologics that have been on the market for at least eleven years covered under Medicare as part of the Medicare Drug Price Negotiation Program. Each year up to twenty products will be selected by HHS for the Medicare Drug Price Negotiation Program. Products subject to the Medicare Drug Price Negotiation Program are expected to experience a significant reduction in reimbursement from the Medicare program on a per unit basis.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2010, the United States Congress enacted the ACA, which, among other things, included changes to the coverage and payment for drug products under government health care programs.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There have been judicial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legislative changes have been proposed and adopted in the United States since the ACA was enacted. These changes include aggregate reductions to Medicare payments to providers of 2% per fiscal year, which began in 2013 and will remain in effect until 2032 unless additional Congressional action is taken.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that additional state, federal and foreign healthcare reform measures will be adopted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 Patent Term Restoration and Marketing Exclusivity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Depending upon the timing, duration, and specifics of the FDA approval of a biological product, some of a sponsor’s U.S. patents may be eligible for limited patent term extension under the Hatch-Waxman Act.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composed of a “testing phase” and a “review phase” (also referred to as an “approval phase”). The testing phase begins on the effective date of an IND and ends on the date a BLA or a New Drug Application (“NDA”) is initially submitted to FDA. The review phase is the period between the initial submission of the BLA or NDA and approval. The term of a patent may be extended for a period of time that is the sum of one-half of the time in the testing phase, plus all the time in the review phase, and minus any of the regulatory review period that occurs prior to the patent grant or where the sponsor did not act with due diligence.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Patent and Trademark Office (“USPTO”), in consultation with the FDA, reviews and approves the application for any patent term extension or restoration. In the future, where possible we intend to apply for restoration of patent term for a patent covering the ZB Assets to add, if possible, patent life beyond its current expiration date. The ability to do this will depend on the length of the clinical trials and other factors involved in the filing of the relevant BLA.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Similar provisions for supplementary protection to compensate applicants for regulatory delays also exist in a number of territories, including Europe and Japan. Where possible we intend to apply for supplementary protection for the ZB Assets.</w:t>
      </w:r>
    </w:p>
    <w:p>
      <w:pPr>
        <w:pStyle w:val="TextBody"/>
        <w:bidi w:val="0"/>
        <w:spacing w:before="0" w:after="240"/>
        <w:ind w:left="0" w:right="0" w:hanging="0"/>
        <w:jc w:val="left"/>
        <w:rPr>
          <w:rFonts w:ascii="Times New Roman;Times;serif" w:hAnsi="Times New Roman;Times;serif"/>
          <w:b/>
          <w:sz w:val="20"/>
        </w:rPr>
      </w:pPr>
      <w:bookmarkStart w:id="64" w:name="DataandMarketExclusivity_890137"/>
      <w:bookmarkEnd w:id="64"/>
      <w:r>
        <w:rPr>
          <w:rFonts w:ascii="Times New Roman;Times;serif" w:hAnsi="Times New Roman;Times;serif"/>
          <w:b/>
          <w:sz w:val="20"/>
        </w:rPr>
        <w:t>Data and Market Exclusivity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ACA includes a subtitle called the BPCIA which created an abbreviated approval pathway for biological products shown to be biosimilar to, or interchangeable with, an FDA-licensed reference biological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present time, the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w:t>
      </w:r>
    </w:p>
    <w:p>
      <w:pPr>
        <w:pStyle w:val="TextBody"/>
        <w:bidi w:val="0"/>
        <w:spacing w:before="0" w:after="240"/>
        <w:ind w:left="0" w:right="0" w:firstLine="720"/>
        <w:jc w:val="both"/>
        <w:rPr/>
      </w:pPr>
      <w:r>
        <w:rPr/>
        <w:t>“</w:t>
      </w:r>
      <w:r>
        <w:rPr>
          <w:rFonts w:ascii="Times New Roman;Times;serif" w:hAnsi="Times New Roman;Times;serif"/>
          <w:sz w:val="20"/>
        </w:rPr>
        <w:t>First licensure” typically means the initial date the particular product at issue was licensed in the United States. The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EEA, upon receiving marketing authorization,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EEA, during a period of eight years from the date on which the reference product was first authorized in the EEA.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There is no guarantee that a product will be considered by the EMA to be an innovative medicinal product, and products may not qualify for data exclusivity.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Another company may market another version of the product if such company obtained a marketing authorization based on a Marketing Authorization Application with a completely independent data package of pharmaceutical tests, preclinical tests and clinical trials.</w:t>
      </w:r>
    </w:p>
    <w:p>
      <w:pPr>
        <w:pStyle w:val="TextBody"/>
        <w:bidi w:val="0"/>
        <w:spacing w:before="0" w:after="240"/>
        <w:ind w:left="0" w:right="0" w:hanging="0"/>
        <w:jc w:val="left"/>
        <w:rPr>
          <w:rFonts w:ascii="Times New Roman;Times;serif" w:hAnsi="Times New Roman;Times;serif"/>
          <w:b/>
          <w:sz w:val="20"/>
        </w:rPr>
      </w:pPr>
      <w:bookmarkStart w:id="65" w:name="PediatricDevelopment_340202"/>
      <w:bookmarkEnd w:id="65"/>
      <w:r>
        <w:rPr>
          <w:rFonts w:ascii="Times New Roman;Times;serif" w:hAnsi="Times New Roman;Times;serif"/>
          <w:b/>
          <w:sz w:val="20"/>
        </w:rPr>
        <w:t>Pediatric Development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 biological product can obtain pediatric market exclusivity in the United States. Pediatric exclusivity, if granted, adds six months to existing exclusivity periods, including some regulatory exclusivity periods. This six-month exclusivity, which runs from the end of other exclusivity protection or patent term, may be granted based on the voluntary completion of a pediatric study in accordance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an FDA-issued “Written Request” for such a study. Similar provisions are also available in other territories, such as Europe. In the EEA, companies developing a new medicinal product must agree upon a Pediatric Investigation Plan (“PIP”), with the EMA’s pediatric committee (“PDCO”), and must conduct pediatric clinical trials in accordance with that PIP, unless a waiver applies (e.g., because the relevant disease or condition occurs only in adults). The PIP sets out the timing and measures proposed to generate data to support a pediatric indication of the drug for which marketing authorization is being sought.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Products that are granted a marketing authorization with the results of the pediatric clinical trials conducted in accordance with the PIP are eligible for a six-month extension of the protection under a supplementary protection certificate (if any is in effect at the time of approval)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0" w:after="240"/>
        <w:ind w:left="0" w:right="0" w:hanging="0"/>
        <w:jc w:val="left"/>
        <w:rPr>
          <w:rFonts w:ascii="Times New Roman;Times;serif" w:hAnsi="Times New Roman;Times;serif"/>
          <w:b/>
          <w:sz w:val="20"/>
        </w:rPr>
      </w:pPr>
      <w:bookmarkStart w:id="66" w:name="Competition_966112"/>
      <w:bookmarkEnd w:id="66"/>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development and commercialization of product candidates in the biopharmaceutical industry are highly competitive and are subject to technological advancements resulting in numerous assets within drug classes. The immunology market is characterized by strong and increasing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competitive landscape encompasses a spectrum of entities, ranging from startups to large-cap biopharmaceutical, specialty pharmaceutical, and biotechnology companies. These competitors are dedicated to developing diverse therapeutic modalities tailored for autoimmune diseases, including small molecules, antibodies, and cell therapy. We believe the key competitive factors that will affect the development and commercial success of the ZB Assets and any future product candidates include safety and efficacy, reliability, dosing and administration convenience, scope of marketing approval and marketing efforts, successful protection of intellectual property, reimbursement, and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 number of large companies that currently market products or are pursuing the development of product candidates for the treatment of the indications that we are pursuing. More established companies may have a competitive advantage over us due to their greater size, resources, and institutional experience. These companies have greater experience and expertise in securing reimbursement, government contracts, relationships with key opinion leaders, conducting testing and clinical trials, obtaining and maintaining regulatory approvals and distribution relationships to market products, and marketing approved drugs. In addition, many of these companies have significantly greater financial resources and research, development and marketing capabilities than we do.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competitors may also have products in similar or more advanced stages of development and may have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potential competitors include academic institutions, government agencies, and public and private entities conducting research and seeking patent protection for alternative approaches to modulating inflammatory pathways.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drugs, non-pharmaceutical therapies, and alternative approaches to indications we may pursue for our drug candidates may compete with us both in the United States and elsewhere in the world. In addition, competition may also arise from off-label use of products approved for other indications, products accessed through gray markets, or product candidates available through clinical trials or expanded access.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Tibulizumab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approved, tibulizumab would compete with currently available therapies and emerging product candidates in the indications we are pursuing.</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Hidradenitis Suppurativa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HS, three biologic therapies have been approved in the United States and certain other major markets for the treatment of moderate to severe HS in adults: HUMIRA® (adalimumab), COSENTYX® (secukinumab), and BIMZELX® (bimekizumab-bkzx). These agents target tumor necrosis factor alpha (“TNFα”) or the interleukin-17 (“IL-17”) pathway.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 product candidates are in clinical development for HS, including therapies targeting the IL-17 pathway, agents modulating B cell signaling (including BTK inhibitors), therapies targeting interleukin</w:t>
        <w:noBreakHyphen/>
        <w:t>1 (“IL</w:t>
        <w:noBreakHyphen/>
        <w:t>1”) signaling, Janus kinase (“JAK”) pathways, and components of the complement system, as well as multi-pathway strategies such as bispecific antibodies and dual antagonists. Given the heterogeneous and multifactorial nature of HS, multiple approaches aimed at modulating inflammatory pathways are under investigation.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Systemic Sclerosis and SSc-Associated Interstitial Lung Disease (“SSc-ILD”)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SSc and SSc-ILD, currently utilized therapies include immunosuppressive agents and biologics such as methotrexate, mycophenolate mofetil, BENLYSTA® (belimumab), UPLIZNA® (inebilizumab-cdon), and RITUXAN® (rituximab), among others.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OFEV® (nintedanib) and ACTEMRA® (tocilizumab) have been approved in the United States and certain other major markets to slow the decline in lung function associated with SSc-ILD. Multiple additional product candidates are in development for SSc and/or SSc-ILD, including agents targeting fibrosis, inflammation, and immune-mediated pathways.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Crebankitug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crebankitug is approved, it may face competition from companies developing therapies targeting the IL-7, and/or TSLP pathways, as well as other approaches aimed at modulating T cell activation and immune homeostasis. Certain IL-7 receptor antagonists and TSLP-targeting agents are in clinical development, and at least one TSLP-targeting antibody has been approved in other inflammatory indications. Additional emerging therapies targeting related immune pathways may also compete in the indications we may pursue.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Torudokimab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torudokimab is approved, competition may arise from various companies and partnerships actively engaged in clinical studies targeting IL-33 or the IL-33/ST2 signaling pathway.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 and Culture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global team, headquartered in Henderson, Nevada, comprises highly experienced members who have actively participated in research and development, including drug development, commercialization, business development, capital formation, and investor engagement across various industries.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had 40 full-time employees. None of our employees are represented by a labor union.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future success depends upon our continued ability to attract and retain highly skilled employees. We provide competitive salaries and bonuses, opportunities for equity ownership, and an employment package that promotes well-being, including health care and retirement planning. As part of our promotion and retention efforts, we also invest in ongoing employee development.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currently a party to any material legal proceedings. In the ordinary course of business, we are subject to legal proceedings, claims, and litigation.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Implications of Being an Emerging Growth Company and a Smaller Reporting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“emerging growth company” as defined in Section 2(a)(19) of the Securities Act, as modified by the Jumpstart Our Business Startups Act of 2012 (the “JOBS Act”). As such, we are eligible for and intend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of 2002 (the “Sarbanes-Oxley Act”), (ii) the exemptions from say-on-pay, say-on-frequency and say-on-golden parachute voting requirements and (iii) reduced disclosure obligations regarding executive compensation in our periodic reports and proxy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remain an emerging growth company until the earlier of: (i) December 31, 2026, (ii) the last day of the fiscal year in which we have more than $1.235 billion in total annual gross revenue, or (iii) the date on which we are deemed to be a “large accelerated filer” under the Securities Exchange Act of 1934, as amended (the “Exchange Act”), which would occur if the market value of our common equity held by non-affiliates exceeds $700.0 million as of the last business day of our most recently completed second fiscal quarter; or (iv) the date on which we have issued more than $1.0 billion in non-convertible debt securities during the prior three-year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$250.0 million as of the prior June 30, or (ii) our annual revenues exceeded $100.0 million during such completed fiscal year and the market value of our ordinary shares held by non-affiliates exceeds $700.0 million as of the prior June 30.</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JATT Acquisition Corp (“JATT”) was a Cayman Islands exempted company initially incorporated under the laws of the Cayman Islands on March 10, 2021. JATT completed its initial public offering of 13,800,000 units of JATT consummated on July 13, 2021 and in the over-allotment closing on July 19, 2021, each of which consisted of one Class A ordinary share, par value $0.0001 per share, of JATT, and one-half of one redeemable warrant (the “IPO”). On March 20, 2023 (the “Closing Date”), we consummated a series of transactions (the “Business Combination”) contemplated by that certain Business Combination Agreement, dated June 16, 2022, as amended on September 20, 2022, November 14, 2022, and January 13, 2023 by and among Zura Bio Limited, a limited company incorporated under the laws of England and Wales (“Zura Bio UK”), JATT, JATT Merger Sub, a Cayman Islands exempted company and wholly owned subsidiary of JATT, JATT Merger Sub 2, a Cayman Islands exempted company and wholly owned subsidiary of JATT and Zura Bio Holdings Ltd, a Cayman Islands exempted company (the “Business Combination Agreement”), and JATT, as the registrant, changed its name to “Zura Bio Limited”.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file annual reports on Form 10-K, Quarterly Reports on Form 10-Q, Current Reports on Form 8-K, proxy statements and other information with the SEC. Our filings with the SEC are available on the SEC’s website at www.sec.gov. We also maintain a website at http://www.zurabio.com. We make available, free of charge, in the Investor Relations section of our website, documents we file with or furnish to the SEC, including our annual reports on Form 10-K, Quarterly Reports on Form 10-Q, Current Reports on Form 8-K and any exhibits and amendments to those reports. We make this information available as soon as reasonably practicable after we electronically file such materials with, or furnish such information to, the SEC. The other information found on our website is not part of this or any other report we file with, or furnish to, the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use our website as a means of disclosing material non-public information and for complying with our disclosure obligations under Regulation Fair Disclosure promulgated by the SEC. These disclosures will be included on our website under the “Investors” section.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 w:name="ITEM1ARISKFACTORS_657310"/>
      <w:bookmarkStart w:id="68" w:name="_d5857a35_76c5_4a48_a5e8_be36ea67163f"/>
      <w:bookmarkEnd w:id="67"/>
      <w:bookmarkEnd w:id="68"/>
      <w:r>
        <w:rPr>
          <w:rFonts w:ascii="Times New Roman;Times;serif" w:hAnsi="Times New Roman;Times;serif"/>
          <w:b/>
          <w:sz w:val="20"/>
        </w:rPr>
        <w:t>ITEM 1A. RISK FACTORS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Careful consideration should be given to the following risk factors, in addition to the other information set forth in this Annual Report and in other documents that we file with the SEC, in evaluating our business. Investing in our Class A Ordinary Shares involves a high degree of risk. If any of the following risks and uncertainties actually occurs, our business, prospects, financial condition and results of operations could be materially and adversely affected. The risks described below are not intended to be exhaustive and are not the only risks that we face. New risk factors can emerge from time to time, and it is not possible to predict the impact that any factor or combination of factors may have on our business, prospects, financial condition and results of operations.</w:t>
      </w:r>
    </w:p>
    <w:p>
      <w:pPr>
        <w:pStyle w:val="TextBody"/>
        <w:bidi w:val="0"/>
        <w:spacing w:before="0" w:after="240"/>
        <w:ind w:left="0" w:right="0" w:hanging="0"/>
        <w:jc w:val="left"/>
        <w:rPr>
          <w:rFonts w:ascii="Times New Roman;Times;serif" w:hAnsi="Times New Roman;Times;serif"/>
          <w:b/>
          <w:sz w:val="20"/>
        </w:rPr>
      </w:pPr>
      <w:bookmarkStart w:id="69" w:name="RisksRelatedtoOurLimitedOperatingHistory"/>
      <w:bookmarkEnd w:id="69"/>
      <w:r>
        <w:rPr>
          <w:rFonts w:ascii="Times New Roman;Times;serif" w:hAnsi="Times New Roman;Times;serif"/>
          <w:b/>
          <w:sz w:val="20"/>
        </w:rPr>
        <w:t>Risks Related to Our Limited Operating History, Financial Position and Capital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a limited operating history, have not completed any clinical trials, and have not taken a product through to commercialization.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clinical-stage company with a limited operating history. To be cash flow positive and viable, we must develop and eventually commercialize a product or products with significant market potential. This will require us to be successful in a range of challenging activities, including establishing our business model and key third-party relationships; completing preclinical studies and clinical trials of our product candidates; obtaining marketing approval for product candidates; manufacturing, marketing and selling those products for which we may obtain marketing approval; satisfying any post-marketing requirements; and otherwise monetizing products, for example by licensing or selling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products are not approved for commercial sale. Since our inception in January 2022, we have incurred significant operating losses and have utilized substantial resources to in-license and plan for development of the ZB Assets, organize and staff our company, and provide other general and administrative support. We have not completed clinical trials, including global late-stage clinical trials. As is widespread practice in the life sciences industry, we will engage third-party clinical trial organizations to conduct preclinical and clinical trials. We cannot be certain that our planned preclinical and clinical trials will begin or be completed on time or at all. Furthermore, we cannot be certain whether our planned preclinical studies and clinical trials will be on budget or have significant cost overruns. We cannot predict whether product candidates will have the desired activity in the clinical trials or whether any side effects will be tolerable. In addition, we have not yet demonstrated an ability to obtain marketing approvals, manufacture a product to commercial scale, or arrange for a third party to do so on our behalf, or conduct sales, marketing and distribution activities necessary for successful product commercialization.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generate revenue depends on a number of factors, including, but not limited to, our ability to arrange for third-party contractors to do the following with respect to our product candidates: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file and gain acceptance of investigational new drug applications to commence planned clinical trials or future clinical trials;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initiate preclinical studies and clinical trials;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enroll patients in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complete all safety and efficacy studies (preclinical and clinical) required to obtain U.S. and foreign regulatory approval;</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run additional clinical trials or other studies beyond those planned to support the approval and commercialization;</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appropriate human doses for clinical trials and commercial products;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manage the prevalence, duration, and severity of potential side effects or other safety issues, if any;</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positive readout from the clinical trials regarding therapeutic activity;</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demonstrate safety and efficacy to the satisfaction of the FDA, EMA, or similar foreign regulatory;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the timely receipt of necessary marketing approvals from the FDA, EMA, and similar foreign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sufficient volume and quality of clinical trial materials to enable the completion of our planned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manufacturing capabilities or make arrangements with contract manufacturers for future clinical supply and commercial manufacturing;</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commercial sales of our products, if and when approved, whether alone or in collaboration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acceptance of the products, if and when approved, by patients, the medical community, and third-party payors;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our products to effectively compete with other therapies;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coverage and adequate reimbursement for our products;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continued acceptable safety profile following approval;</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regulatory exclusivity;</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patent and trade secret protection; and</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 and defend our intellectual property rights and claims.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third parties may allege that they have intellectual property rights that could block our commercial activities and we may need to seek a license, which may not be available or may not be available at a reasonable price. We may also have a contractual dispute, such as a dispute related to patent inventorship or ownership, which may take significant resources, including the management team’s time, to resolve.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the uncertainties and risks associated with these activities, we are unable to accurately and precisely predict the timing and amount of revenues, if any, the extent of any further losses or if or when we might achieve profitability. Consequently, any predictions we make about our future success or viability may not be as accurate as they could be if we had a longer operating history or track record of relative success. We may never succeed in these activities and, even if we succeed in commercializing the ZB Assets, we may never generate revenue that is significant enough to justify the investment in development, achieve profitability or otherwise successfully monetize product candidates. If we do achieve profitability, we may not be able to sustain or increase profitability on a quarterly or annual basis and we may continue to incur substantial research and development and other expenditures to develop and market additional product candidates. Our failure to become and remain profitable or otherwise successfully monetize the products could decrease the value of our shares and impair our ability to raise capital, reduce or eliminate our research and development efforts, or prevent the expansion of our business, or discontinue our operations. Further, we may encounter unexpected expenses, challenges and complications from known and unknown factors such as a global pandemic.</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losses since inception, and we expect to incur significant losses for the foreseeable future and may not be able to achieve or sustain profitability in the future. We have not generated any revenue from the ZB Assets and may never generate revenue or become profitable.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Investment in biopharmaceutical product development is a highly speculative undertaking and entails substantial upfront costs and capital expenditures over a multi-year timeframe, and ultimately involve a risk that any product candidate will fail to demonstrate adequate efficacy or an acceptable safety profile, gain regulatory approval or become commercially viable. We have no products approved for commercial sale, we have not generated any revenue to date, and we continue to incur research and development and other expenses related to our ongoing operations. We may not generate product revenue unless or until we successfully complete clinical development and obtain regulatory approval from the FDA, EMA and similar foreign regulatory authorities of, and then successfully commercialize, the ZB Assets in one or more indications in one or more territories. We may never succeed in these activities and, even if we do, may never generate revenues that are significant enough to achieve profitability. If we are unable to raise further capital in the near-term, or partner with third parties that fund all or the vast majority of our costs and capital expenditures, then we may be unable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continue operations. We do not expect to generate sufficient revenue through any means to fully fund our operations in the near-term. We cannot assure you that any additional financing that we are able to raise would not have a dilutive impact on your ownership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incurred a net loss of $68.7 million for the fiscal year ended December 31, 2025. We expect to continue to incur significant losses for the foreseeable future. Even after finding a means to fund the foreseeable, and unforeseeable, costs to develop our product candidates, thereafter, the progress of our development, and the clinical results achieved, will affect, positively or negatively, the value of our company and accordingly our ability to raise capital. Favorable results may increase the value of the company, increasing our ability to raise capital. Unfavorable results are likely to decrease the value of the company and could impair our ability to raise more capital, which is necessary to maintain our research and development efforts, expand our business and/or continue our operations. A decline in the value of our company could also cause you to lose all or part of your investment.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recurring losses from operations and financial condition could raise substantial doubt about our ability to continue as a going concern.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fund our operations from existing proceeds as well as through the future sale of equity, debt, borrowing under credit facilities or through potential collaborations with other companies or other strategic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need to raise additional capital and are unable to do so, we could be forced to delay, reduce, suspend or cease our research and development programs or any future commercialization efforts, which would have a negative impact on our business, prospects, operating results and financial condition. In the future, in our own required quarterly assessments, we may conclude that there is a going concern, and future reports from our independent registered public accounting firm may also contain statements expressing substantial doubt about our ability to continue as a going concern.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raise capital when needed, or on acceptable terms, we may be forced to delay, reduce and/or eliminate one or more of our development programs or future commercialization efforts.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expenses to increase in connection with our ongoing activities, particularly as we conduct clinical trials of, and seek marketing approval from the FDA, EMA, and similar foreign regulatory authorities for, the ZB Assets. Even if one or more of the ZB Assets are approved for commercial sale, we anticipate incurring costs associated with sales, marketing, manufacturing and distribution activities to launch the ZB Assets. Our expenses could increase beyond expectations if we are required by the FDA, EMA or other regulatory agencies to perform preclinical studies or clinical trials in addition to those that we currently anticipate. Because the design and outcome of our planned and anticipated clinical trials are highly uncertain, we cannot reasonably estimate the actual amount of funding that will be necessary to successfully complete the development and commercialization of the ZB Assets. Our future capital requirements depend on many factors, including factors that are not within our control. Based on our current operating plan, and after giving effect to the completion of the February 2026 public offering, we believe our existing cash and cash equivalents, will be sufficient to fund our operations through at least the end of 2028. This estimate is based on assumptions that may prove to be wrong, and we could use our available capital resources sooner than we currently expect.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any committed external sources of funds and adequate additional financing may not be available to us on acceptable terms, or at all. We may be required to seek additional funds sooner than planned through public or private equity offerings, debt financing, collaborations and licensing arrangements or other sources. Such financing may dilute our shareholders or the failure to obtain such financing may restrict our operating activities. To the extent that we raise additional capital through the sale of equity or convertible debt securities, your ownership interest will be diluted, and the terms may include liquidation or other preferences and anti-dilution protections that adversely affect your rights as a shareholder. Debt financing may result in the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the ZB Assets, or grant licenses on terms that are not favorable to us. Our ability to raise additional capital may be adversely impacted by potential worsening global economic and political conditions and volatility in the credit and financial markets in the United States and worldwide.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Due to the significant resources required for the development of the ZB Assets, we must prioritize the pursuit of treatments for certain indications. We may expend our limited resources to pursue a particular indication and fail to capitalize on indications that may be more profitable or for which there is a greater likelihood of success.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develop treatments for patients with serious immune system disorders. Due to financial or other constraints, we may be required to limit the scope of our development plans. For example, we have prioritized and are currently conducting Phase 2 trials of tibulizumab in two indications, but have not initiated clinical trials for crebankitug or torudokimab. In the event that we are required to limit our development plans for one or more of the ZB Assets, we may be unable to initiate clinical trials with the same scope that we otherwise intended to pursue, or the geographies in which we initiate such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decisions concerning the allocation of research, development, collaboration, management, and financial resources toward particular indications may not lead to the development of any viable commercial product and may divert resources away from other opportunities (including other indications) that later prove to have greater commercial potential or a greater likelihood of success. Even if the primary endpoints of such trials are met for one or more of the ZB Assets, there is no guarantee that such findings will justify initiation of Phase 3 trials. Even if the ZB Assets successfully conclude Phase 3 and other necessary clinical trials, and thereafter receive(s) marketing approval, they may not achieve market acceptance or commercial success. If we do not accurately evaluate the commercial potential or target market for the ZB Assets, we may relinquish valuable rights through future collaboration, licensing, or other royalty arrangements in cases in which it would have been more advantageous for us to retain sole development and commercialization rights. We may make incorrect determinations regarding the viability or market potential of the ZB Assets or misread trends in our industry. Finally, our contractual obligations to make milestone payments to Pfizer and Lilly may impact our ability to fund the continued development of one or more of the ZB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in the future license additional assets, which may require us to expend additional resources and raise additional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execute additional transactions to add to our pipeline. We have not yet entered into any agreements for any such additional in-licensing transactions. In the event that we do enter into any additional in-license agreements, it is likely that we will need to expend additional resources and raise additional capital. The ability to do so,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fund our needs.</w:t>
      </w:r>
    </w:p>
    <w:p>
      <w:pPr>
        <w:pStyle w:val="TextBody"/>
        <w:bidi w:val="0"/>
        <w:spacing w:before="0" w:after="240"/>
        <w:ind w:left="0" w:right="0" w:hanging="0"/>
        <w:jc w:val="both"/>
        <w:rPr>
          <w:rFonts w:ascii="Times New Roman;Times;serif" w:hAnsi="Times New Roman;Times;serif"/>
          <w:b/>
          <w:sz w:val="20"/>
        </w:rPr>
      </w:pPr>
      <w:bookmarkStart w:id="70" w:name="RisksRelatedtoAnticipatedTimingofCommenc"/>
      <w:bookmarkEnd w:id="70"/>
      <w:r>
        <w:rPr>
          <w:rFonts w:ascii="Times New Roman;Times;serif" w:hAnsi="Times New Roman;Times;serif"/>
          <w:b/>
          <w:sz w:val="20"/>
        </w:rPr>
        <w:t>Risks Related to Anticipated Timing for Initiation, Enrollment, and Completion of Any Planned or Future Clinical Trials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initiate clinical trials if drug product is not timely available at clinical trial sites.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may not be able to initiate clinical trials if drug product is not timely available at clinical trial sites. We may not be able to initiate or continue clinical trials for our product candidates if we are unable to locate and enroll a sufficient number of eligible participants to participate in these trials to conclude as required by the FDA or foreign regulatory authorities. Additionally, certain clinical trials for our product candidates may be focused on indications with relatively small patient populations, which may further limit enrollment of eligible participants or may result in slower enrollment than we anticipate. The eligibility criteria of our clinical trials, once established, may further limit the pool of available trial participants.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Participant enrollment is a significant factor in the timing of clinical trials, and the timing of our clinical trials depends, in part, on the speed at which we can recruit participants. Participant enrollment and retention in clinical trials depends on many factors, including the size and nature of the patient population, the severity of the disease under investigation, the nature of the trial protocol, the existing body of safety and efficacy data for the product candidate, the number and nature of competing treatments and ongoing clinical trials of competing therapies for the same indication, the proximity of participants to clinical sites, the eligibility criteria for the trial, the ability to adequately monitor participants during a clinical trial, clinicians’ and participants’ perceptions as to the potential advantages of the product candidate being studied, and the risk that participants will drop out of a trial before completing all site visits. There are limited patient pools from which to draw in order to complete our clinical trials in a timely and cost-effective manner, particularly for any rare diseases we are pursuing. Furthermore, a number of factors could delay or prevent potential participants from participating in our clinical trials. For example, our efforts to build relationships with health care providers or patient communities may not succeed, which could result in delays in participant enrollment in our clinical trials. Delays or failures in planned participant enrollment or retention may result in increased costs, program delays or both, which could have a harmful effect on our ability to develop our product candidates, or could render further development impossible. For example, in January 2026, we announced updated timing of topline results from our TibuSURE study, which are now anticipated in the first half of 2027. In addition, natural disasters or public health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epidemics may delay or prevent participants from enrolling or from receiving treatment in accordance with the protocol and the required timelines, which could delay our clinical trials, or prevent us or our partners from completing our clinical trials at all, and harm our ability to obtain approval. Further, if participants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 In addition, we may rely on CROs and clinical trial sites to ensure proper and timely conduct of our clinical trials and, while we intend to enter into agreements governing their services, we will be limited in our ability to compel their actual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inability to enroll, randomize, and retain a sufficient number of eligible patients for the duration of the trials would result in significant delays in completing clinical trials or receipt of marketing approvals and increased development costs, may impact the robustness or quality of the resulting data, or may require us to abandon one or more clinical trials altogether.</w:t>
      </w:r>
    </w:p>
    <w:p>
      <w:pPr>
        <w:pStyle w:val="TextBody"/>
        <w:bidi w:val="0"/>
        <w:spacing w:before="0" w:after="240"/>
        <w:ind w:left="0" w:right="0" w:hanging="0"/>
        <w:jc w:val="both"/>
        <w:rPr>
          <w:rFonts w:ascii="Times New Roman;Times;serif" w:hAnsi="Times New Roman;Times;serif"/>
          <w:b/>
          <w:sz w:val="20"/>
        </w:rPr>
      </w:pPr>
      <w:bookmarkStart w:id="71" w:name="RisksRelatedtotheClinicalDevelopmentandC"/>
      <w:bookmarkEnd w:id="71"/>
      <w:r>
        <w:rPr>
          <w:rFonts w:ascii="Times New Roman;Times;serif" w:hAnsi="Times New Roman;Times;serif"/>
          <w:b/>
          <w:sz w:val="20"/>
        </w:rPr>
        <w:t>Risks Related to the Clinical Development and Commercialization of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never successfully completed the regulatory approval process for any product candidates and we may be unable to do so for any product candidates we develop.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yet demonstrated our ability to obtain regulatory approvals or arrange for a third party to do so on our behalf. If we are required to conduct additional preclinical studies or clinical trials of the ZB Assets beyond those that we currently contemplate, if we are unable to successfully complete preclinical studies or clinical trials of the ZB Assets, or if the corresponding results are not positive or are only modestly positive or if there are safety concerns, we may: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delayed in obtaining regulatory approval from the FDA, EMA or other regulatory authorities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obtain regulatory approval at all and lose our right and ability under our licenses to further develop and commercialize the ZB Assets;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regulatory approval for indications or patient populations that are not as broad as intended or desired;</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be subject to post-marketing testing requirements from the FDA, EMA or other regulatory authorities; or</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product removed from the market after obtaining regulatory approval.</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substantially dependent on the success of the ZB Assets, and our ongoing and anticipated clinical trials of the ZB Assets may not be successful.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is substantially dependent on our ability to successfully develop the ZB Assets for future marketing approval, and then successful commercialization.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ZB Assets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 ZB Assets before we receive marketing approval from the FDA, EMA and comparable foreign regulatory authorities, and we may never receive such marketing approvals.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success of the ZB Assets will depend on a variety of factors. We do not have complete control over many of these factors, including certain aspects of clinical development and the regulatory submission process, the manufacturing, marketing, distribution and sales efforts of any third parties with whom we choose to collaborate in the future. Accordingly, we cannot assure you that we will ever be able to generate revenue through the sale of products, even if approved. If we are not successful in commercializing products, or are significantly delayed in doing so, our business will be materially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results of preclinical studies and early clinical trials of the ZB Assets may not be predictive of the success of our later clinical trials, and the results of our clinical trials may not satisfy the requirements of the FDA, EMA, or other foreign regulatory authorities.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will be required to demonstrate with substantial evidence through well-controlled clinical trials that the ZB Assets are safe and effective before we can seek marketing approval. Demonstrations of efficacy or an acceptable safety profile in prior preclinical studies of the ZB Assets do not mean that future clinical trials will yield the same results, and the translational work that we need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conduct may fail. For instance, we do not know whether the ZB Assets will perform in future preclinical studies or clinical trials as the ZB Assets have performed in preclinical studies and early clinical trials conducted by Pfizer and/or Lilly, as applicable.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ZB Assets may fail to demonstrate in later-stage clinical trials sufficient safety and efficacy to the satisfaction of the FDA, EMA, and other foreign regulatory authorities despite having progressed through preclinical studies and earlier stage clinical trials. Regulatory authorities may also limit the scope of later-stage trials until we have demonstrated satisfactory safety or efficacy results in preclinical studies or earlier-stage trials, which could prevent us from conducting the clinical trials we currently anticipate. In January 2026, we announced that we had expanded enrollment in the TibuSHIELD study in order to improve the study’s power, but there can be no assurance that the study will be successful. There is no guarantee that the FDA, EMA, and other foreign regulatory authorities will consider the data obtained from prior trials sufficient to allow us to initiate clinical trials within the timelines we anticipate, or at all. Even if we are able to initiate our planned clinical trial on schedule, there is no guarantee that we will be able to complete such trial on the timelines we anticipate or that such trial will produce positive results. Any limitation on our ability to conduct clinical trials could delay or prevent regulatory approval or limit the size of the patient population that can be treated by the ZB Assets, if approved.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Preclinical and clinical development involves a lengthy and expensive process with uncertain outcomes, and results of earlier studies and trials may not be predictive of future clinical trial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clinical trials may not be conducted as planned or completed on schedule, if at all, and a failure of one or more clinical trials can occur at any stage. The outcome of preclinical studies and early-stage clinical trials may not be predictive of the success of later clinical trials, and the outcome of preclinical studies and early-stage clinical trials for a product candidate for a particular indication may not be predictive of the success of preclinical studies and early-stage clinical trials for the same product candidate for a different indication. Unexpectedly favorable results for the standard of care in any Phase 2 or Phase 3 trial could lead to unfavorable comparisons to the ZB Assets. Historically, placebo response rates in dermatologic conditions such as HS have been high and may complicate the interpretation of clinical results. Moreover, preclinical and clinical data are often susceptible to varying interpretations and analyses, and many companies that have believed their product candidates performed satisfactorily in preclinical studies and clinical trials have nonetheless failed to obtain investor support for continued development and financing or regulatory authority marketing approval of their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be sure that any clinical trials will be initiated or conducted as planned or completed on schedule, if at all. For example, in January 2026, we announced updated timing of topline results from our TibuSURE study, which are now anticipated in the first half of 2027, and our TibuSHIELD study, which are now anticipated in the fourth quarter of 2026, based on enrollment. We also cannot be sure that submission of an IND or similar application will result in the FDA, EMA, or other regulatory authority,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timely or sufficient preclinical, toxicology or other in vivo or in vitro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including delays relating to translation of materials for foreign clinical sites; failure to requalify drug substance or drug product for use in clinical trials; failure to demonstrate comparability of drug substance or drug product for regulatory authorization; delays in manufacturing, testing, releasing, validating or importing/exporting sufficient stable quantities of the ZB Assets for use in clinical trials, or the inability to do any of the foregoing; failure by our CROs, other third parties or us to adhere to clinical trial protocols; failure to perform in accordance with the FDA’s or any other regulatory authority’s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contract manufacturing organization (“CMO”) and delays or failure by our CMOs or us to make any necessary changes to such manufacturing process; delays or failure in completing technology transfer for the ZB Assets; delays or failure in obtaining or releasing drug substance or drug product from licensors or third parties; licensors or third parties being unwilling or unable to perform quality control testing of drug substance or drug product; licensors or third parties being unwilling or unable to provide a right of reference to preclinical, manufacturing or clinical data for the ZB Assets; and licensors or third parties being unwilling or unable to satisfy their contractual obligations to us.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could also encounter delays if a clinical trial is suspended or terminated by us, by the IRBs of the institutions in which such clinical trials are being conducted, by the Data Safety Monitoring Board, if any, for such clinical trial or by the FDA or other regulatory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EMA, or other regulatory authorities resulting in the imposition of a clinical hold, unforeseen safety issues or adverse side effects, failure to demonstrate a benefit from the ZB Assets, changes in governmental regulations or administrative actions or lack of adequate funding to continue the clinical trial. If we are required to conduct additional clinical trials or other testing of the ZB Assets beyond those that we currently contemplate, if we are unable to successfully complete clinical trials of the ZB Assets, if the results of these trials are not positive or are only moderately positive or if there are safety concerns, our business and results of operations may be adversely affected and we may incur significant additional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Preliminary, interim data from our clinical trials that we announce or publish may change as more patient data become available and are subject to audit and verification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disclose preliminary data from our preclinical studies and clinical trials, which are based on a preliminary analysis of then-available data, and the results and related findings and conclusions are subject to change following a more comprehensive review of the data. We might also make assumptions, estimations, calculations and conclusions as part of our analyses of these data without the opportunity to fully and carefully evaluate complete data. As a result, the preliminary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ZB Assets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or interim data that we report differ from actual results, or if others, including regulatory authorities, disagree with the conclusions reached, our ability to obtain approval for, and commercialize, the ZB Assets may be harmed, which could harm our business, operating results, prospects or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develop the ZB Assets in combination with other therapies, which exposes us to additional risks related to other agents or active pharmaceutical or biological ingredients used in combination with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future, we may develop the ZB Assets to be used with one or more approved therapies. Even if any product candidate we develop were to receive marketing approval or be commercialized for use in combination with other existing therapies, we would continue to be subject to the risks that the FDA or other regulatory authorities could revoke approval of the therapy used in combination with our product candidates or that safety, efficacy, intellectual property, manufacturing or supply issues could arise with these existing therapies. This could result in our own products being removed from the market or being less successful commercially.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FDA or other regulatory authorities revoke their approval of these other therapies or revoke their approval of, or if safety, efficacy, manufacturing or supply issues arise with, the therapies we choose to evaluate in combination with any product candidate we develop, we may be unable to obtain approval.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evaluate our future product candidates in combination with one or more other therapies that have not yet been approved for marketing by the FDA or other regulatory authorities. We will not be able to market any product candidate we develop in combination with any such unapproved therapies that do not ultimately obtain marketing approval. In addition, unapproved therapies face the same risks described with respect to our product candidates, including the potential for serious adverse effects, delays in clinical trials and lack of FDA approval.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ZB Assets may have a safety profile that could prevent regulatory approval, marketing approval or market acceptance, or limit commercial potential.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Patients in previous trials for the ZB Assets experienced adverse events. If the ZB Assets are associated with undesirable side effects or have unexpected characteristics in preclinical studies or clinical trials when used alone or in combination with other approved products or INDs, we may need to interrupt, delay or abandon development or limit development to more narrow uses or subpopulations in which such potential undesirable side effects or other characteristics may be less prevalent, less severe or more acceptable from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risk-benefit perspective. Treatment-related side effects could also affect patient recruitment or the ability of enrolled patients to complete the trials or result in potential product liability claims. Any of these occurrences may prevent us from achieving or maintaining market acceptance of the ZB Assets and may adversely affect our business, financial condition and prospects significantly.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if the ZB Assets receive marketing approval, we or others may later identify undesirable side effects or adverse events caused by the ZB Assets. In such cases, regulatory authorities may suspend, limit or withdraw approvals of or seek an injunction against their manufacture or distribution, require additional warnings on the label, including “boxed” warnings, or issue safety alerts, require press releases or other communications containing warnings or other safety information, require us to change the way the ZB Assets is administered or conduct additional clinical trials or post-approval studies, require us to create a REMS which could include a medication guide outlining the risks of such side effects for distribution to patients or impose fines, injunctions or criminal penalties. We could also be sued and held liable for harm caused to patients, and our reputation may suffer. Any of these events could prevent us from achieving or maintaining market acceptance of the ZB Assets, if approved, and could seriously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ZB Assets are protein therapeutics and thus carry the risk of provoking immune responses. For example, the formation of anti-drug antibodies (“ADA”) were observed in the majority of patients who were dosed with crebankitug in a Phase 1b trial in T1D mellitus. There can be no assurance that ADAs will not develop in future studies that may reduce exposure or lead to adverse safety events. The development of ADA could also trigger hypersensitivity reactions that manifest as serious adverse events for the ZB Assets, including but not limited to anaphylaxis. If patients experience adverse events, including anaphylaxis, our trials could be delayed or stopped and our development programs may be halted entirely if this is observed during clinical development. Even if ADAs are not detected in early clinical trials, they may be detected after product launch and may significantly reduce the commercial potential or even result in the product being pulled from the market.</w:t>
      </w:r>
    </w:p>
    <w:p>
      <w:pPr>
        <w:pStyle w:val="TextBody"/>
        <w:bidi w:val="0"/>
        <w:spacing w:before="0" w:after="240"/>
        <w:ind w:left="0" w:right="0" w:hanging="0"/>
        <w:jc w:val="left"/>
        <w:rPr>
          <w:rFonts w:ascii="Times New Roman;Times;serif" w:hAnsi="Times New Roman;Times;serif"/>
          <w:b/>
          <w:sz w:val="20"/>
        </w:rPr>
      </w:pPr>
      <w:bookmarkStart w:id="72" w:name="RisksRelatedtoourDependenceonThirdPartie"/>
      <w:bookmarkEnd w:id="72"/>
      <w:r>
        <w:rPr>
          <w:rFonts w:ascii="Times New Roman;Times;serif" w:hAnsi="Times New Roman;Times;serif"/>
          <w:b/>
          <w:sz w:val="20"/>
        </w:rPr>
        <w:t>Risks Related to our Dependence on Third Parties or Their Actions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We intend to rely on third parties to conduct, supervise, and monitor our preclinical studies and clinical trials, and if those third parties perform in an unsatisfactory manner, it may harm our business.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currently have the ability to independently conduct preclinical studies or clinical trials required to develop our product candidates. We intend to rely on CROs, clinical trial sites, contractors, and other third parties to ensure the proper and timely conduct of our preclinical studies and clinical trials. We intend to rely upon CROs, contractors, and others to monitor, manage, and report data for our clinical trials, which includes data management, pharmacovigilance, biostatistical analysis and programming. Our reliance on the CROs, contractors, and others will not relieve us of our regulatory responsibilities.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our CROs, contractors, and other third parties we might engage will be required to comply with GLPs and GCPs, which are regulations and guidelines enforced by the FDA and comparable foreign regulatory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contractors, and others to conduct GCP-compliant clinical trials, we remain responsible for ensuring that each of our GLP preclinical studies and clinical trials is conducted in accordance with our investigational plan and protocol and applicable laws and regulations, and our reliance on the CROs, contractors, and others does not relieve us of our regulatory responsibilities. If we, CROs, contractors, and other third parties we engage fail to comply with GCPs, the clinical data generated in our clinical trials may be deemed unreliable and the FDA or comparable foreign regulatory authorities may require us to perform additional clinical trials for approval. Accordingly, if our CROs, contractors, or others fail to comply with these regulations or fail to recruit a sufficient number of participants, we may be required to repeat clinical trials, which would delay the regulatory approval process.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While we will have agreements governing their activities, CROs, contractors, and other third parties we engage will not be our employees, and we will not control whether or not they devote sufficient time and resources to our programs. These CROs, contractors, and others may also have relationships with other commercial entities, including our competitors, for whom they may also be conducting clinical trials, or other product development activities which could harm our business. We face the risk of potential unauthorized disclosure or misappropriation of our intellectual property by CROs, contractors, and others, which may reduce our trade secret protection and allow our potential competitors to access and exploit our proprietary technology. In addition, certain of our agreements with CROs, contractors, or other third parties provide for monetary and other limitations on their liability.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our relationships with any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an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product approval.</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have our own manufacturing capabilities and will rely on third parties to produce clinical and commercial supplies of our product candidates. Reliance on third parties increases the risk that we will not have sufficient quantities of our product candidates or such quantities at an acceptable cost.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no or limited experience in drug formulation or manufacturing as a company, and we do not own or operate, and we do not expect to own or operate, facilities for drug manufacturing, storage and distribution, or testing. We will be dependent on third parties to manufacture the clinical supplies of our product candidates.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Further, we also will rely on contract manufacturers to supply us with sufficient quantities of our product candidates, to be used, if approved, for commercialization. We do not have long-term commercial supply agreements or commitments with a manufacturer to produce raw materials, active pharmaceutical ingredients or the finished products of our product candidates or the associated packaging.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adverse macroeconomic or geopolitical developments such as a health epidemic or pandemic, or the ongoing conflicts in Ukraine and the Middle East, could impact our ability to procure sufficient supplies for the development of our products and product candidates. Any significant delay in the supply of a product candidate, or the raw material components thereof, for an ongoing clinical trial could considerably delay completion of our clinical trials, product testing and potential regulatory approval of our product candidates.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reliance on contract manufacturers entails various risks, some of which we would not be subject to if we manufactured product candidates ourselves, including:</w:t>
      </w:r>
    </w:p>
    <w:p>
      <w:pPr>
        <w:pStyle w:val="TextBody"/>
        <w:bidi w:val="0"/>
        <w:spacing w:before="0" w:after="0"/>
        <w:ind w:left="0" w:right="0" w:firstLine="720"/>
        <w:jc w:val="both"/>
        <w:rPr/>
      </w:pPr>
      <w:r>
        <w:rPr/>
        <w:t>​</w:t>
      </w:r>
    </w:p>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meet our drug specifications and quality requirements consistently;</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inability to procure or expand sufficient manufacturing capacity;</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issues related to scale-up of manufacturing;</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validation of new equipment and facilities required for scale-up;</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cGMP or similar foreign standards;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negotiate manufacturing agreements with third parties under commercially reasonable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manufacturing agreements with third parties in a manner or at a time that is costly or damaging to us;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single sources for drug components or finished drug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qualified backup suppliers for components or finished drug product purchased from a sole or single source supplier;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of proprietary information, including our trade secrets and know-how;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mislabeling of clinical supplies, potentially resulting, e.g., in the wrong dose amounts being supplied or study drug or placebo not being properly identified;</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supplies not being delivered to clinical sites on time, leading to clinical trial interruptions;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of our contract manufacturers or suppliers being disrupted by conditions unrelated to our business or operations, including the bankruptcy of the manufacturer or supplier; and</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carrier disruptions or increased costs that are beyond our control.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inherent risk, based on the complex relationships among the United States and the countries in which we conduct our business, that political, diplomatic and national security factors could lead to global trade restrictions and changes in trade policies and regulations that may adversely affect our business and operations.</w:t>
      </w:r>
    </w:p>
    <w:p>
      <w:pPr>
        <w:pStyle w:val="TextBody"/>
        <w:bidi w:val="0"/>
        <w:spacing w:before="0" w:after="240"/>
        <w:ind w:left="0" w:right="0" w:hanging="0"/>
        <w:jc w:val="left"/>
        <w:rPr>
          <w:rFonts w:ascii="Times New Roman;Times;serif" w:hAnsi="Times New Roman;Times;serif"/>
          <w:b/>
          <w:sz w:val="20"/>
        </w:rPr>
      </w:pPr>
      <w:bookmarkStart w:id="73" w:name="RisksRelatedtoOurIntellectualProperty_37"/>
      <w:bookmarkEnd w:id="73"/>
      <w:r>
        <w:rPr>
          <w:rFonts w:ascii="Times New Roman;Times;serif" w:hAnsi="Times New Roman;Times;serif"/>
          <w:b/>
          <w:sz w:val="20"/>
        </w:rPr>
        <w:t>Risks Related to Our Intellectual Property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relies on certain licensing rights from Lilly for tibulizumab that can be terminated in certain circumstances. If we breach the agreement, or if we are unable to satisfy our obligations under which we license rights to tibulizumab from Lilly, we could lose the ability to develop and commercialize tibulizumab.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continue to develop and commercialize tibulizumab is dependent on the use of certain intellectual property that is licensed to us from Lilly. The license sets forth certain terms and conditions for maintaining the license. In the event that the terms and conditions are not met or we become insolvent or bankrupt, the license may be terminated and we will no longer be able to develop and commercialize tibulizumab.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2023 Lilly License imposes upon us various diligence, payment and other obligations, as described in the section entitled “</w:t>
      </w:r>
      <w:r>
        <w:rPr>
          <w:rFonts w:ascii="Times New Roman;Times;serif" w:hAnsi="Times New Roman;Times;serif"/>
          <w:i/>
          <w:sz w:val="20"/>
        </w:rPr>
        <w:t>Business — License Agreements — 2023 Lilly License</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comply with any of our obligations under the 2023 Lilly License, Lilly may have the right to terminate the license agreement, in which event we would not be able to market any tibulizumab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there is any dispute with Lilly regarding our rights under the 2023 Lilly License, including if we are unable to meet our milestone obligations or become insolvent or bankrupt, our ability to develop and commercialize tibulizumab may be adversely affected. Any uncured, material breach by us under the 2023 Lilly License could result in our loss of exclusive rights to tibulizumab and may lead to a complete termination of our product development efforts for tibulizumab.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relies on certain licensing rights from Pfizer for crebankitug that can be terminated in certain circumstances. If we breach the agreement, or if we are unable to satisfy our obligations under which we license rights to torudokimab from Pfizer, we could lose the ability to develop and commercialize crebankitug.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party to a license agreement with Pfizer under which we were granted rights to certain patents, know-how and technology that are important and necessary to our business, including for crebankitug. Our rights to use these patents and employ the inventions claimed therein, as well as the exploitation of licensed technology and know-how, are subject to the continuation of, and our compliance with, the terms of our license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license agreement with Pfizer imposes upon us various diligence, payment and other obligations, including as described in the section entitled “</w:t>
      </w:r>
      <w:r>
        <w:rPr>
          <w:rFonts w:ascii="Times New Roman;Times;serif" w:hAnsi="Times New Roman;Times;serif"/>
          <w:i/>
          <w:sz w:val="20"/>
        </w:rPr>
        <w:t>Business — License Agreements — Pfizer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comply with any of our obligations under the Pfizer Agreement, or we are subject to a bankruptcy or dissolution, Pfizer may have the right to terminate the license agreement, in which event we would not be able to market any crebankitug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heavily reliant upon the license from Pfizer to certain patent rights that are important or necessary to the development of crebankitug. Pfizer retains all rights not expressly granted by the license as well as retaining rights to make, have made, use and import crebankitug or any products containing crebankitug for all internal research, development and regulatory purposes, except that Pfizer does not have the right to conduct clinical trials to develop crebankitug or any products containing crebankitug.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responsible for filing, prosecuting (including in connection with any reexaminations, oppositions and the like) and maintaining the licensed patent rights and to provide Pfizer a reasonable opportunity to review and comment on proposed submissions to any patent office and reasonably consider any comments provided by Pfizer. We must notify Pfizer prior to permitting any patent right to go abandoned. Pfizer may then choose at its option to continue prosecution or maintenance of said patent right and the license granted to us will become nonexclusive as to that right. The patents and patent applications licensed by Pfizer were not drafted by us or our attorneys, and we have not controlled or had any input into the prosecution of these patents and patent applications. We cannot be certain that drafting or prosecution of those patents and patent applications were conducted in compliance with applicable laws and regulations or will result in valid and enforceable patents.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Pfizer Agreement, we are required to prepare a development plan and use Commercially Reasonable Efforts (as that term is defined in the Pfizer Agreement) to develop and seek regulatory approval for crebankitug in several countries and then to commercialize each product where regulatory approval is obtained. If we fail to comply with the obligations under our license agreement, or if we use the licensed intellectual property in an unauthorized manner, we may be required to pay damages and Pfizer may have the right to terminate the license. If our license agreement is terminated, we may not be able to develop, manufacture, market or sell the product candidate covered by our agreement and those being tested or approved in combination with such product. Such an occurrence could materially adversely affect the value of the product candidate being developed under any such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Pfizer Agreement, we have the first right, but not the obligation, to enforce the licensed patents at our expense. Without Pfizer’s consent, we may not settle any such initiated litigation that would (i) adversely affect the validity, enforceability or scope of any of the licensed patent rights, (ii) give rise to liability of Pfizer or its Affiliates, (iii) admit non-infringement of any licensed patent rights, or (iv) otherwise impair Pfizer’s rights in any licensed technology or the license agreement. If we decide not to enforce the licensed patents, our licensor has the option to enforce them and may determine not to pursue litigation against other companies that are infringing these patents, or may pursue such litigation less aggressively than is desirable. Without protection for the intellectual property we license, other companies might be able to offer substantially identical products for sale, which could adversely affect our competitive business position and harm our business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there is any dispute with Pfizer regarding our rights under the Pfizer Agreement, including if we are unable to meet our milestone obligations or become insolvent or bankrupt, our ability to develop and commercialize crebankitug may be adversely affected. Any uncured, material breach by us under the Pfizer Agreement could result in our loss of exclusive rights to crebankitug and may lead to a complete termination of our product development efforts for crebankitug.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relies on certain licensing rights from Lilly for torudokimab that can be terminated in certain circumstances. If we breach the agreement, or if we are unable to satisfy our obligations under which we license rights to torudokimab from Lilly, we could lose the ability to develop and commercialize torudokimab.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continue to develop and commercialize torudokimab is dependent on the use of certain intellectual property that is licensed to us from Lilly. The license sets forth certain terms and conditions for maintaining the license. In the event that the terms and conditions are not met or we become insolvent or bankrupt, the license may be terminated and we will no longer be able to develop and commercialize torudokimab.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2022 Lilly License imposes upon us various diligence, payment and other obligations, as described in the section entitled “</w:t>
      </w:r>
      <w:r>
        <w:rPr>
          <w:rFonts w:ascii="Times New Roman;Times;serif" w:hAnsi="Times New Roman;Times;serif"/>
          <w:i/>
          <w:sz w:val="20"/>
        </w:rPr>
        <w:t>Business — License Agreements — 2022 Lilly License.</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comply with any of our obligations under the 2022 Lilly License, Lilly may have the right to terminate the license agreement, in which event we would not be able to market any torudokimab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there is any dispute with Lilly regarding our rights under the 2022 Lilly License, including if we are unable to meet our milestone obligations or become insolvent or bankrupt, our ability to develop and commercialize torudokimab may be adversely affected. Any uncured, material breach by us under the 2022 Lilly License could result in our loss of exclusive rights to torudokimab and may lead to a complete termination of our product development efforts for torudokimab.</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Intellectual property disputes may impact our business and/or our ability to develop and commercialize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Disputes may arise regarding intellectual property subject to, and any of our rights and obligations under, any license or other strategic agreement, including:</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misappropriate or violate the intellectual property of the licensor that is not subject to the license agreement;</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 to third parties under any such agreement or collaborative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inventorship and ownership of inventions and know-how resulting from the joint creation or use of intellectual property by our licensors and us and our partners; and</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priority of invention of patented technology.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if we are unable to successfully obtain rights to required third-party intellectual property rights or maintain the existing intellectual property rights we have, we may have to seek alternative options, such as developing new product candidates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design-around technologies, which may require more time and investment, or abandon development of the relevant research programs or product candidates and our business, financial condition, results of operations and prospects could suffer.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protect our patents and other proprietary rights is uncertain, exposing us to the possible loss of competitive advantage.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in large part on our ability to obtain and maintain patent protection for the ZB Assets and their uses, components, formulations, methods of manufacturing and methods of treatment, as well as our ability to operate without infringing on or violating the proprietary rights of others. We have licensed rights, including composition of matter patent families, related to the ZB Assets. Licensing assets from third parties involves technical and scientific due diligence to assess the opportunity, the strength of the intellectual property protection for the asset and the ability to commercialize the asset. This due diligence is usually conducted over a relatively short period of time. It can be difficult to identify all the issues relevant to the assessment. Failure to identify all the relevant issues can impact negatively on the value of the asset.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intellectual property strategy is, where appropriate, to file new patent applications on inventions, including improvements to existing products/ candidates and processes to improve our competitive edge or to improve business opportunities. We continually assess and refine our intellectual property strategy to ensure appropriate protection and rights are secured. Thus, we may be able to file patent applications in the United States and abroad related to our novel discoveries and technologies, for example new uses/methods of treatment, new formulations and improvements to manufacturing methods, that are important to our business, as opportunities arise.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Identifying and seeking patent protection is expensive and time consuming and we may not be able to file and prosecute all necessary or desirable patent applications at a reasonable cost, in a timely manner or in all jurisdictions where protection may be commercially advantageous, or we may financially not be able to protect our proprietary rights at all. Despite our efforts to protect our proprietary rights, unauthorized parties may be able to obtain and use information we regard as proprietary. Where possible, we seek to file for patent protection in commercial jurisdictions relevant to the product or technology; however, this is assessed on a case-by-case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future patent applications may not result in patents being issued which protect our technology or product candidates or which do not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application or certain patent claims from being issued.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issuance of a patent does not ensure that it is valid or enforceable. Therefore, even if we are issued a patent, it may not be valid or enforceable against third parties. Issued patents may be challenged, narrowed, invalidated or circumvented. In addition, court decisions may introduce uncertainty in the enforceability or scope of patents owned by pharmaceutical and biotechnology companies. Thus, any of our patents, including patents that we may rely on to protect our market for approved products, may be held invalid or unenforceable by a court. If we are unable to successfully enforce our patents, we may be unable to exclude competitors from the marketplace, which may materially impact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patent applications in the United States, Europe and many other jurisdictions are typically not published until 18 months after filing, and because publications of discoveries in scientific literature lag behind actual discoveries, we cannot be certain that we or our licensors were the first to make the inventions claimed in our issued patents or future patent applications, or that we or our licensors were the first to file for protection of the corresponding inventions. As a result, we may not be able to obtain or maintain protection for certain inventions. Such patent protection may be of insufficient scope to achieve our business objectives.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issuance of a patent does not necessarily give us the right to practice the patented invention. Third parties may have blocking patents that prevent marketing of our products or working our own technology. We endeavor to identify early third-party patents and patent applications which may be block a product or technology, to minimize this risk. However, relevant patents or patent applications may be overlooked or missed, and we may need to obtain additional licenses from third parties to advance our research or commercialize the ZB Assets. We may fail to obtain any of these licenses on reasonable terms, or at all. If we are unable obtain a license, we may be required to expend significant time and resources to develop replacement technology. If we are unable to do so, we may be unable to develop or commercialize the affected product candidates, which could harm our business significantly.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term of a patent depends upon the laws of the country in which it is issued. In most jurisdictions, including the United States, Europe, China and Japan, the basic patent term is 20 years from the earliest filing date of a non-provisional patent application, subject to the payment of renewal fees. Some jurisdictions, including the United States, Europe and Japan, provide for up to an additional five years as a patent term extension for therapeutic products that require marketing approval. The requirements for this supplementary protection are set by the relevant authorities in the given jurisdiction. Products approved before the expiry of the basic patent term may benefit from such a patent term extension. It is our strategy to apply for such supplementary protection, where possible.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patent protection, statutory provisions in the United States, Europe and other jurisdictions may provide a period of clinical data exclusivity which may be followed by an additional period of market exclusivity to compensate for the time required for regulatory approval of our product candidates. Once the relevant criteria are satisfied, the protection applies. The length of protection depends on the jurisdiction and may also depend on the type of therapy.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Third parties may seek to market “similar” versions of our approved products, if any. Alternatively, third parties may seek approval to market their own products, similar or otherwise, that compete with our products. We may not be able to block the commercialization of these products, which may erode our commercial position in the marketplace.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disputes over intellectual property and other rights that we have licensed, own in the future or co-own in the future prevent or impair our ability to maintain our licensing or exclusivity arrangements on acceptable terms, we may be unable to successfully develop and commercialize the affected product candidate.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geographical protection with respect to our licensed patents and may not be able to protect our intellectual property rights throughout the world.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be able to protect our intellectual property rights throughout the world and the legal systems in certain countries may not favor enforcement or protection of patents, trade secrets and other intellectual property. Filing, prosecuting and defending patents worldwide can be prohibitively expensive and our intellectual property rights in some foreign jurisdictions may be less extensive than those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Certain U.S. patents have a longer patent term pursuant to patent term adjustment (35 U.S.C. §154(b)).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competitors may operate in countries where we do not have patent protection and can freely use our technologies and discoveries. For example, we may lack patent protection or pending patent applications in manufacturing countries such as China, India, and 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Even if patents are granted, they may be difficult to enforce in certain countries, for example, in China. Many countries have compulsory licensing laws under which a patent owner may be compelled to grant licenses to third parties. If we or any of our licensors is forced to grant a license to third parties with respect to any patents relevant to our business, our competitive position may be impaired, and our business and financial condition may be adversely affected. Many countries also limit the enforceability of patents against government agencies or government contractors. In these countries, the patent owner may have limited remedies, which could materially diminish the value of such patent.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Periodic maintenance and annuity fees on any issued patent are due to be paid to the USPTO and foreign patent agencies over the lifetime of a patent. In addition, the USPTO and other foreign patent agencies require compliance with a number of procedural, documentary, and other similar provisions during the patent application process. While an inadvertent failure to make payment of fees or to comply with such provisions can in many cases be cured by payment of a late fee or by other means in accordance with the applicable rules, there are situations in which such non-payment or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Issued patents covering one or more of our product candidates could be found invalid or unenforceable.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issued patents that we may license or own covering the ZB Assets could be narrowed or found invalid or unenforceable if challenged in court or before administrative bodies in the United States or abroad, including the USPTO. We may be subject to claims challenging the inventorship, ownership, validity, or enforceability of our patents and/or other intellectual property. Finally, changes in U.S. patent law, or laws in other countries, could diminish the value of patents in general, thereby impairing our ability to protect the ZB Assets. Further, if we encounter delays in our clinical trials or delays in obtaining regulatory approval, the period of time during which we could market the ZB Assets under patent protection would be reduced. Thus, the patents that we own and license may not afford us any meaningful competitive advantage.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or our licensors may be subject to a third-party pre-issuance submission of prior art to the USPTO or become involved in opposition, derivation, revocation, reexamination, inter partes review, post-grant review or interference proceedings. An adverse determination in any such submission, proceeding or litigation could reduce the scope of, or invalidate, our patent rights, allow third parties to commercialize our technology or the ZB Assets and compete directly with us. If the breadth or strength of protection provided by our patents and patent applications is threatened, regardless of the outcome, it could dissuade companies from collaborating with us to license, develop or commercialize the ZB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maintain or enforce trade secret protection for our product candidates.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seeking patents,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we undertake efforts to protect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confidential information of our competitors or are in breach of non-competition or non-solicitation agreements with our competitors.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Ordinary Shares.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costs of such litigation or proceedings more effectively than we can. Uncertainties resulting from the initiation and continuation of patent litigation or other intellectual property related proceedings could adversely affect our ability to compete in the marketplace.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 terms may not protect our competitive position with respect to the ZB Assets for an adequate amount of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life of a patent, and the protection it affords, is limited. Once patents covering the ZB Assets have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licensed and owned patent portfolio may not provide us with sufficient rights to exclude others from commercializing products similar or identical to ours.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obtain patent term extensions in the United States under the Hatch-Waxman Act and in foreign countries under similar legislation, our business may be materially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the patent term of a patent that covers an FDA-approved drug may be eligible for limited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However, a patent extension cannot extend the remaining term of a patent beyond a total of 14 years from the date of product approval, only one patent applicable to an approved drug may be extended and only those claims covering the approved drug or its use it may be extended. Similar provisions are available in Europe and certain other non-United States jurisdictions to extend the term of a patent that covers an approved drug.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and when the ZB Assets receive FDA approval, we expect to apply for patent term extension on patents covering those ZB Assets, there is no guarantee that the applicable authorities will agree with our assessment of whether such extension should be granted, and even if granted, the length of such extension.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to patent laws in the United States and other jurisdictions could diminish the value of patents in general, thereby impairing our ability to protect or capitalize on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either the patent laws or interpretation of patent laws in the United States, including patent reform legislation such as the Leahy-Smith America Invents Act (the “Leahy-Smith Act”) could increase the uncertainties and costs surrounding the prosecution of our future owned and in-licensed patent applications and the maintenance, enforcement or defense of our owned and in-licensed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challenge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patents, all of which could have a material adverse effect on our business, financial condition, results of operations and prospects.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altered the rights of patent owners in certain situations. This combination of events has created uncertainty with respect to the validity and enforceability of patents once obtained. Depending on future legislation by the U.S. Congress, decisions by the federal courts and the USPTO, the laws and regulations governing patents could change in unpredictable ways that could have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material adverse effect on our patent rights and our ability to protect, defend and enforce our patent rights in the future. For example, in the case Amgen v. Sanofi, the Supreme Court held broad functional antibody claims invalid for lack of enablement. Similarly, in the case Juno v. Kite, the Federal Circuit held genus claims directed to CAR-T cells invalid for lack of written description for failing to provide disclosure commensurate with the scope of the claims. While we do not believe that any of the patents licensed or owned by us will be found wholly invalid based on these decisions, we cannot predict how future decisions by the courts,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Europe, a new unitary patent system came into effect on June 1, 2023. Under the unitary patent system, European patent applications and patents may be subjected to the jurisdiction of the Unified Patent Court (“UPC”). European applications will have the option, upon grant of a patent, of becoming a Unitary Patent which will be subject to the jurisdiction of the UPC. As the UPC is a new court system, there is no precedent for the court, increasing the uncertainty of any litigation.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identify relevant third-party patents or may incorrectly interpret the relevance, scope or expiration of a third-party patent, which might adversely affect our ability to develop and market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guarantee that any of our patent searches or analyses, including the identification of relevant third-party patents, the scope of said patent claims or the expiration of relevant patents, are complete, accurate or thorough, nor can we be certain that we have identified each and every third-party patent and pending application in the United States and abroad that is relevant to or necessary for the commercialization of the ZB Assets. The scope of a patent claim is determined by an interpretation of the law, the written disclosure in a patent and the patent’s prosecution history. Our interpretation of the relevance or the scope of a patent or a pending application may be incorrect. Our determination of the expiration date of any patent that we consider relevant may be incorrect. Our failure to identify and correctly interpret relevant patents may negatively impact our ability to develop and market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patents or our pending applications, or that we were the first to invent the technology. Our competitors may have filed, and may in the future file, patent applications covering the ZB Assets or technology similar to ours. Any such patent application may have priority over our patent applications or patents, and if any such patent is granted, we may be required to obtain rights to those patents, which may not be available on reasonable terms or at all.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such ownership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the ZB Assets or as a result of questions regarding co-ownership of potential joint inventions. Arbitration or litigation may be necessary to resolve these and other claims challenging inventorship and/or ownership. If we fail in defending any such claims, in addition to paying monetary damages, we may lose valuable intellectual property rights, such as exclusive ownership of, or right to use, valuable intellectual property. Alternatively, or additionally, we may enter into agreements to clarify the scope of our rights in such intellectual property. If we are unable to achieve ownership rights needed to assert a patent, we may be unable to use that patent to exclude a competitor from the marketplace. Such an outcome could have a material adverse effect on our business. Even if we are successful in defending against any of the above, such claims, arbitrations or litigations could result in substantial costs and be a distraction to management and other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patent infringement claims or may need to file claims to protect our intellectual property, which could result in substantial costs and liability and prevent us from commercializing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commercial success depends in part on avoiding infringing, misappropriating and otherwise violating the patents and other intellectual property and proprietary rights of third parties. There is a substantial amount of litigation, both within and outside the United States, involving patent and other intellectual property rights in the biotechnology and pharmaceutical industries, including patent infringement lawsuits, and administrative proceedings such as interferences, </w:t>
      </w:r>
      <w:r>
        <w:rPr>
          <w:rFonts w:ascii="Times New Roman;Times;serif" w:hAnsi="Times New Roman;Times;serif"/>
          <w:i/>
          <w:sz w:val="20"/>
        </w:rPr>
        <w:t xml:space="preserve">inter partes </w:t>
      </w:r>
      <w:r>
        <w:rPr>
          <w:rFonts w:ascii="Times New Roman;Times;serif" w:hAnsi="Times New Roman;Times;serif"/>
          <w:sz w:val="20"/>
        </w:rPr>
        <w:t>review and post grant review proceedings before the USPTO, and opposition proceedings before foreign patent offices. Numerous U.S. and foreign issued patents and pending patent applications, which are owned or controlled by third parties, including our competitors, exist in the fields in which we are pursuing products and product candidates. As the biotechnology and pharmaceutical industries expand and more patents are issued, the risk increases that our products and product candidates may be subject to claims of infringement of the patent rights of third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Third parties may assert that we or our licensors are employing their proprietary technology without authorization. There may be third-party patents or patent applications with claims to materials, formulations, methods of manufacture or methods for treatment relating to our products and product candidates and, because patent applications can take many years to issue, there may be currently pending third party patent applications which may later result in issued patents, in each case that our products and product candidates, their manufacture or use may infringe or be alleged to infringe.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third party successfully brings a claim against us, we may be required to pay substantial damages, be forced to abandon the ZB Assets and/or seek a license from the patent holder. Such a license may not be available on reasonable terms or at all.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In addition, any uncertainties resulting from the initiation and continuation of any litigation could have a material adverse effect on our ability to raise funds at a particular market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If the third party is found not to infringe our asserted patents, then we may not be able to exclude them from the marketplace. Even if they are found to infringe our patents, a court may not grant an injunction to exclude them from the marketplace.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sufficient.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we may be required to protect our patents through procedures created to challenge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any of the ZB Assets is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a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license from Pfizer is subject to retained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Pfizer retains certain rights under its license agreement with us, including (a) the right to make, have made, use and import the underlying technology for all internal research, development and regulatory purposes; provided, that Pfizer shall not have the right to conduct clinical trials to develop the underlying technology in the treatment, diagnosis or prevention of diseases in humans, (b) the right to use the licensed patent rights and know-how for purposes other than those exclusively license to us under the Pfizer Agreement and (c) the rights that have been provided by Pfizer to (i) a reagent supplier to make or sell the underlying technology or (ii) a non-commercial entity to use the underlying technology, in each case in the form of non-cGMP samples of the underlying technology in milligram quantities solely as a research reagent.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Pfizer may also use for any purpose information in non-tangible form which may be retained by persons who have had access to crebankitug and the licensed know-how, including ideas, concepts or techniques contained therein.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difficult to monitor whether Pfizer limits its use of the technology to these uses, and we could incur substantial expenses to enforce our rights to our licensed technology in the event of misuse.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licenses from Lilly are subject to retained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Lilly retains certain rights under its license agreements with us, including the right to use the underlying technology for internal research, development and regulatory purposes. It is difficult to monitor whether Lilly limits its use of the technology to these uses, and we could incur substantial expenses to enforce our rights to our licensed technology in the event of misuse.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effectively secure first-tier technologies when competing against other companies or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may require that we acquire patent rights and know-how to new or complementary technologies. However, we compete with a substantial number of other companies that may also compete for technologies we desire. In addition, many venture capital firms and other institutional investors, as well as other biotechnology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Numerous factors may limit any potential competitive advantage provided by our intellectual property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degree of future protection afforded by our intellectual property rights, whether licensed or owned,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patent applications that we may file or license may not lead to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should they issue, that we own or license, may not provide us with any competitive advantages, or may be challenged and held invalid or unenforceable;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develop and/or practice technology that is similar to our technology or aspects of our technology but that is not covered by the claims of any of our owned or in-licensed patents, should any such patents issue;</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compete with us in jurisdictions where we do not pursue and obtain patent protection;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 might not have been the first to make the inventions covered by a pending patent application that we own or license;</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 might not have been the first to file patent applications covering a particular invention;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without infringing our intellectual property rights;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and/or maintain necessary licenses on reasonable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assert an ownership interest in our intellectual property and, if successful, such disputes may preclude us from exercising exclusive rights, or any rights at all, over that intellectual property;</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the confidentiality of our trade secrets or other proprietary information;</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or in-license additional proprietary technologies that are patentable; and</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any of these events occur, they could significantly harm our business and results of operation.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approved, our product candidates that are regulated as biologics may face competition from biosimilars or interchangeables approved through an abbreviated regulatory pathway.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BPCIA was enacted as part of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sponsor’s data or submit the application as a biosimilar application. Any new policies or processes adopted by the FDA could have a material adverse effect on the future commercial prospects for our biological products.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believe that if any of the ZB Assets is approved in the United States as a biological product under a BLA it would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The approval of a biosimilar or interchangeable of our product candidates could have a material adverse impact on our business due to increased competition and pricing pressure.</w:t>
      </w:r>
    </w:p>
    <w:p>
      <w:pPr>
        <w:pStyle w:val="TextBody"/>
        <w:bidi w:val="0"/>
        <w:spacing w:before="0" w:after="200"/>
        <w:ind w:left="0" w:right="0" w:hanging="0"/>
        <w:jc w:val="both"/>
        <w:rPr>
          <w:rFonts w:ascii="Times New Roman;Times;serif" w:hAnsi="Times New Roman;Times;serif"/>
          <w:b/>
          <w:sz w:val="20"/>
        </w:rPr>
      </w:pPr>
      <w:bookmarkStart w:id="74" w:name="RisksRelatedtoRegulatoryandLegalComplian"/>
      <w:bookmarkEnd w:id="74"/>
      <w:r>
        <w:rPr>
          <w:rFonts w:ascii="Times New Roman;Times;serif" w:hAnsi="Times New Roman;Times;serif"/>
          <w:b/>
          <w:sz w:val="20"/>
        </w:rPr>
        <w:t>Risks Related to Regulatory and Legal Compliance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The regulatory approval processes of the FDA, EMA, and other foreign regulatory authorities are complex, time-consuming and inherently unpredictable. If we are not able to obtain, or if there are delays in obtaining, required regulatory approvals for the ZB Assets, we may not be able to commercialize, or may be delayed in commercializing, the ZB Assets, and our ability to generate revenue will be materially impaired.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process of obtaining regulatory approvals in the U.S., EU and other jurisdictions is complex, expensive and typically takes many years following commencement of clinical trials, if approval is obtained at all, and can vary substantially based upon a variety of factors, including the type, complexity and novelty of the product candidates involved. We cannot commercialize the ZB Assets without first obtaining regulatory approval from the FDA in the United States and comparable foreign regulatory authorities outside of the United States. Before obtaining regulatory approvals for the commercial sale of the ZB Assets, we must demonstrate through complex and expensive preclinical studies and clinical trials that the ZB Assets are both safe and effective for each targeted indication. Securing regulatory approval also requires the submission of information about the drug manufacturing process to, and inspection of manufacturing facilities by, the relevant regulatory authorities. Further, the ZB Assets may not be effective, may be only moderately effective or may prove to have undesirable or unintended side effects, toxicities or other characteristics that may preclude our obtaining marketing approval. The FDA, EMA, and comparable foreign regulatory authorities have discretion in the approval process and may refuse to accept any application or may decide that our data are insufficient for approval and require additional preclinical, clinical or other data. Any of the ZB Assets could be delayed in receiving, or fail to receive, regulatory approval for many reasons, including: the FDA, EMA, or comparable foreign regulatory authorities may disagree with the design or implementation of our clinical trials; we may be unable to demonstrate to the satisfaction of the FDA, EMA, or comparable foreign regulatory authorities that is the ZB Assets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safe and effective for their proposed indications; the results of clinical trials may not meet the level of statistical significance required by the FDA, EMA, or comparable foreign regulatory authorities for approval; serious and unexpected drug-related side effects may be experienced by participants in our clinical trials or by individuals using products similar to the ZB Assets; we may be unable to demonstrate that the clinical and other benefits of the ZB Assets outweigh their safety risks; the FDA, EMA or comparable foreign regulatory authorities may disagree with our interpretation of data from preclinical studies or clinical trials; the data collected from clinical trials of the ZB Assets may not be acceptable or sufficient to support the submission of a BLA or other submission or to obtain regulatory approval in the United States or elsewhere, and we may be required to conduct additional clinical trials; the FDA, EMA, or the applicable foreign regulatory authority may disagree regarding the formulation, labeling and/or the specifications of the ZB Assets; the FDA, EMA, or comparable foreign regulatory authorities may fail to approve the manufacturing processes or facilities of third-party manufacturers with which we contract for clinical or commercial supplies; and the approval policies or regulations of the FDA, EMA, or comparable foreign regulatory authorities may significantly change in a manner rendering our clinical data insufficient for approval. Further, the approval requirements for the ZB Assets are likely to vary by jurisdiction such that success in one jurisdiction is not necessarily predicative of success elsewhere.</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Of the large number of products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the ZB Assets, which would significantly harm our business, results of operations and prospects.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If we were to obtain approval, regulatory authorities may approve the ZB Assets for fewer or more limited indications than we request, including failing to approve the most commercially promising indications, may grant approval contingent on the performance of costly post-marketing clinical trials, or may approve the ZB Assets with a label that does not include the labeling claims necessary or desirable for the successful commercialization of the ZB Assets. If we are not able to obtain, or if there are delays in obtaining, required regulatory approvals for the ZB Assets, we may not be able to commercialize, or may be delayed in commercializing, the ZB Assets and our ability to generate revenue could be materially impaired.</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Disruptions at the FDA, EMA, the European Commission and other applicable U.S. and foreign government agencies and regulatory authorities caused by funding shortages, furloughs or other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 xml:space="preserve">The ability of the FDA, EMA, the European Commission or any other applicable foreign regulatory authority to review and approve new products can be affected by a variety of factors, including government budget and funding levels, ability to hire and retain key personnel, ability to accept the payment of user fees, statutory, regulatory, and policy changes, and other events that may otherwise affect the FDA, EMA, the European Commission, or any other applicable foreign regulatory authority’s ability to perform routine functions. Average review times at the authorities have fluctuated in recent years as a result and could be delayed. In addition, government funding of the FDA and other government authorities on which our operations may rely, including those that fund research and development activities is subject to the political process, which is inherently fluid and unpredictable. </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Disruptions at the FDA and other agencies or comparable foreign regulatory authorities may also slow the time necessary for new drugs to be reviewed and/or approved by necessary government authorities, which would adversely affect our business. For example, over the last several years, including during the recent government shutdown that began on October 1, 2025 and lasted 43 days and the government shutdown that lasted for 35 days beginning on December 22, 2018, the U.S. government has shut down several times and certain regulatory agencies, such as the FDA, have had to furlough critical FDA employees and stop critical activities. If, as a result of a prolonged government shutdown or otherwise, the FDA or other regulatory authorities are unable to timely conduct their regular inspections, reviews, or other regulatory activities, it could significantly impact the ability of the FDA to timely review and process our regulatory submissions, which could have a material adverse effect on our business.</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We will be subject to extensive ongoing regulatory obligations and continued regulatory review, which may result in significant additional expense and we may be subject to penalties if we fail to comply with regulatory requirements or experience unanticipated problems with the ZB Assets.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Any regulatory approvals that we may receive for the ZB Assets will require the submission of reports to regulatory authorities and surveillance to monitor the safety and efficacy of the ZB Assets, may contain significant limitations related to use restrictions for specified age groups, warnings, precautions or contraindications, and may include burdensome post-approval study or risk management requirements. In addition, if the FDA, EMA, or comparable foreign regulatory authorities approve the ZB Assets, the ZB Assets and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activities associated with their respective development and commercialization, including their design, testing, manufacture, safety, efficacy, recordkeeping, labeling, storage, approval, advertising, promotion, sale, distribution, import and export will be subject to comprehensive regulation by the FDA, EMA, and comparable foreign regulatory authorities. These requirements include submissions of safety and other post-marketing information and reports, registration, as well as ongoing compliance cGMPs and GCPs for any clinical trials that we conduct following approval. In addition, manufacturers of drug products and their facilities are subject to continual review and periodic, unannounced inspections by the FDA, EMA, and other regulatory authorities for compliance with cGMPs.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If we or a regulatory authority discover previously unknown problems with the ZB Assets, such as adverse events of unanticipated severity or frequency, or problems with the facilities where the ZB Assets are manufactured, a regulatory authority may impose restrictions on the ZB Assets, the manufacturing facility or us, including requiring recall or withdrawal of the ZB Assets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herein may inhibit our ability to commercialize the ZB Assets and generate revenue and could require us to expend significant time and resources to respond and could generate negative publicity.</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The FDA’s, EMA’s and other regulatory comparable authorities’ policies may change and additional government regulations may be enacted that could prevent, limit, delay, increase the cost or risks of obtaining regulatory approval of our product candidates, including if as a result new or more costly or difficult to achieve clinical trial or manufacturing quality requirements are imposed.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Due to unfavorable pricing regulations and/or third-party coverage and reimbursement policies, we may not be able to offer the ZB Assets at competitive prices which would seriously harm our business.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Sales of our product candidates in the United States, if approved, will depend,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Further, one payor’s determination to provide coverage for a drug product does not ensure that other payors will also provide coverage for the drug product. Coverage policies and third-party payor reimbursement rates may change at any time. In addition, the U.S. government, state legislatures and foreign governments have continued implementing cost-containment programs, including price controls, restrictions on reimbursement and requirements for substitution of generic products. For example, the U.S. Department of Health and Human Services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Adoption of price controls and cost-containment measures, and adoption of more restrictive policies in jurisdictions with existing controls and measures, could further limit our net revenue and results. Decreases in third-party payor reimbursement or a decision by a third-party payor to not cover any of our product candidates, if approved, could have a material adverse effect on our sales, results of operations and financial condition. If we are unable to obtain adequate levels of reimbursement, our ability to successfully market and sell any product candidates if approved will be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FDA, EMA and other regulatory agencies actively enforce the laws and regulations prohibiting the promotion of off-label uses.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one or more of the ZB Assets is approved and we are found to have improperly promoted of label uses, we may become subject to significant liability. If we cannot successfully manage the promotion of the ZB Assets, we could become subject to significant liability, which would materially adversely affect our business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the risk that our employees, independent contractors, consultants, commercial collaborators, principal investigators, CROs, suppliers and vendors acting for or on our behalf may engage in misconduct or other improper activities, whether intentionally or inadvertently. As we continue to grow and scale our operations, this risk increases. We have adopted a Code of Conduct and appropriate subject-specific policies applicable to all of our employees, but it is not always possible to promptly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the ZB Assets, if approved. See the section titled “Business — Government Regulation” for a more detailed description of the laws that may affect our ability to operate.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Ensuring that our internal operations and future business arrangements with third parties comply with applicable healthcare laws and regulations will involve substantial costs. Healthcare providers, physicians and third-party payors play a primary role in the recommendation and prescription of any product candidates for which we obtain regulatory approval. Our future arrangements with third-party payors may expose us to broadly applicable fraud and abuse and other healthcare laws and regulations that may constrain the business or financial arrangements and relationships through which we market, sell and distribute any product candidates for which we obtain regulatory approval.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size of the potential market for the ZB Assets is difficult to estimate and, if any of our assumptions are inaccurate, the actual markets for our product candidates may be smaller than our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current and future target patient populations are based on our beliefs and estimates regarding the incidence or prevalence of certain types of the indications that may be addressable by the ZB Assets, which is derived from a variety of sources, including scientific literature and surveys of clinics. Our estimations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Even if we obtain significant market share for our product candidates, because the potential target populations could be small, we may never achieve profitability without obtaining regulatory approval for additional indications.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Certain</w:t>
      </w:r>
      <w:r>
        <w:rPr>
          <w:rFonts w:ascii="Times New Roman;Times;serif" w:hAnsi="Times New Roman;Times;serif"/>
          <w:sz w:val="20"/>
        </w:rPr>
        <w:t xml:space="preserve"> </w:t>
      </w:r>
      <w:r>
        <w:rPr>
          <w:rFonts w:ascii="Times New Roman;Times;serif" w:hAnsi="Times New Roman;Times;serif"/>
          <w:b/>
          <w:i/>
          <w:sz w:val="20"/>
        </w:rPr>
        <w:t>current</w:t>
      </w:r>
      <w:r>
        <w:rPr>
          <w:rFonts w:ascii="Times New Roman;Times;serif" w:hAnsi="Times New Roman;Times;serif"/>
          <w:sz w:val="20"/>
        </w:rPr>
        <w:t xml:space="preserve"> </w:t>
      </w:r>
      <w:r>
        <w:rPr>
          <w:rFonts w:ascii="Times New Roman;Times;serif" w:hAnsi="Times New Roman;Times;serif"/>
          <w:b/>
          <w:i/>
          <w:sz w:val="20"/>
        </w:rPr>
        <w:t>and future relationships with customers and third party payors as well as certain of our business operations may be subject, directly or indirectly, to federal and state healthcare fraud and abuse laws, false claims laws, health information privacy and information security laws and other privacy and information security laws. If we are unable to comply, or have not fully complied or are perceived to have not fully complied, with such laws, we could face significant penalties, including criminal sanctions, civil penalties, contractual damages, reputational harm and diminished profits and future earnings.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may be directly, or indirectly through our relationships with customers, third party payors, healthcare providers, and others subject to various federal and state fraud and abuse laws, including, without limitation, the federal Anti-Kickback Statute and the federal False Claims Act. These laws may impact, among other things, our proposed sales, marketing and education programs. The laws and regulations that may affect our ability to operate include, but may not be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civil and criminal false claims laws, including the civil False Claims Act, and civil monetary penalty laws, which prohibit, among other things, individuals or entities from knowingly presenting, or causing to be presented, claims for payment to the federal government, including Medicare or Medicaid, that are false or fraudulent;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which created additional federal criminal statutes that prohibit, among other things, executing a scheme to defraud any healthcare benefit program and making false statements relating to healthcare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HITECH and its implementing regulations, which also imposes certain obligations, including mandatory contractual terms, with respect to safeguarding the privacy and security of individually identifiable health information of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on their behalf and their subcontractors that use, disclose, access, or otherwise process individually identifiable health information, and their covered subcontractors;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CMS information related to payments or other transfers of value made to physicians (defined to include doctors, dentists, optometrists, podiatrists and chiropractors), other healthcare professionals (such as physician assistants and nurse practitioners), and teaching hospitals, and further requires applicable manufacturers and applicable group purchasing organizations to report annually to the CMS ownership and investment interests held by physicians and their immediate family members;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that require the registration of pharmaceutical sales representatives, many of which differ from each other in significant ways and may not have the same effect, thus complicating compliance efforts.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operations are found to be in violation (or perceived to be in violation) of any of the laws described above or any other governmental regulations that apply to us, we may be subject to significant penalties, including, without limitation, litigation, significant civil, criminal and administrative penalties, damages, fines, possible exclusion from Medicare, Medicaid and other government healthcare programs, disgorgement, imprisonment, additional reporting requirements and/or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 our business, including interrupting or stopping clinical trials, and our results of operations. Ensuring that our business arrangements with third parties comply with applicable healthcare laws and regulations, including continuing to build out a compliance program, will likely be costly.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Healthcare legislative and regulatory reform discourse and potential or enacted measures may have a material adverse impact on our business and results of operations and legislative or political discussions surrounding the desire for and implementation of pricing reforms may adversely impact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and some foreign jurisdictions, there have been, and continue to be, several legislative and regulatory changes and proposed changes regarding healthcare systems that could prevent or delay marketing approval of product candidates, restrict or regulate post-approval activities, and affect our ability to profitably sell any product candidates for which we obtain marketing approval.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Payors, whether domestic or foreign, or governmental or private, are developing increasingly sophisticated methods of controlling healthcare costs and those methods are not always specifically adapted for new technologies. In both the United States and certain foreign jurisdictions, there have been a number of legislative and regulatory changes that could impact our ability to sell our products profitably. In particular, in 2010, the ACA was enacted, which, among other things, substantially changed the way healthcare is financed by both governmental and private insurers. Since its enactment, there have been amendments and judicial, Congressional and executive branch challenges to certain aspects of the ACA. For example, on July 4, 2025, the OBBBA was signed into law,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The current administration is pursuing policies to reduce regulations and expenditures across government agencies including at HHS, the FDA, the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recent Strategy Report released September 2025,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and likely will continue to be, healthcare reform measures, including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regulatory approval and may affect our overall financial condition and ability to develop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our external partners are subject to complex environmental, health and safety laws and regulations, including those governing laboratory procedures, the handling, use, storage, treatment and disposal of hazardous materials and wastes, and the rehabilitation of contaminated sites. Our operations, including those performed by our external partners, may involve the use of hazardous and flammable materials, including chemicals and biological and radioactive materials. In addition, we and/or our external partners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laws and regulations related to privacy, data protection, information security and consumer protection across different markets where we conduct our business. Our actual or perceived failure to comply with such obligations could harm our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laws and regulations related to, among other things, privacy, data protection, information security and consumer protection across different markets where we conduct our business. Such laws and regulations are constantly evolving and changing and are likely to remain uncertain for the foreseeable future. Our actual or perceived failure to comply with such obligations could have an adverse effect on our business, operating results and financial operations. Complying with these numerous, complex, and often changing regulations is expensive and difficult, and failure to comply with any privacy laws or data security laws or any security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incident or breach involving the potential or actual misappropriation, loss or other unauthorized processing, use or disclosure of sensitive or confidential patient, consumer or other personal information, whether by us, one of our collaborators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relief.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European data collection is also governed by restrictive regulations governing the use, processing and cross-border transfer of personal information. The collection, use, storage, disclosure, transfer, or other processing of personal data regarding individuals in Europe, including personal health data, is subject to the EU General Data Protection Regulation (“EU GDPR”) and similar requirements in the United Kingdom (“UK GDPR”) (hereinafter the EU GDPR and UK GDPR are collectively referred to as “GDPR”), which impose strict requirements for processing the personal data of individuals within the EEA, such as Norway, Iceland, Liechtenstein and the United Kingdom. The GDPR is directly applicable in each EU member state and is extended to the EEA, while the UK GDPR applies to the United Kingdom of Great Britain and Northern Ireland.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implements more stringent operational requirements than its predecessor legislation.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For example, the GDPR applies extraterritorially, requires us to make more detailed disclosures to data subjects, requires disclosure of the legal basis on which we can process personal data, makes it harder for us to obtain valid consent for collecting and processing personal data (including data from clinical trials), requires the appointment of data protection officers, such as when sensitive personal data, such as health data, is processed on a large scale, provides more robust rights for data subjects, including far reaching information rights and the right to erasure, introduces mandatory data breach notification through the EU, imposes additional obligations on us when contracting with service providers and requires us to adopt appropriate privacy governance, including policies, procedures, training, and audits. The GDPR provides that EU member states and EEA countries may establish their own laws and regulations that go beyond the GDPR in certain areas, such as regarding the mandatory appointment of data protection officers or further limiting the processing of personal data, including genetic, biometric, or health data, which could limit our ability to use and share personal data or could cause our costs to increase. Among other requirements, the GDPR regulates transfers of personal data subject to the GDPR to third countries that have not been found to provide adequate protection to such personal data, including the United States.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employees and personnel use generative artificial intelligence (“AI”) and/or automated decision-making technologies to perform their work, and the disclosure and use of personal information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assure you that our third-party service providers with access to our or our customers’, suppliers’, trial patients’ and employees’ personally identifiable and other sensitive or confidential information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International trade policies, including tariffs, sanctions and trade barriers may adversely affect our business, financial condition,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On February 20, 2026, the U.S. Supreme Court ruled that the President does not have authority under the International Emergency Economic Powers Act to impose broad tariffs without explicit congressional authorization, striking down major tariffs previously in place. In response to the U.S. Supreme Court ruling, the Trump administration imposed a new worldwide tariff effective for 150 days from February 24, 2026 and has indicated an intention to continue developing new trade policies, including with respect to the pharmaceutical industry. In response to previous and newly announced tariffs, certain foreign governments have announced or implemented retaliatory tariffs and other protectionist measures. These developments and ongoing uncertainty regarding potential future shifts in federal trade policy and judicial interpretations of trade authorities have increased trade tensions and economic uncertainty and created a dynamic and unpredictable trade landscape, which may adversely impact our business, results of operations, financial condition and prospects. Additionally, in April 2025, the Bureau of Industry and Security, U.S. Department of Commerce, initiated a Section 232 investigation to determine whether pharmaceutical ingredients, including finished drug product, manufactured outside of the United States pose a national security risk and should be subject to additional tariffs. This investigation may lead to new tariffs or trade restrictions to encourage domestic production.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manufacturers and suppliers, including drug substances and drug products for tibulizumab, torudokimab, and crebankitug, are located outside of the United States, and our principal suppliers of critical raw materials are currently located in Italy, the Netherlands, and the United Kingdom.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are party to the Cell Line License Agreement with WuXi Biologics, which provides us with a non-exclusive, worldwide, sublicensable license to certain of WuXi Biologics’s know-how, cell line and biological materials to manufacture, have manufactured, use, sell and import certain products produced through the use of the cell line licensed by WuXi Biologics under the Cell Line License Agreement. See “</w:t>
      </w:r>
      <w:r>
        <w:rPr>
          <w:rFonts w:ascii="Times New Roman;Times;serif" w:hAnsi="Times New Roman;Times;serif"/>
          <w:i/>
          <w:sz w:val="20"/>
        </w:rPr>
        <w:t xml:space="preserve">Business — License Agreements—Wuxi Biologics License.” </w:t>
      </w:r>
      <w:r>
        <w:rPr>
          <w:rFonts w:ascii="Times New Roman;Times;serif" w:hAnsi="Times New Roman;Times;serif"/>
          <w:sz w:val="20"/>
        </w:rPr>
        <w:t>If we have product manufactured at WuXi Biologics in the future, we may face additional manufacturing and supply-chain risks due to the regulatory and political structure of the PRC, or as a result of the international relationship with the PRC, including but not limited to sanctions, tariffs and other restrictions that have been or may be imposed.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As we advance toward commercialization in the future, tariffs and trade restrictions could hinder our ability to establish cost-effective production capabilities, negatively impacting our growth prospects. In addition, in the event Most-Favored-Nation pricing for pharmaceutical products is implemented and applicable to any of our product candidates that may receive regulatory approval, our revenue opportunities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this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 Operations, Employee Matters, and Managing Growth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on our key personnel and anticipate hiring additional key personnel. If we are not successful in attracting and retaining qualified personnel, including consultants, we may not be able to successfully implement our business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compete in the highly competitive biotechnology and pharmaceutical industries depends upon our ability to attract and retain qualified managerial, scientific and medical personnel. We are dependent on our managerial, scientific and medical personnel, including our Chief Executive Officer, Chief Operating Officer, Chief Medical Officer, Chief Financial Officer and Chief Technology Officer. We have experienced numerous changes in management, and such frequent changes could be disruptive to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do not succeed in attracting and retaining qualified personnel,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 We have relied upon and plan to continue to rely upon third parties, including consultants, to act in management roles. While we have agreements with such third parties, we do not have the same ability to influence their time commitment to us as we would if they were employees. Furthermore, we are dependent on our ability to attract, hire, relocate and retain qualified managerial, scientific and medical personnel from various jurisdictions. Therefore, immigration requirements may have a significant influence on our human resources planning. Immigration applications can take several months or more to be finalized. If we are unable to complete the requisite visa applications, either as a result of changing requirements or otherwise, our ability to successfully implement our business strategy could suffer, which could have a material adverse effect on our business, financial condition,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third parties, including consultants,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relied upon and plan to continue to rely upon third parties, including independent clinical investigators, academic partners, medical institutions, consultants and third-party CROs, to conduct our preclinical studies and clinical trials, including in some instances sponsoring such clinical trials, and to engage with regulatory authorities and monitor and manage data for our ongoing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preclinical and clinical programs. While we have, or will have, agreements governing the activities of such third parties, we will control only certain aspects of their activities and have limited influence over their actual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third parties or consultants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other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other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with respect to investigator-sponsored trials that may be conducted, we do not control the design or conduct of these trials, and it is possible that the FDA or EMA will not view these investigator- 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 order to successfully implement our plans and strategies, we will need to grow the size of our organization and we may experience difficulties in managing this growth.</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expect to experience significant growth in the number of our employees and/or number of consultants as well as the scope of our operations, particularly in the areas of drug development, clinical operations, regulatory affairs and, potentially, others. To manage our anticipated future growth, we must continue to implement and develop our managerial, operational and financial systems, expand our facilities and continue to recruit and train additional qualified personnel. Due to our limited financial resources and the limited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experience of our management team in managing a company with such anticipated growth, we may not be able to effectively manage the expansion of our operations or recruit and train additional qualified personnel.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internal computer systems, or those of any of the third parties with whom we work (including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Despite the implementation of security measures in an effort to protect systems that store our information, given their size and complexity and the increasing amounts of information maintained on our internal information technology systems and those of the third-parties with whom we work, such as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traditional computer “hackers,” threat actors, “hacktivists,” organized criminal threat actors, sophisticated nation states, and nation-state supported actors), which may compromise our system infrastructure or lead to the loss, destruction, alteration or dissemination of, or damage to, our data and cause program delays that could negatively impact our ability to meet our desired clinical development timelines.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cyber-attacks may include, but are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ransomware attacks, supply-chain attacks, software bugs, server malfunctions, software or hardware failures, loss of data or other information technology assets, adware, attacks enhanced or facilitated by AI, and other similar threats.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The likelihood and severity of these attacks may increase as we become more visible in the marketplace and approach significant milestones, such as key clinical data readouts or regulatory submissions.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third parties to operate critical business systems to process sensitive information in a variety of contexts.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the ZB Assets could be delayed. For example, we have been the target of unsuccessful phishing attempts in the past, and expect such attempts will continue in the future. A security incident or other interruption could disrupt our ability (and that of third parties with whom we work) to provide our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or our customers could be leaked, disclosed, or revealed as a result of or in connection with our employees’, personnel’s, or vendors’ use of generative AI technologies.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plan to utilize and depend upon independent investigators and collaborators, such as medical institutions, CROs, contract development and manufacturing organizations (“CDMOs”)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product candidates in clinical development. If we or any of these third parties fail to comply with applicable GCP regulations,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even if responsibilities have been outlined in agreements with external partners, such as CROs. In addition, our clinical trials must be conducted with product produced under cGMP regulations.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third parties conducting our clinical trials will not be our employees and, except for remedies available to us under our agreements with such third parties, we cannot control whether they devote sufficient time and resources to the ZB Assets.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the ZB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intend to rely on third parties to manufacture the ZB Assets. There can be no assurance that we will successfully negotiate future agreements with third-party manufacturers for the ZB Assets on acceptable terms or at all. Our business could be adversely affected if the third-party manufacturers are unable to produce the ZB Assets, fail to provide us with sufficient quantities of the ZB Assets or fail to do so at acceptable quality levels or prices.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currently own or operate any facility that may be used to manufacture the ZB Assets (including any drug substance or finished drug product) and must rely on CDMOs to produce them for us. We have not yet validated the commercial scale and may not be able to do so for the ZB Assets for approval. For tibulizumab, we do not currently own any cGMP compliant drug product and will not be able to conduct any clinical trials until we do. There can be no assurance that we will successfully negotiate agreements with CDMOs to manufacture future ZB Assets on acceptable terms or at all.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not participated in the manufacturing process of, and are completely dependent on, our contract manufacturing partners for manufacture of the ZB Assets and for compliance with cGMP requirements and any other regulatory requirements of the FDA or other regulatory authorities for the manufacture of the ZB Assets. If our partners do not successfully carry out their contractual duties, meet expected deadlines, or manufacture the ZB Assets in accordance with regulatory requirements, or if there are disagreements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between us and our CDMO, we will not be able to complete, or may be delayed in completing, the clinical trials required to support approval of the ZB Assets or the FDA, EMA or other regulatory agencies may refuse to accept our clinical or preclinical data. If the FDA, EMA, or a comparable foreign regulatory authority does not approve these facilities for the manufacture of the ZB Assets or if it withdraws any approval in the future, we may need to find alternative manufacturing facilities, which would require the incurrence of significant additional costs and materially and adversely affect our ability to develop, obtain regulatory approval for or market the ZB Assets, if approved. Similarly, our failure, or the failure of our CDMOs, to comply with applicable regulations could result in sanctions being imposed on us, including fines, injunctions, civil penalties, delays, suspension or withdrawal of approvals, license revocation, seizures or recalls of the ZB Assets, operating restrictions and criminal prosecutions, any of which could significantly and adversely affect supplies of the ZB Assets and harm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if any CDMO on which we will rely are unable to produce the ZB Assets at all, or fail to manufacture quantities of the ZB Assets at quality levels necessary to meet our clinical requirements, or regulatory requirements at a scale sufficient to meet anticipated demand, and at a cost that allows us to continue development and to achieve profitability, our business, financial condition and prospects could be materially and adversely affected. Our business could be similarly affected by business disruptions to our third-party providers with potential impacts on our future revenue and financial condition and our costs and expenses. If any CDMOs we contract with are unable to meet our timelines or cost and quantity demands, we may need to find additional CDMOs and negotiate new manufacturing agreements. We may also incur substantial fees if we contract with a CDMO to access a cell-line and we ultimately decide not to use that cell-line or that CDMO for the manufacturing of the ZB Assets and need to obtain resources elsewhere. Each of these risks could delay or prevent the commencement as well as the completion of our clinical trials or the approval of the ZB Assets by the FDA, including by causing us to have to rerun clinical studies, which would result in higher costs and could adversely impact the commercialization of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some third party CDMOs have intellectual property, such as patents and/or know-how for which they require an annual fee, milestones and/or royalties. These financial obligations increase the overall cost of goods and can reduce profitability or reduce the valuation of the product. We have such agreements in place, and may need additional agreements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in the future, form or seek collaborations or strategic alliances or enter into licensing arrangements, and we may not realize the benefits of such collaborations, alliances or licensing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in the future, form or seek strategic alliances, create joint ventures or collaborations, or enter into licensing arrangements with third parties that we believe will complement or augment our development and commercialization efforts with respect to the ZB Assets and/or our operations more broadly. Any of these relationships may require us to increase our near and long-term expenditures, issue securities that dilute our existing shareholders or disrupt our management and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Further, collaborations involving our product candidates are subject to numerous risks, which may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have significant discretion in determining the efforts and resources that they will apply to a collaboration;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stop a clinical trial,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products that compete directly or indirectly with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products may not commit sufficient resources to their marketing and distribution;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protect our intellectual property or proprietary information or may use our intellectual property or proprietary information in a way that gives rise to actual or threatened litigation that could jeopardize or invalidate our intellectual property or proprietary information or expose us to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may be terminated and, if terminated, may result in a need for additional capital to pursue further development or commercialization of the applicable product candidate;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own or co-own intellectual property covering our product candidates that results from our collaborating with them, and in such cases, we would not have the exclusive right to such intellectual property or may require a license from the collaborator for such intellectual property in order to commercialize the product candidate and/or discourage generic competition.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Furthermore, if conflicts arise between our future corporate or academic collaborators or strategic partners and us, the other party may act in a manner adverse to us and could limit our ability to implement our strategies.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financial condition, results of operations and business reputation could be adversely affected by our recent internal review of certain agreements and other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previously disclosed, the audit committee of our board of directors formed an audit subcommittee to review our agreements and relationships with BAFFX17 and Stone Peach, among other matters, and engaged independent legal counsel to review the matters described therein. The review, the outcome of the review and other events arising in connection with these matters may materially adversely impact our financial condition and results of operations. See “Part II, Item 7. “Management’s Discussion and Analysis of Financial Condition and Results of Operations—Audit Subcommittee Investigation,” of this Annual Report for further information regarding the audit subcommittee review.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increasing use of social media platforms presents new risks and challenges.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or an employee or contractor may use social media to post information that is inaccurate, unauthorized or otherwise detrimental to our business, reputation or interests.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 or products. If any of these events were to occur or we otherwise fail to comply with applicable regulations, we could incur liability, face regulatory actions or incur other harm to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disclosure controls and procedures may not prevent or detect all errors or acts of fraud.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we could fail to recognize actual or potential conflicts arising from the relationship or arrangement that our directors or executive officers have with another company.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identify material weaknesses in our internal control over financial reporting in the future or fail to maintain an effective system of internal control over financial reporting, which may result in material misstatements of our consolidated financial statements or cause us to fail to meet periodic reporting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are required to comply with SEC rules that implement Section 404 of the Sarbanes-Oxley Act and make an ongoing, formal assessment of the effectiveness of our internal controls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assure you that the measures we have taken to date, and actions we may take in the future, will prevent or avoid control deficiencies that could lead to material weaknesses in our internal control over financial reporting in the future. Our current controls, and any new controls that we develop, may become inadequate because of changes in conditions in our business. Further, deficiencies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performed a formal evaluation of our internal control over financial reporting under the supervision and with the participation of management, including our principal executive officer and principal financial officer, as required by Section 404 of the Sarbanes-Oxley Act. We have not engaged an independent registered public accounting firm to perform an audit of our internal control over financial reporting as of any balance sheet date or for any period reported in our financial statements. We are required to evaluate and disclose changes made in our internal controls and procedures on a quarterly basis. Failure to comply with the Sarbanes-Oxley Act could potentially subject us to sanctions or investigations by the SEC, the applicable stock exchange or other regulatory authorities, which would require additional financial and management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Zura and, as a result, the market price of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are required to comply with the requirements of the Sarbanes-Oxley Act, including, among other things, that we maintain effective disclosure controls and procedures and internal control over financial reporting. We continue to develop and refine our disclosure controls and other procedures that are designed to ensure that information we are required to disclose in the reports that we will file with the SEC are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maintain and improve the effectiveness of our disclosure controls and procedures and internal control over financial reporting, we have expended, and anticipate that we will continue to expend, significant resources, including dedicated to internal resources. We may also need to engage outside consultants and adopt a detailed work plan to assess and document the adequacy of our internal control over financial reporting. If any of these new or improved controls and systems do not perform as expected, we may experience material weaknesses in our controls. Moreover, our testing, or the subsequent testing by our independent registered public accounting firm, may reveal additional deficiencies in our internal control over financial reporting that are deemed to be material weaknesses.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ordinary shares. In addition, we could be subject to sanctions or investigations by the stock exchange on which our ordinary shares are listed, the SEC and other regulatory authorities.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Increasing regulatory focus on privacy and security issues and expanding laws and regulatory requirements could impact our business models and expose us to increased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global data protection, privacy and security laws, regulations and codes of conduct that relate to our business activities, which may include sensitive, confidential, and personal information. These laws, regulations and codes are inconsistent across jurisdictions and are subject to evolving and differing (sometimes conflicting) interpretations. Government officials and regulators, privacy advocates and class action attorneys are increasingly scrutinizing how companies collect, process, use, store, share and transmit personal data. This scrutiny can result in new and shifting interpretations of existing laws, thereby further impacting our business. For example, the GDPR in the European Economic Area, and the United Kingdom continues to be interpreted by European and U.K. courts in novel ways leading to shifting requirements, country specific differences in application and uncertain enforcement priorities. Under the GDPR, companies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 recently enacted laws globally, and new and emerging state laws in the United States on privacy, data and related technologies, such as the California Consumer Privacy Act (“CCPA”), the California Privacy Rights Act, the Colorado Privacy Act and the Virginia Consumer Data Protection Act, as well as industry self-regulatory codes and regulatory requirements, create new privacy and security compliance obligations and expand the scope of potential liability, either jointly or severally with our customers and suppliers.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security example, pursuant to the SEC’s Rules on Cybersecurity Risk Management, Strategy, Governance, and Incident Disclosure we are required to make certain disclosures related to material cybersecurity incidents and the reasonably likely impact of such an incident on Form 8-K and will be required to make certain other cybersecurity disclosures on Form 10-K. Determining whether a cybersecurity incident is notifiable or reportable may not be straightforward and any such mandatory disclosures could be costly and lead to negative publicity, loss of customer confidence in the effectiveness of our security measures, diversion of management’s attention and governmental investigations. We publish privacy policies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made certain investments in readiness to comply with applicable requirements, the dynamic and evolving nature of these laws, regulations and codes, as well as their interpretation by regulators and courts, may affect our ability to implement our business models effectively and to adequately address disclosure requirements. These laws, regulations and codes may also impact our innovation and business drivers and may force us to bear the burden of more obligations. Perception of our practices, products, services or solutions, even if unfounded, as a violation of individual privacy, data protection rights or cybersecurity requirements, subjects us to public criticism, lawsuits (including class-action claims), government enforcement actions (e.g., fines, penalties, audits, inspections, investigations, audits), additional reporting requirements and/or oversight, bans or restrictions on processing personal data (including clinical trial data), orders to destroy or not use personal data (including clinical trial data), claims and other proceedings by regulators, industry groups or other third parties, all of which could disrupt or adversely impact our business and reputation and expose us to increased liability, fines and other punitive measures including interruptions or stoppages in our business operations (including clinical trials), inability to process personal data in certain jurisdictions, prohibition on sales of our products, services or solutions, restrictive judicial orders and disgorgement of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substantial competition, which may result in others discovering, developing, licensing or commercializing products before or more successfully than we do.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pharmaceutical companies that develop and/or market products for the indications we are pursuing are likely to represent substantial competition. These include companies actively developing and/or marketing IL-7R inhibitors (such as Q32 Bio Inc. and OSE Immunotherapeutics SA), TSLPR inhibitors (such as Upstream Bio, Inc.), IL-33 inhibitors (such as Regeneron Pharmaceuticals, Inc. / Sanofi and AstraZeneca plc), ST2 inhibitors (such as Roche Holding AG / Genentech, Inc.), IL-17A inhibitors (such as MoonLake Immunotherapeutics, UCB SA, and Novartis AG), and BAFF inhibitors (such as GSK plc and Novartis AG). The above mechanisms may be of potential therapeutic use in one or more of the indications we plan to pursue in the Phase 2 program. If the ZB Assets do not offer sustainable advantages over competing products, we may otherwise not be able to successfully compete against current and future competitors. Conversely, mixed or negative results from competitors developing comparable mechanisms of action may adversely affect the outlook for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competitors may obtain regulatory approval of their products more rapidly than we may or may obtain patent protection or other intellectual property rights that limit our ability to develop or commercialize the ZB Assets. Our competitors may also develop drugs that are more effective, more convenient, more widely used or less costly or have a better safety profile than the ZB Assets and these competitors may also be more successful than us in manufacturing and marketing their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we also face competition more broadly across the market for existing cost-effective and reimbursable treatments for T-cell and B-cell mediated diseases, autoimmune diseases, and inflammatory diseases. The ZB Assets, if approved, may compete with these existing drug and other therapies but may not be competitive with them in price. We expect that if the ZB Assets are approved, they will be priced at a significant premium over biosimilar and generic, including branded generic, products. As a result, obtaining market acceptance of, and gaining significant share of the market for the ZB Assets will pose challenges.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Public health crises such as pandemics or similar outbreaks have affected and could continue to seriously and adversely affect our preclinical studies and anticipated clinical trials,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pandemics, related “shelter in place” orders and other public health guidance measures, we may experience disruptions that could seriously harm our business. Potential disruptions include but are not limited to: delays or difficulties in enrolling patients in, initiating or expanding our clinical trials, including delays or difficulties with clinical site initiation and recruiting clinical site investigators and clinical site staff; increased rates of patients withdrawing from our clinical trials following enrollment as a result of contracting health conditions or being forced to quarantine; interruption of key clinical trial activities, such as clinical trial site data monitoring and efficacy, safety and translational data collection, processing and analyses, due to limitations on travel imposed; recommendations by federal, state or local governments, employers and others or interruptions of clinical trial subject visits, which may impact the collection and integrity of subject data and clinical trial endpoints; diversion of healthcare resources away from the conduct of clinical trials, including the diversion of hospitals serving as our clinical trial sites and hospital staff supporting the conduct of our clinical trials; delays or disruptions in preclinical experiments and IND-enabling studies due to restrictions of on-site staff and unforeseen circumstances at CROs and vendors; interruption or delays in the operations of the FDA, EMA, and comparable foreign regulatory authorities including delays in receiving approval from local regulatory authorities to initiate our planned clinical trials; interruption of, or delays in receiving, supplies of the ZB Assets due to staffing shortages, raw materials shortages, production slowdowns or stoppages and disruptions in delivery systems; and 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Pandemics and other public health guided measures may also affect the ability of the FDA, EMA, and other regulatory authorities to perform routine functions.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extent to which pandemics evolve may affect our clinical trials, business, financial condition and results of operations will depend on future developments, which are highly uncertain and cannot be predicted, such as the duration of the pandemic, new or continued travel restrictions and actions to contain the outbreak or treat its impact, such as social distancing and quarantines or lock-downs, business closures or business disruptions. Future developments in these and other areas present material uncertainty and risk with respect to our clinical trials,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Pandemics and other similar disruptions may also have the effect of heightening many of the other risks described in this “Risk Factors” section.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operations, financial position, and clinical development plans and timelines could be materially adversely affected by international conflicts and economic sanctions.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position and operations may be materially and adversely affected by international conflicts, including military action (e.g., in Ukraine, Iran and the broader Middle East), civil disturbance (e.g., conflicts in Mexico) and economic sanctions imposed by certain governments. These conflicts may impact our ability to carry out clinical development activities in certain countries or regions. As our ability to continue to operate will be dependent on raising debt and equity finance, any adverse impact to those markets as a result of international conflict, including due to increased market volatility, decreased availability in third-party financing and/or a deterioration in the terms on which it is available (if at all), could negatively impact our business, operations or financial position. The extent of any potential impact is not yet determinable, however.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Third-party manufacturers in other countries may be subject to U.S. legislation or investigations, including the proposed BIOSECURE Act, sanctions, trade restrictions, and other foreign regulatory requirements, which could increase the cost or reduce the supply of material available to us, delay the procurement or supply of such material, delay or impact clinical trials, and could adversely affect our financial condition and business prospects. For example, the current U.S. federal government administration has recently proposed tariffs on certain U.S. imports, and China and other countries have responded with and/or threatened retaliatory tariffs on certain U.S. exports. We cannot predict what effects these tariffs and potential additional tariffs will have on our business, including in the context of escalating trade tensions. However, these tariffs and other trade restrictions could increase our operating costs, reduce our gross margins or otherwise negatively impact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WuXi Biologics has historically been our sole supplier of torudokimab. We have moved our existing product from WuXi to the U.K. When we require additional product, we may find a new manufacturing facility for torudokimab. There is a risk that supplies of torudokimab may be significantly delayed by, or may become unavailable as a result of, finding a new manufacturer or business-related issues affecting WuXi Biologics, including manufacturing, equipment, process or regulatory issues. If we continue to have product manufactured at WuXi Biologics, we may also face additional manufacturing and supply-chain risks due to the regulatory and political structure of the PRC, or as a result of the international relationship with the PRC, including but not limited to sanctions and tariffs imposed by the U.S. government on WuXi. Although currently there has been no impact on our ability to obtain supply of torudokimab, there can be no assurance that operations would not be impacted in the future with a negative impact on the supply of, or use of, torudokimab.</w:t>
      </w:r>
    </w:p>
    <w:p>
      <w:pPr>
        <w:pStyle w:val="TextBody"/>
        <w:bidi w:val="0"/>
        <w:spacing w:before="0" w:after="240"/>
        <w:ind w:left="0" w:right="0" w:hanging="0"/>
        <w:jc w:val="both"/>
        <w:rPr>
          <w:rFonts w:ascii="Times New Roman;Times;serif" w:hAnsi="Times New Roman;Times;serif"/>
          <w:b/>
          <w:sz w:val="20"/>
        </w:rPr>
      </w:pPr>
      <w:bookmarkStart w:id="75" w:name="RisksRelatedtoOwnershipofOurClassAOrdina"/>
      <w:bookmarkEnd w:id="75"/>
      <w:r>
        <w:rPr>
          <w:rFonts w:ascii="Times New Roman;Times;serif" w:hAnsi="Times New Roman;Times;serif"/>
          <w:b/>
          <w:sz w:val="20"/>
        </w:rPr>
        <w:t>Risks Related to Ownership of Our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of our securities may be volatile and may decline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consummation of the Business Combination, the market value of our securities has fluctuated. Future fluctuations in the price of our securities could contribute to the loss of all or part of a shareholder’s investment. The market prices for securities of biotechnology and pharmaceutical companies have historically been highly volatile, and the market has from time to time experienced significant price and volume fluctuations that are unrelated to the operating performance of particular companies. If an active market for our securities continues, the market price of our ordinary shares may fluctuate significantly in response to numerous factors, some of which are beyond our control, such as:</w:t>
      </w:r>
    </w:p>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the ZB Assets, if approved;</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regarding results of any clinical trials relating to our product candidates;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serious safety concerns related to the use of the ZB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decisions;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the ZB Assets, including but not limited to clinical trial requirements for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disputes or other developments relating to proprietary rights, including patents, litigation matters and our ability to obtain patent protection for the ZB Assets, government investigations and the results of any proceedings or lawsuits, including, but not limited to, patent or shareholder litigation;</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decision to initiate a clinical trial, not initiate a clinical trial or to terminate an existing clinical trial;</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third parties;</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 introduction of new products by our competitors;</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and trends in the pharmaceutical and biotechnology sectors;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concerning product development results or intellectual property rights of others;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ordinary shares or other securities;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any financial guidance or expectations regarding product development milestones that we may provide to the public;</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quarterly operating results;</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or exceed the estimates and projections of the investment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 and other factors that may be unrelated to our operating performance or the operating performance of our competitors, including changes in market valuations of similar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or our competitors;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us or by any securities analysts who might cover our shares;</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 of the market values of any of our potential strategic investments;</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debt or equity securities;</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our contractual obligations;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Ordinary Shares by us or our shareholders in the future;</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our Class A Ordinary Shares;</w:t>
            </w:r>
          </w:p>
        </w:tc>
      </w:tr>
    </w:tbl>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ineffectiveness of our internal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our industry or positive or negative recommendations or withdrawal of research coverage by securities analysts;</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political and economic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natural or man-made catastrophic events;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public health crises, pandemics and epidemics; and</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are beyond our control.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the equity markets in general have recently experienced extreme price and volume fluctuations. Continued market fluctuations could result in extreme volatility in the price of Class A Ordinary Shares, which could cause a decline in the value of Class A Ordinary Shares. Price volatility of Class A Ordinary Shares might worsen if the trading volume of Class A Ordinary Shares is low. In the past, shareholders have initiated class action lawsuits against pharmaceutical and biotechnology companies following periods of volatility in the market prices of these companies’ share. Such litigation, if instituted against us, could cause us to incur substantial costs and divert management’s attention and resources from our business. The realization of any of the above risks or any of a broad range of other risks, including those described in these “Risk Factors,” could have a dramatic and material adverse impact on the market price of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not paid cash dividends in the past and we do not expect to pay cash dividends in the foreseeable future. Any return on investment may be limited to the capital appreciation, if any, of our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paid cash dividends on our Class A Ordinary Shares and we do not anticipate paying cash dividends on our Class A Ordinary Shares in the foreseeable future. The payment of dividends on our shares will depend on our ability to comply with relevant legal requirements as well as our earnings, financial condition and other business and economic factors affecting us at such time as the Board of Directors may consider relevant. Since we do not intend to pay dividends, a shareholder’s ability to receive a return on such shareholder’s investment will depend on any future appreciation in the market value of our Class A Ordinary Shares. There is no guarantee that our Class A Ordinary Shares will appreciate or even maintain the price at which our shareholders have purchased it.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sales and/or issuances of our securities could result in additional dilution of the percentage ownership of our existing shareholders and could cause our share price to fall.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or any of our existing shareholders sell our Class A Ordinary Shares,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securities. Sales of a substantial number of our Class A Ordinary Shares in the public market, including the resale of the Class A Ordinary Shares held by our shareholders, could occur at any time. These sales, or the perception in the market that the holders of a large number of Class A Ordinary Shares intend to sell shares, could reduce the market price of our Class A Ordinary Shares. Pursuant to our Amended and Restated Registration and Shareholder Rights Agreement, dated March 20, 2023, by and among us and the shareholders party thereto (the “A &amp; R Registration Rights Agreement”), certain shareholders are entitled to have a registration statement kept effective for a prolonged period of time such that registered resales of their Class A Ordinary Shares can be made.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obligations under the A&amp;R Registration Rights Agreement, we filed a resale shelf registration statement, which the SEC declared effective on September 14, 2023, as amended (the “Resale Registration Statement”), covering the resale of up to an aggregate of 21,248,364 Class A Ordinary Shares, 3,782,000 2023 Pre-Funded Warrants (as defined herein) and 3,782,000 Class A Ordinary Shares issuable upon the exercise of the 2023 Pre-Funded Warrants. Until such time that it is no longer effective, the Resale Registration Statement permits the resale of these shares for a significant period of time, the precise duration of which cannot be predicted. The resale, or expected or potential resale, of a substantial number of shares of our Class A Ordinary Shares in the public market could adversely affect the market price for our Class A Ordinary Shares and make it more difficult for you to sell your holdings at times and prices that you determine are appropriate. Accordingly, the adverse market and price pressures resulting from an offering pursuant to the registration statement may continue for an extended period of time.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we currently have on file with the SEC a shelf registration statement on Form S-3 which allows us to offer and sell our ordinary shares, preference shares, debt securities, warrants and or units from time to time pursuant to one or more offerings at prices and terms to be determined at the time of sale. In September 2024, we entered into a Sales Agreement (the “Sales Agreement”) with Leerink Partners (“Leerink”), pursuant to which, from time to time, we may offer and sell through Leerink up to $125.0 million of our Class A Ordinary Shares registered under the shelf registration statement pursuant to one or more “at the market” offerings. From time to time, we have issued and sold Class A Ordinary Shares pursuant to this agreement and as of the date of this filing, we have $114.0 million of Class A Ordinary Shares remaining available for sale under the Sales Agreement. Sales of our Class A Ordinary Shares under the Sales Agreement with Leerink could be subject to business, economic or competitive uncertainties and contingencies, many of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may be beyond our control, and which could cause actual results from the sale of our Class A Ordinary Shares to differ materially from expectations.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additional capital is raised through the sale and issuance of shares or other securities convertible into shares, the ownership interest of our shareholders will be diluted. Future issuances of our Class A Ordinary Shares or other equity securities, or the perception that such sales may occur, could adversely affect the trading price of our Class A Ordinary Shares and impair our ability to raise capital through future offerings of shares or equity securities. No prediction can be made as to the effect, if any, that future sales of our Class A Ordinary Shares or the availability of our Class A Ordinary Shares for future sales will have on the trading price of our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certain holders of our Class A Ordinary Shares sell a significant portion of their securities, it may negatively impact the market price of our Class A Ordinary Shares and such holders still may receive significant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shareholders hold approximately 3,450,000 shares of our Class A Ordinary Shares that were originally purchased by JATT’s sponsor, JATT Ventures, L.P, in a private placement prior to JATT’s initial public offering at an effective purchase price of $0.007 per share (the “Founder Shares”) Accordingly, holders of the Founder Shares could sell their securities at a per-share price that is meaningfully less than the current market price of our Class A Ordinary Shares and still realize a significant profit from the sale of those securities that could not be realized by our other shareholders. As a result, holders of the Founder Shares may be more incentivized than our other shareholders to sell our Class A Ordinary Shares. If holders of the Founder Shares were to sell a significant portion of their securities, it may negatively impact the price of our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operating results have and may continue to fluctuate significantly.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operating results to be subject to quarterly, and possibly annual, fluctuations. Our net loss and other operating results will be affected by numerous factors, including:</w:t>
      </w:r>
    </w:p>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the level of expenses related to our development programs;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 or termination of clinical trials;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infringement lawsuit in which we may become involved;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the ZB Assets, regulatory approvals, and the level of underlying demand for such products and purchasing patterns;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execution of any collaborative, licensing or similar arrangements, and the timing of payments we may make or receive under these arrangements.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quarterly or annual operating results fall below the expectations of investors or securities analysts, the price of our ordinary shares could decline substantially. Furthermore, any quarterly or annual fluctuations in our operating results may, in turn, cause the price of our ordinary shares to fluctuate substantially.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The absence, reduction, or unfavorable nature of securities or industry analyst coverage of our business, as well as unfavorable third</w:t>
      </w:r>
      <w:r>
        <w:rPr>
          <w:rFonts w:ascii="Times New Roman;Times;serif" w:hAnsi="Times New Roman;Times;serif"/>
          <w:sz w:val="20"/>
        </w:rPr>
        <w:noBreakHyphen/>
      </w:r>
      <w:r>
        <w:rPr>
          <w:rFonts w:ascii="Times New Roman;Times;serif" w:hAnsi="Times New Roman;Times;serif"/>
          <w:b/>
          <w:i/>
          <w:sz w:val="20"/>
        </w:rPr>
        <w:t>party reports or commentary and the existence of pre</w:t>
      </w:r>
      <w:r>
        <w:rPr>
          <w:rFonts w:ascii="Times New Roman;Times;serif" w:hAnsi="Times New Roman;Times;serif"/>
          <w:sz w:val="20"/>
        </w:rPr>
        <w:noBreakHyphen/>
      </w:r>
      <w:r>
        <w:rPr>
          <w:rFonts w:ascii="Times New Roman;Times;serif" w:hAnsi="Times New Roman;Times;serif"/>
          <w:b/>
          <w:i/>
          <w:sz w:val="20"/>
        </w:rPr>
        <w:t>funded warrants, could adversely affect the market price and trading volume of our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Class A Ordinary Shares is influenced by research reports, recommendations and other commentary published by securities or industry analysts that cover us or our business.  We currently have research coverage from a limited number of analysts, and we cannot assure that additional analysts will initiate coverage of us or that existing coverage will be maintained. The scope, frequency and extent of analyst coverage may be limited due to factors beyond our control, including our market capitalization, operating history, clinical</w:t>
        <w:noBreakHyphen/>
        <w:t>stage development profile, capital structure or the nature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be referenced in reports, analyses or other publications by third parties that do not formally cover us, including industry reports or market commentary. The content, accuracy and timing of information contained in such publications is outside of our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limited number of securities or industry analysts cover us, or if analysts that cover us issue unfavorable opinions regarding our business, business model, intellectual property, clinical trials, operating results or share performance, the market price or trading volume of our Class A ordinary shares may be adversely affected. In addition, if analysts reduce the frequency of their reports or fail to publish research on us on a regular basis, we may experience reduced visibility in the financial markets, which could adversely affect the market price or trading volume of our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outstanding pre</w:t>
        <w:noBreakHyphen/>
        <w:t>funded warrants to purchase Class A ordinary shares. The existence of pre</w:t>
        <w:noBreakHyphen/>
        <w:t>funded warrants and the potential for their exercise may be reflected differently across analyst reports or third</w:t>
        <w:noBreakHyphen/>
        <w:t>party publications, which may contribute to investor uncertainty, share price volatility or changes in trading volume.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Raising additional capital may cause dilution to our existing shareholders, restrict our operations or require us to relinquish rights to the ZB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issue additional equity securities to fund future expansion and pursuant to equity incentive or employee benefit plans. We may also issue additional equity for other purposes. These securities may have the same rights as the Class A Ordinary Shares or, alternatively, may have dividend, liquidation or other preferences to the Class A Ordinary Shares. The issuance of additional equity securities will dilute the holdings of existing shareholders and may reduce the share price of the Class A Ordinary Shares.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Pursuant to the 2023 Zura Bio Limited Equity Incentive Plan, as amended (the “EIP”), we are authorized to grant equity awards to our employees, directors and consultants. In addition, pursuant to the 2023 Employee Stock Purchase Plan (“ESPP”), we are authorized to sell shares to our employees. As of December 31, 2025, a total of 12,859,090 and 4,029,898 Class A Ordinary Shares have been reserved for future issuance under the EIP and the ESPP, respectively. In addition, the EIP and ESPP provide for annual automatic increases in the number of shares reserved thereunder on January 1</w:t>
      </w:r>
      <w:r>
        <w:rPr>
          <w:rFonts w:ascii="Times New Roman;Times;serif" w:hAnsi="Times New Roman;Times;serif"/>
          <w:sz w:val="15"/>
        </w:rPr>
        <w:t>st</w:t>
      </w:r>
      <w:r>
        <w:rPr>
          <w:rFonts w:ascii="Times New Roman;Times;serif" w:hAnsi="Times New Roman;Times;serif"/>
          <w:sz w:val="20"/>
        </w:rPr>
        <w:t xml:space="preserve"> of each year, unless our Board of Directors, or the appropriate committee thereof, elects not to increase the number of shares underlying the EIP and ESPP each year. Accordingly, on January 1, 2026, the shares reserved for future issuances under the EIP was increased by 5%. As a result of such annual increases, our shareholders may experience additional dilution, which could cause the price of our Class A Ordinary Shares to fall.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raise additional funds through collaboration, licensing or other similar arrangements, we may have to relinquish valuable rights to the ZB Assets, or grant licenses on terms unfavorable to us. If adequate funds are not available, our ability to achieve profitability or to respond to competitive pressures would be significantly limited and we may be required to delay, significantly curtail or eliminate the development of the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U.S.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Anti-takeover provisions in the MAA and under Cayman Islands law could make an acquisition, which may be beneficial to our shareholders, more difficult and may prevent attempts by our shareholders to replace or remove our current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Second Amended and Restated Memorandum and Articles of Association of Zura Bio Limited (the “MAA”) and the Companies Act (Revised) of the Cayman Islands (the “Cayman Islands Companies Act”) contain provisions that could make it more difficult for a third party to acquire us, even if doing so might be beneficial to our shareholders. Among other things, these provisions: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Board of Directors to authorize the issuance of preference shares, the terms of which may be established and the shares of which may be issued without shareholder approval, and which may include such preferred, deferred or other rights or restrictions, whether in regard to voting, dividends or other distributions, return of capital or other rights;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directors may only be removed (a) for cause by the vote of a majority of the other directors then in office or (b) by the affirmative vote of holders of at least two-thirds of the total voting power of all the then-outstanding Class A Ordinary Shares entitled to vote thereon, voting together as a single class;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shareholder action by written resolution;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extraordinary general meetings may only be called by or at the direction of (a) the Chairman of the Board of Directors, the Board of Directors or the Chief Executive Officer or (b) members holding not less than 10% in par value of the issued shares which as at the date of the requisition for a meeting carry the right to vote at general meetings;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any alteration, amendment or repeal, in whole or in part, of any provision of the MAA by our shareholders will require the affirmative vote of the holders of at least two-thirds of the total voting power of all the then-outstanding Class A Ordinary Shares entitled to vote thereon, voting together as a single class;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appointment of directors to the Board of Directors and for proposing matters that can be acted upon by shareholders at general meetings.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anti-takeover provisions and other provisions in the MAA and Cayman Islands law could make it more difficult for shareholders or potential acquirors to obtain control of the Board of Directors or initiate actions that are opposed by our then-current Board of Directors and could also delay or impede a merger, tender offer or proxy contest involving us. The existence of these provisions could negatively affect the price of our Class A Ordinary Shares and limit opportunities for a shareholder to realize value in a corporate transaction. In addition, if prospective takeovers are not consummated for any reason, we may experience negative reactions from the financial markets, including negative impacts on the price of our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MAA designate the Cayman Islands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MAA, unless we contest in writing to the selection of an alternative forum, the Courts of the Cayman Islands and any appellate court therefrom, will, to the fullest extent permitted by law, be the sole and exclusive forum for any claim or dispute arising out of or in connection with the MAA or otherwise relating to each shareholder’s shareholding in Zura, including but not limited to (i) any derivative action or proceeding brought on our behalf; (ii) any action asserting a claim of breach of a fiduciary duty owed by any of our current or former directors, officers or other employees to us or our shareholders; (iii) any action asserting a claim arising pursuant to any provision of the Cayman Islands Companies Act, or the MAA; (iv) any action asserting a claim against us governed by the “internal affairs doctrine,” (as such concept is recognized under the laws of the United States of America); </w:t>
      </w:r>
      <w:r>
        <w:rPr>
          <w:rFonts w:ascii="Times New Roman;Times;serif" w:hAnsi="Times New Roman;Times;serif"/>
          <w:i/>
          <w:sz w:val="20"/>
        </w:rPr>
        <w:t>provided that</w:t>
      </w:r>
      <w:r>
        <w:rPr>
          <w:rFonts w:ascii="Times New Roman;Times;serif" w:hAnsi="Times New Roman;Times;serif"/>
          <w:sz w:val="20"/>
        </w:rPr>
        <w:t>, for the avoidance of doubt, the foregoing forum selection provision will not apply to claims arising under the Securities Act, the Exchange Act or any other claim for which the federal district courts are, as a matter of the laws of the United States, the sole and exclusive forum for determination of such a claim.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forum selection provisions in the MAA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we may incur additional costs associated with resolving such challenge. While we currently have no basis to expect any such challenge would be successful, if a court were to find its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Board of Directors, and could have an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an emerging growth company, and we cannot be certain if the reduced reporting requirements applicable to emerging growth companies will make our securities less attractive to investors.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periodic reports and proxy statements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exemptions from the requirements of holding nonbinding advisory shareholder votes on executive compensation and shareholder approval of any golden parachute payments not previously approved. We cannot predict if investors will find our ordinary shares less attractive because we may rely on these exemptions. If some investors find Class A Ordinary Shares less attractive as a result, there may be a less active trading market for Class A Ordinary Shares and our share price may be more volatile.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remain an emerging growth company until the earlier of (i) December 31, 2026, (ii) the last day of the fiscal year in which we have more than $1.235 billion in total annual gross revenues, (iii) the date on which we are deemed to be a large accelerated filer, which requires the market value of our ordinary shares that is held by non-affiliates to exceed $700.0 million as of the last business day of the second fiscal quarter of such year, or (iv) the date on which we have issued more than $1.0 billion in non-convertible debt during the prior three-year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and will continue to incur increased costs as a result of operating as a public company, and our management will devote substantial time to related compliance initiatives.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have and will continue to incur significant legal, accounting and other expenses that Legacy Zura did not incur as a private company, and these expenses may increase even more after we are no longer an “emerging growth company.” We are subject to the reporting requirements of the Exchange Act, the Sarbanes-Oxley Act, the Dodd-Frank Wall Street Reform and Consumer Protection Act, as well as rules and regulations adopted, and to be adopted, by the SEC and The Nasdaq Capital Market (“Nasdaq”). Our management and other personnel will need to continue to devote a substantial amount of time to these compliance initiatives. Moreover, we expect these rules and regulations to substantially increase legal and financial compliance costs and to make some activities more time-consuming and costly, which will increase operating expenses. For example, we expect these rules and regulations to make it more difficult and more expensive to obtain directors’ and officers’ liability insurance and we may be required to incur substantial costs to maintain sufficient coverage. In addition, if our directors’ and officers’ liability insurance policy lapses, is cancelled, or is not renewed, we may be unable to secure new coverage or may only be able to do so at a significantly higher cost. We cannot predict or estimate the amount or timing of additional costs we may incur to respond to these requirements. The impact of these requirements could also make it more difficult to attract and retain qualified persons to serve on the Board of Directors, committees of the Board of Directors or as executive officers. Advocacy efforts by shareholders and third parties may also prompt additional changes in governance and reporting requirements, which could further increase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enterprise resource planning system is intended to combine and streamline the management of our financial and accounting functions, enabling us to manage operations and track performance more effectively. Any disruptions or difficulties in using the enterprise resource planning system could adversely affect our controls and harm our business, financial condition and results of operations. Moreover, such disruption or difficulties could result in unanticipated costs and diversion of management attention.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To achieve compliance with Section 404 within the prescribed period, we are engaging in a process to document and evaluate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rules governing the standards that must be met for management to assess our internal control over financial reporting are complex and require significant documentation, testing and possible remediation to meet the detailed standards under the rules. During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course of testing, our management may identify material weaknesses or deficiencies which may not be remedied in time to meet the deadline imposed by the Sarbanes-Oxley Act. See above for additional information regarding a previously identified material weakness. These reporting and other obligations place significant demands on our management and administrative and operational resources, including accounting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failure to meet Nasdaq’s continued listing requirements could result in a delisting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continue to maintain the listing of our securities on Nasdaq, we are required to demonstrate ongoing compliance with Nasdaq’s continued listing requirements. If we fail to satisfy Nasdaq’s continued listing requirements, such as the minimum number of round-lot shareholders, the minimum dollar value of the public float, the total minimum capital, the corporate governance requirements or the minimum closing bid price requirement, Nasdaq may or take steps to delist our Class A Ordinary Shares. We cannot assure you that we will be able to meet all continued listing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of a delisting, we can provide no assurance that any action taken to restore compliance with listing requirements would allow our ordinary shares to become listed again, stabilize the market price or improve the liquidity of our ordinary shares, prevent our ordinary shares from dropping below the Nasdaq minimum bid price requirement or prevent future non-compliance with Nasdaq’s listing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believe that we were a Passive Foreign Investment Company (“PFIC”) for U.S. federal income tax purposes for the taxable year ended December 31, 2025, which could result in adverse U.S. federal income tax consequences to U.S.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treated as a PFIC within the meaning of Section 1297 of the U.S. Internal Revenue Code of 1986, as amended (the “Code”) for any taxable year (or portion thereof) during which a U.S. Holder (as defined below) holds our Class A Ordinary Shares (regardless of whether we remain a PFIC for subsequent taxable years), certain adverse U.S. federal income tax consequences, such as taxation at the highest marginal ordinary income tax rates on capital gains and on certain actual or deemed distributions, and interest charges on certain taxes treated as deferred, may apply to such U.S. Holder and such U.S. Holder might be subject to additional reporting requirements. Under certain circumstances, certain elections may be available to U.S. Holders of Class A Ordinary Shares to mitigate some of the adverse tax consequences resulting from PFIC treatment.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the nature of our activities and the composition of our income and assets, we believe we were a PFIC for the taxable year ended December 31, 2025. Additionally, we may be a PFIC in the current taxable year or in any subsequent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our Class A Ordinary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Accordingly, our U.S. counsel expresses no opinion with respect to our PFIC status.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we were determined to be a PFIC, you may be unable to make certain advantageous elections with respect to your ownership of the Class A Ordinary Shares that could mitigate some of the adverse consequences of our PFIC status, or making such elections retroactively could have adverse tax consequences to you. We are representing to you, and there can be no assurance, that we will or will not be treated as a PFIC for any past, current, or future taxable year. We have not sought and will not seek any rulings from the United States Internal Revenue Service (the “IRS”) or any opinion from any tax advisor as to such tax treatment. If we determine that we are a PFIC for any taxable year, upon written request by a U.S. Holder, we will endeavor to provide or make available to such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 such information as the IRS may require to enable the U.S. Holder to make and maintain a “qualified electing fund” election, but there can be no assurance that we will timely provide such required information. U.S. Holders should consult with, and rely solely upon, their tax advisors to determine the application of the PFIC rules to them and any resultant tax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discussion, a “U.S. Holder” is a person who, for U.S. federal income tax purposes, is a beneficial owner of our Class A Ordinary Shares and is (1) a citizen or individual resident of the United States; (2) a corporation, or other entity taxable as a corporation, created or organized in or under the laws of the United States, any state thereof or the District of Columbia; (3) an estate, the income of which is subject to U.S. federal income taxation regardless of its source; or (4) a trust that (a) is subject to the primary supervision of a U.S. court and the control of one or more “United States persons” (within the meaning of Section 7701(a)(30) of the Code) or (b) has a valid election in effect to be treated as a United States person for U.S. federal income tax purposes.</w:t>
      </w:r>
    </w:p>
    <w:p>
      <w:pPr>
        <w:pStyle w:val="TextBody"/>
        <w:bidi w:val="0"/>
        <w:spacing w:before="0" w:after="240"/>
        <w:ind w:left="0" w:right="0" w:hanging="0"/>
        <w:jc w:val="left"/>
        <w:rPr>
          <w:rFonts w:ascii="Times New Roman;Times;serif" w:hAnsi="Times New Roman;Times;serif"/>
          <w:b/>
          <w:sz w:val="20"/>
        </w:rPr>
      </w:pPr>
      <w:bookmarkStart w:id="76" w:name="ITEM1BUNRESOLVEDSTAFFCOMMENTS_821195"/>
      <w:bookmarkStart w:id="77" w:name="_9061fd3f_e1ca_4a76_adcb_d33485aaab60"/>
      <w:bookmarkEnd w:id="76"/>
      <w:bookmarkEnd w:id="77"/>
      <w:r>
        <w:rPr>
          <w:rFonts w:ascii="Times New Roman;Times;serif" w:hAnsi="Times New Roman;Times;serif"/>
          <w:b/>
          <w:sz w:val="20"/>
        </w:rPr>
        <w:t>ITEM 1B. UNRESOLVED STAFF COMMENTS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78" w:name="ITEM1CCYBERSECURITY_940248"/>
      <w:bookmarkStart w:id="79" w:name="_21dcbff0_a74f_45db_85b2_12fcc401f4e3"/>
      <w:bookmarkEnd w:id="78"/>
      <w:bookmarkEnd w:id="79"/>
      <w:r>
        <w:rPr>
          <w:rFonts w:ascii="Times New Roman;Times;serif" w:hAnsi="Times New Roman;Times;serif"/>
          <w:b/>
          <w:sz w:val="20"/>
        </w:rPr>
        <w:t>ITEM 1C. CYBERSECURITY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 management and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information technology (IT) department with the help of third-party service providers helps identify, assess and manage our cybersecurity threats and risks by monitoring and evaluating our threat environment using various methods, including conducting scans of the threat environment, audits, and assessments. Our cybersecurity risk management processes have been designed to identify, assess, manage, mitigate, and respond to cybersecurity threats. This program will be integrated within our enterprise risk management system.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Depending on the environment, systems, and data at issue, we implement and maintain various technical, physical, and organizational measures, processes, standards and policies designed to manage and mitigate material risks from cybersecurity threats to our information systems and data. For example, our cybersecurity risk management program is comprised of various components,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certain data backup, disaster recovery, and business continuity capabilities designed to support timely restoration of our IT systems and data, which may include automated and encrypted backups, segregation of backup environments, defined recovery time and recovery point objectives for key systems, periodic restoration testing, and integration of recovery procedures with our incident response and cross-functional crisis management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certain security monitoring and access controls, which may include deployment of endpoint detection technologies, centralized security monitoring through a security operations function, and identity and access management processes designed to enforce least-privilege access, multi-factor authentication, privileged access management, and continuous monitoring of authentication activity.</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periodic employee cybersecurity training to mitigate the risk of phishing and social engineering attacks.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periodic risk assessment of protections to mitigate cybersecurity threats.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third-party service providers to assist us from time to time to identify, assess, and manage material risks from cybersecurity threats, including for example, managed cybersecurity service providers, cybersecurity software providers, and dark web monitoring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third-party service providers to perform a variety of functions throughout our business, such as CROs and CMOs. We have a vendor management process to manage cybersecurity risks associated with our use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This process may include reviewing the vendor’s written security program and conducting security assessment calls with the vendor’s personnel.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description of the risks from cybersecurity threats that may materially affect our company and how they may do so, see our risk factors under Part 1. Item 1A. Risk Factors in this Annual Report, including “Our internal computer systems, or those of any of the third parties with whom we work (including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addresses our cybersecurity risk management as part of its general oversight function. The Audit Committee is responsible for overseeing our cybersecurity risk management processes, including oversight and mitigation of risks from cybersecurity threats.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cybersecurity risk assessment and management processes are implemented and maintained by our management, including our Vice President of IT who stays informed about and oversees prevention, detection, mitigation, and remediation efforts through regular communication and reporting channels within our organization. The Chief Legal Officer oversees the information security function and receives regular updates about information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Vice President of IT is responsible for hiring appropriate personnel, helping to integrate cybersecurity risk considerations into our overall risk management strategy, and communicating key priorities to relevant personnel. Our Vice President of IT is also responsible for approving budgets, helping prepare for cybersecurity incidents, approving cybersecurity processes, and reviewing security assessments and other security-related reports.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cybersecurity incident processes are designed to escalate certain cybersecurity incidents to members of management depending on the circumstances, including our Chief Legal Officer. Our Chief Legal Officer works with the Vice President of IT to help us mitigate and remediate cybersecurity incidents of which they are notified. In addition, our incident response processes include reporting to the Audit Committee for certain cybersecurity incidents. The Chief Legal Officer and Audit Committee oversee the IT department and receive periodic updates concerning our significant cybersecurity threats and risk and the processes we have implemented to address them.</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0" w:name="ITEM2PROPERTIES_548146"/>
      <w:bookmarkStart w:id="81" w:name="_064f9d21_cc6d_47c8_8b72_e10a8d73cc15"/>
      <w:bookmarkEnd w:id="80"/>
      <w:bookmarkEnd w:id="81"/>
      <w:r>
        <w:rPr>
          <w:rFonts w:ascii="Times New Roman;Times;serif" w:hAnsi="Times New Roman;Times;serif"/>
          <w:b/>
          <w:sz w:val="20"/>
        </w:rPr>
        <w:t>ITEM 2. PROPERTIES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own any real property. We currently lease executive offices at 1489 W. Warm Springs Rd., #110, Henderson, Nevada and 8-10 Hill Street, London, W1J 5NG. We consider our current office space adequate for our current operations.</w:t>
      </w:r>
    </w:p>
    <w:p>
      <w:pPr>
        <w:pStyle w:val="TextBody"/>
        <w:bidi w:val="0"/>
        <w:spacing w:before="0" w:after="240"/>
        <w:ind w:left="0" w:right="0" w:hanging="0"/>
        <w:jc w:val="both"/>
        <w:rPr>
          <w:rFonts w:ascii="Times New Roman;Times;serif" w:hAnsi="Times New Roman;Times;serif"/>
          <w:b/>
          <w:sz w:val="20"/>
        </w:rPr>
      </w:pPr>
      <w:bookmarkStart w:id="82" w:name="ITEM3LEGALPROCEEDINGS_475628"/>
      <w:bookmarkStart w:id="83" w:name="_59d3b048_1b0d_4dbf_8442_efc57ff3862f"/>
      <w:bookmarkEnd w:id="82"/>
      <w:bookmarkEnd w:id="83"/>
      <w:r>
        <w:rPr>
          <w:rFonts w:ascii="Times New Roman;Times;serif" w:hAnsi="Times New Roman;Times;serif"/>
          <w:b/>
          <w:sz w:val="20"/>
        </w:rPr>
        <w:t>ITEM 3.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currently a party to any material legal proceedings, nor are we aware of any material pending or threatened litigation. In the ordinary course of business, we may be subject to legal proceedings, claims, and litigation.</w:t>
      </w:r>
    </w:p>
    <w:p>
      <w:pPr>
        <w:pStyle w:val="TextBody"/>
        <w:bidi w:val="0"/>
        <w:spacing w:before="0" w:after="240"/>
        <w:ind w:left="0" w:right="0" w:hanging="0"/>
        <w:jc w:val="left"/>
        <w:rPr>
          <w:rFonts w:ascii="Times New Roman;Times;serif" w:hAnsi="Times New Roman;Times;serif"/>
          <w:b/>
          <w:sz w:val="20"/>
        </w:rPr>
      </w:pPr>
      <w:bookmarkStart w:id="84" w:name="ITEM4MINESAFETYDISCLOSURES_52848"/>
      <w:bookmarkStart w:id="85" w:name="_27602f7e_b41c_4f89_85eb_9848c1cbee93"/>
      <w:bookmarkEnd w:id="84"/>
      <w:bookmarkEnd w:id="85"/>
      <w:r>
        <w:rPr>
          <w:rFonts w:ascii="Times New Roman;Times;serif" w:hAnsi="Times New Roman;Times;serif"/>
          <w:b/>
          <w:sz w:val="20"/>
        </w:rPr>
        <w:t>ITEM 4. 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6" w:name="PARTII_331045"/>
      <w:bookmarkStart w:id="87" w:name="_36005ea8_2ffe_4580_8719_b2154b6362b0"/>
      <w:bookmarkEnd w:id="86"/>
      <w:bookmarkEnd w:id="87"/>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88" w:name="ITEM5MARKETFORREGISTRANTSCOMMONEQUITYREL"/>
      <w:bookmarkEnd w:id="88"/>
      <w:r>
        <w:rPr>
          <w:rFonts w:ascii="Times New Roman;Times;serif" w:hAnsi="Times New Roman;Times;serif"/>
          <w:b/>
          <w:sz w:val="20"/>
        </w:rPr>
        <w:t>ITEM 5. MARKET FOR REGISTRANT’S COMMON EQUITY, RELATED SHAREHOLDER MATTERS AND ISSUER PURCHASES OF EQUITY SECURITIES</w:t>
      </w:r>
    </w:p>
    <w:p>
      <w:pPr>
        <w:pStyle w:val="TextBody"/>
        <w:bidi w:val="0"/>
        <w:spacing w:before="0" w:after="240"/>
        <w:ind w:left="0" w:right="0" w:hanging="0"/>
        <w:jc w:val="left"/>
        <w:rPr>
          <w:rFonts w:ascii="Times New Roman;Times;serif" w:hAnsi="Times New Roman;Times;serif"/>
          <w:sz w:val="20"/>
        </w:rPr>
      </w:pPr>
      <w:bookmarkStart w:id="89" w:name="MarketInformationforCommonStock_190194"/>
      <w:bookmarkEnd w:id="89"/>
      <w:r>
        <w:rPr>
          <w:rFonts w:ascii="Times New Roman;Times;serif" w:hAnsi="Times New Roman;Times;serif"/>
          <w:b/>
          <w:sz w:val="20"/>
        </w:rPr>
        <w:t>Market Information for Class A Ordinary Shares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are listed for trading on The Nasdaq Capital Market under the symbol “ZURA”.</w:t>
      </w:r>
    </w:p>
    <w:p>
      <w:pPr>
        <w:pStyle w:val="TextBody"/>
        <w:bidi w:val="0"/>
        <w:spacing w:before="0" w:after="240"/>
        <w:ind w:left="0" w:right="0" w:hanging="0"/>
        <w:jc w:val="left"/>
        <w:rPr>
          <w:rFonts w:ascii="Times New Roman;Times;serif" w:hAnsi="Times New Roman;Times;serif"/>
          <w:b/>
          <w:sz w:val="20"/>
        </w:rPr>
      </w:pPr>
      <w:bookmarkStart w:id="90" w:name="HoldersofRecord_747908"/>
      <w:bookmarkEnd w:id="90"/>
      <w:r>
        <w:rPr>
          <w:rFonts w:ascii="Times New Roman;Times;serif" w:hAnsi="Times New Roman;Times;serif"/>
          <w:b/>
          <w:sz w:val="20"/>
        </w:rPr>
        <w:t>Holders of Record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there were approximately 12 shareholders of record of our ordinary shares. The actual number of shareholders is greater than this number of record holders and includes shareholders who are beneficial owners but whose shares are held in street name by brokers and other nominees.</w:t>
      </w:r>
    </w:p>
    <w:p>
      <w:pPr>
        <w:pStyle w:val="TextBody"/>
        <w:bidi w:val="0"/>
        <w:spacing w:before="0" w:after="240"/>
        <w:ind w:left="0" w:right="0" w:hanging="0"/>
        <w:jc w:val="left"/>
        <w:rPr>
          <w:rFonts w:ascii="Times New Roman;Times;serif" w:hAnsi="Times New Roman;Times;serif"/>
          <w:b/>
          <w:sz w:val="20"/>
        </w:rPr>
      </w:pPr>
      <w:bookmarkStart w:id="91" w:name="DividendPolicy_776151"/>
      <w:bookmarkEnd w:id="91"/>
      <w:r>
        <w:rPr>
          <w:rFonts w:ascii="Times New Roman;Times;serif" w:hAnsi="Times New Roman;Times;serif"/>
          <w:b/>
          <w:sz w:val="20"/>
        </w:rPr>
        <w:t>Dividend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intend to retain all available funds and any future earnings to fund the growth and development of our business. We have never declared or paid any cash dividends on our shares. We do not intend to pay cash dividends to our shareholders in the foreseeable future. Investors should not purchase our Class A Ordinary Shares with the expectation of receiving cash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future determination to declare dividends will be made at the discretion of the Board of Directors and will depend on our financial condition, operating results, capital requirements, general business conditions, and other factors that the Board of Directors may deem relevant.</w:t>
      </w:r>
    </w:p>
    <w:p>
      <w:pPr>
        <w:pStyle w:val="TextBody"/>
        <w:bidi w:val="0"/>
        <w:spacing w:before="0" w:after="240"/>
        <w:ind w:left="0" w:right="0" w:hanging="0"/>
        <w:jc w:val="left"/>
        <w:rPr>
          <w:rFonts w:ascii="Times New Roman;Times;serif" w:hAnsi="Times New Roman;Times;serif"/>
          <w:b/>
          <w:sz w:val="20"/>
        </w:rPr>
      </w:pPr>
      <w:bookmarkStart w:id="92" w:name="RecentSalesofUnregisteredSecuritiesUseof"/>
      <w:bookmarkEnd w:id="92"/>
      <w:r>
        <w:rPr>
          <w:rFonts w:ascii="Times New Roman;Times;serif" w:hAnsi="Times New Roman;Times;serif"/>
          <w:b/>
          <w:sz w:val="20"/>
        </w:rPr>
        <w:t>Recent Sales of Unregistered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3" w:name="PurchasesofEquitySecuritiesbytheIssueran"/>
      <w:bookmarkEnd w:id="93"/>
      <w:r>
        <w:rPr>
          <w:rFonts w:ascii="Times New Roman;Times;serif" w:hAnsi="Times New Roman;Times;serif"/>
          <w:b/>
          <w:sz w:val="20"/>
        </w:rPr>
        <w:t>Purchases of Equity Securities by the Issuer and Affiliated Persons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4" w:name="_46356b39_2a7b_4296_9867_4ed93ff4ee38"/>
      <w:bookmarkStart w:id="95" w:name="ITEM6RESERVED_279066"/>
      <w:bookmarkEnd w:id="94"/>
      <w:bookmarkEnd w:id="95"/>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6" w:name="ITEM7MANAGEMENTSDISCUSSIONANDANALYSISOFF"/>
      <w:bookmarkStart w:id="97" w:name="_90bbe398_9412_4054_83c7_2d4d5ee8f33a"/>
      <w:bookmarkEnd w:id="96"/>
      <w:bookmarkEnd w:id="97"/>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consolidated financial statements and notes thereto as of December 31, 2025, included elsewhere in this Annual Report.</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In addition to historical information, this discussion and analysis contains forward-looking statements. These forward-looking statements are subject to risks and uncertainties, including those discussed in the section titled “Risk Factors” in this Annual Report, that could cause actual results to differ materially from historical results or anticipated results. You should carefully read the information under “Cautionary Note Regarding Forward-Looking Statements” in this Annual Report. Unless the context otherwise requires, references in this “Management’s Discussion and Analysis of Financial Condition and Results of Operations” to “Zura,” “we,” “us,” and “our” refer to Zura Bio Limited, a Cayman Islands exempted company, and its consolidated subsidiaries.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clinical-stage biotechnology company developing novel and differentiated medicines for patients with autoimmune and inflammatory diseases, including serious and debilitating conditions with significant unmet medical need.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incorporated as a Cayman Islands exempted company on March 10, 2021. Our wholly owned subsidiary, Zura Bio Limited (“Zura Bio UK”) was formed in the United Kingdom (“U.K.”) on January 18, 2022. Prior to March 20, 2023, our operations were conducted through Zura Bio UK.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limited operating history. Since our inception, our operations have focused on organizing and staffing our company, business planning, raising capital and entering into collaboration agreements for conducting manufacturing, and research and development activities. Our lead product candidate is in the clinical testing stage; however, prior to the initiation of TibuSHIELD and TibuSURE in May 2025 and December 2024, respectively, we had not conducted any clinical trials ourselves. We do not have any product candidates approved for sale and have not generated any revenue from product sales.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sale of Class A Ordinary Shares and pre-funded warrants to purchase up to 3,782,000 Class A Ordinary Shares at a price of $4.249 per pre-funded warrant for an aggregate purchase price of approximately $16.1 million (the “2023 Pre-Funded Warrants”) during the year ended December 31, 2023 (the “April 2023 Private Placement”), raising an aggregate of $75.8 million of net cash proceeds; (v) the sale of Class A Ordinary Shares and pre-funded warrants to purchase up to 16,102,348 Class A Ordinary Shares at a price of $3.107 per pre-funded warrant for an aggregate purchase price of $50.0 million (the “2024 Pre-Funded Warrants”) in April 2024 (the “April 2024 Private Placement”) raising an aggregate of $105.3 million of net cash proceeds; (vi) the sale of 1,500,000 Class A Ordinary Shares at a price of $3.80 per share under the ATM (as defined below) for net proceeds of $5.5 million, after sales agent commissions, in September 2024; and (vii) the sale of 3,000,000 Class A Ordinary Shares at a price of $1.75 per share under the ATM for net proceeds of $5.1 million, after sales agent commissions, in the first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incurred significant operating losses. Our net loss for the years ended December 31, 2025 and 2024 were $68.7 million and $52.4 million, respectively. As of December 31, 2025, we had an accumulated deficit of $224.5 million. We anticipate that our expenses will increase significantly in connection with our ongoing activities, as we:</w:t>
      </w:r>
    </w:p>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the preclinical and clinical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our planned preclinical studies and clinical trials for our product candidates, as well as initiate and complete additional trials of future potential product candidates;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scale up our clinical and regulatory capabilities;</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current good manufacturing practices, or cGMP, material for clinical trials or potential commercial sales;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clinical, quality, regulatory, manufacturing, scientific and administrative personnel;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commercialization infrastructure and scale up manufacturing and distribution capabilities to commercialize any product candidates for which we may obtain regulatory approval;</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our regulatory compliance efforts to incorporate requirements applicable to marketed products;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 for any product candidates that successfully complete clinical trials;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product development and planned future commercialization efforts; and</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in operating as a public company.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JATT Acquisition Corp (“JATT”) was a Cayman Islands exempted company initially incorporated under the laws of the Cayman Islands on March 10, 2021. On July 13, 2021, JATT completed its IPO. On March 20, 2023 (the “Closing Date”), we consummated a series of transactions contemplated by that certain Business Combination Agreement and JATT, as the registrant, changed its name to “Zura Bio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21, 2023, our Class A Ordinary Shares began trading on the Nasdaq under the symbol “ZURA”.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Shelf Registration and ATM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filed a shelf registration statement on Form S-3 (the “Shelf Registration Statement”), which was declared effective September 17, 2024. Pursuant to the Shelf Registration Statement, we may offer and sell ordinary shares, preference shares, debt securities, warrants and or units having an aggregate public offering price of up to $300.0 million. In connection with the filing of the Shelf Registration Statement, we also entered into a sales agreement (the “Sales Agreement”) with Leerink Partners LLC (“Leerink Partners”), relating to the sale of our Class A Ordinary Shares having an aggregate gross sales price of up to $125.0 million, from time to time through Leerink Partners, acting as sales agent (the “ATM”). We incurred $0.6 million of offering expenses in connection with establishing the ATM that reduced additional paid-in capital as of December 31, 2024. During the third quarter of 2024, we sold 1,500,000 Class A Ordinary Shares at a price of $3.80 per share under the ATM, for net proceeds of $5.5 million, after placement agent commissions. During the year ended December 31, 2025, we sold 3,000,000 Class A Ordinary Shares at a price of $1.75 per share under the ATM, for net proceeds of $5.1 million, after placement agent commissions. As of the date of this filing, we have $114.0 million of Class A Ordinary Shares remaining available for sale under the Sales Agreement.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Exchange of Class A Ordinary Shares for Pre-Funded Warrants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2025, we entered into share surrender and warrant agreements with certain affiliated shareholders (the “2025 Shareholders”), pursuant to which (i) the 2025 Shareholders surrendered an aggregate of 6,500,000 Class A Ordinary Shares owned by the 2025 Shareholders, for no consideration, which were immediately cancelled and retired, upon surrender; and (ii) we issued pre-funded warrants to purchase an aggregate of 6,500,000 Class A Ordinary Shares, with an exercise price of $0.001 per share and no expiration date (the “2025 Share Exchange Warrants). The 2025 Share Exchange Warrants are exercisable immediately and have substantially identical terms to the pre-funded warrants issued in 2024 in connection with our April 2024 subscription agreements.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April 2024 Private Placement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18, 2024, we entered into subscription agreements (the “April 2024 Investor Agreements”) with certain institutional and other accredited investors pursuant to which we issued 18,732,301 Class A Ordinary Shares, par value $0.0001 per share and pre-funded warrants (the “2024 Pre-Funded Warrants”) to purchase up to 16,102,348 Class A Ordinary Shares. Each Class A Ordinary Share was sold at a price of $3.108 per Class A Ordinary Share and each 2024 Pre-Funded Warrant was sold at a price of $3.107 per 2024 Pre-Funded Warrant for an aggregate purchase price of $108.3 million.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April 18, 2024, we also entered into subscription agreements (the “April 2024 Insider Agreements” and together with the April 2024 Investor Agreements, the “April 2024 Private Placement”) with certain of our officers, directors and affiliates pursuant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which we issued 1,357,827 Class A Ordinary Shares, par value $0.0001 per share sold a purchase price of $3.13 per Class A Ordinary Share for an aggregate purchase price of $4.2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April 2024 Private Placement closed on April 22, 2024, from which we received gross proceeds of approximately $112.5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2025, we issued 1,206,952 Class A Ordinary Shares in connection with the exercise of 2024 Pre-Funded Warrants. The gross proceeds received upon exercise of such pre-funded warrants were immaterial.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April 2023 Private Placement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26, 2023, we entered into subscription agreements with certain accredited investors pursuant to which we issued 15,041,530 Class A Ordinary Shares, par value $0.0001 per share and pre-funded warrants (the “2023 Pre-Funded Warrants” and, together with the 2024 Pre-Funded Warrants, the “Pre-Funded Warrants”) to purchase up to 3,782,000 Class A Ordinary Shares (the “April 2023 Private Placement”). Each Class A Ordinary Share was sold at a price of $4.25 per Class A Ordinary Share and each 2023 Pre-Funded Warrant was sold at a price of $4.249 per 2023 Pre-Funded Warrant for an aggregate purchase price of $80.0 million. We received net proceeds of approximately $75.8 million from the April 2023 Private Placement.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2025, we issued 1,682,000 Class A Ordinary Shares in connection with the exercise of 2023 Pre-Funded Warrants. The gross proceeds received upon exercise of such pre-funded warrants were immaterial.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2023 Lilly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26, 2023, our consolidated subsidiary ZB17 LLC (“ZB17”) entered into a license agreement with Lilly (the “2023 Lilly License” and, together with the 2022 Lilly License (as defined below), the “Lilly Licenses”), for an exclusive license to develop, manufacture and commercialize tibulizumab. As consideration, we paid Lilly an upfront payment consisting of $5.8 million during 2023 and issued 1,000,000 Class A Ordinary Shares at an aggregate fair value of $7.8 million during the year ended 2023. During certain specified periods, Lilly shall have the exclusive right to evaluate certain clinical trial results and determine whether it wishes to negotiate an agreement for the further development and commercialization of ZB-106 by Lilly. If Lilly provides notice to the Company before the expiry of the applicable period that it wishes to seek to negotiate an agreement, the parties will have good faith negotiations regarding an agreement for further development and commercialization.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2024, ZB17 made an additional payment of $5.0 million to Lilly, in connection with the receipt of certain know-how, data, information and materials that Lilly is required to provide under the license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acquisition was accounted for as an asset acquisition, as substantially all of the fair value of the assets acquired is concentrated in a group of similar identifiable in</w:t>
        <w:noBreakHyphen/>
        <w:t>process research and development (“IPR&amp;D”) assets. On the acquisition date, the molecule licensed had not yet received regulatory approval and the IPR&amp;D did not have an alternative use. Accordingly, we recorded the entire cost of the 2023 Lilly License as a component of research and development in the consolidated statement of operations during the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consideration for the investment made by Stone Peach Properties, LLC (“Stone Peach”), we entered into a letter agreement with Stone Peach and ZB17, dated April 24, 2023, as amended by letter agreement dated November 21, 2023 (the “ZB17 Letter Agreement”), pursuant to which ZB17 granted Stone Peach the right, but not the obligation, to purchase 4.99% of the fully diluted equity of ZB17 for $1.0 million (the “Stone Peach Call Right”). The Stone Peach Call Right was not exercisable until after the last patient is dosed in any single next clinical trial with tibulizumab and would expire one year from the date of first indication approval for tibulizumab by the United States Food and Drug Administration (“FDA”) or the European Medicines Agency (“EMA”). We recognized the Stone Peach Call Right at a grant-date fair value of $1.5 million as a component of research and development in the consolidated statement of operations during the year ended December 31, 2023. The Stone Peach Call Right represented noncontrolling interest in our consolidated subsidiary, ZB17. As of December 31, 2024, the noncontrolling interest balance was $1.5 million in the consolidated balance sheet. On December 29, 2025, the Company terminated the ZB17 Letter Agreement, and the noncontrolling interest was extinguished. See “Stone Peach Settlement and Release Agreement”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Additionally, beginning on May 1, 2023, Stone Peach received an annual payment of $0.6 million, increasing by 10% annually, so long as we maintain our license for tibulizumab, to be paid on May 1</w:t>
      </w:r>
      <w:r>
        <w:rPr>
          <w:rFonts w:ascii="Times New Roman;Times;serif" w:hAnsi="Times New Roman;Times;serif"/>
          <w:sz w:val="15"/>
        </w:rPr>
        <w:t>st</w:t>
      </w:r>
      <w:r>
        <w:rPr>
          <w:rFonts w:ascii="Times New Roman;Times;serif" w:hAnsi="Times New Roman;Times;serif"/>
          <w:sz w:val="20"/>
        </w:rPr>
        <w:t xml:space="preserve"> of each year. For the years ended December 31, 2025 and 2024, we recorded expenses of $0.7 million and $0.7 million, respectively, in research and development in the consolidated statement of operations for the annual payments. On December 29, 2025, we terminated the ZB17 Letter Agreement. See “—Stone Peach Settlement and Release Agreement”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one-time payment of $4.5 million for additional consideration due to Stone Peach upon acceptance from the FDA for our Investigational New Drug (“IND”) and commencement of our clinical trial for tibulizumab was recorded in research and development expenses in the consolidated statement of operations for the year ended December 31, 2024 and was paid in June 2025. This payment is included in accounts payable and accrued expenses in the consolidated balance sheet as of December 31, 2024.</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A letter agreement, dated as of April 25, 2023, by and between BAFFX17, Ltd (“BAFFX17”) and us, and as amended by Amendment No. 1 on December 18, 2023 (the “BAFFX17 Letter Agreement”), provided that, as a finder’s fee for arranging the acquisition of the 2023 Lilly License, we would be required to make a one-time milestone payment of $5.0 million to BAFFX17 upon the occurrence of either: (i) a change of control transaction, (ii) the closing of an issuance of equity or equity-linked securities by us of at least $100.0 million (iii) the consummation of a sale of assets resulting in net proceeds in excess of $100.0 million, or (iv) our fully diluted shares outstanding exceed 52,500,000 shares (on a split adjusted basis), as measured on April 24</w:t>
      </w:r>
      <w:r>
        <w:rPr>
          <w:rFonts w:ascii="Times New Roman;Times;serif" w:hAnsi="Times New Roman;Times;serif"/>
          <w:sz w:val="15"/>
        </w:rPr>
        <w:t>th</w:t>
      </w:r>
      <w:r>
        <w:rPr>
          <w:rFonts w:ascii="Times New Roman;Times;serif" w:hAnsi="Times New Roman;Times;serif"/>
          <w:sz w:val="20"/>
        </w:rPr>
        <w:t xml:space="preserve"> of each year. As our fully diluted shares outstanding exceeded 52,500,000 shares prior to December 31, 2023, the $5.0 million fee was previously accounted for in research and development expenses in the consolidated statement of operations for the year ended December 31, 2023, and is included in accounts payable and accrued expenses in the consolidated balance sheets as of December 31, 2024. On June 30, 2025, we received an invoice on behalf of BAFFX17 requesting a $5.0 million milestone payment pursuant to the BAFFX17 Letter Agreement. We did not make such payment, and the BAFFX17 Letter Agreement was terminated on December 29, 2025. See “—BAFFX17 Settlement and Release Agreement”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paid and/or earned in 2025, 2024 and 2023, we are also obligated to make payments to Lilly (a) for four (4) development milestone payments up to an aggregate of $155.0 million, and sales milestone payments up to an aggregate of $440.0 million based on respective thresholds of net sales of products developed from tibulizumab; and (b) over a multi-year period (twelve years, or upon the later expiration of regulatory exclusivity of tibulizumab in a country) for an annual earned royalty at a marginal royalty rate in the mid-single digits to low-double digits, with increasing royalty percentage rates depending on net sales in the respective calendar year, based on a percentage of sales within varying thresholds for a certain period of years (collectively, the “2023 Lilly Contingent Payments”). As of December 31, 2025, none of the 2023 Lilly Contingent Payments are due and accordingly will not be recorded in our financial statements until they are due. Prior to the BAFFX17 Settlement Agreement and Stone Peach Settlement Agreement described below, we were also obligated to make payments (a) to BAFFX17 for a fee equal to 3% of any milestone or royalty payments due to Lilly pursuant to the terms of either the 2022 Lilly License or the 2023 Lilly License; (b) to Stone Peach for a one-time milestone payment of $25.0 million upon either (i) certain equity-related transactions, or (ii) the receipt of regulatory approval from the applicable regulatory authority for any new indication in the applicable jurisdiction; and (c) to Stone Peach for a royalty of 2% of the aggregate net sales of any products developed from the compound. See “—BAFFX17 Settlement and Release Agreement” and “—Stone Peach Settlement and Release Agreement”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2022 Lilly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8, 2022, our consolidated subsidiary, Z33 Bio Inc. (“Z33”) entered into a license agreement with Lilly (the “2022 Lilly License”) pursuant to which Lilly granted Z33 an exclusive (even as to Lilly) license to develop, manufacture, and commercialize torudokimab. As consideration, we paid Lilly an upfront fee of $7.0 million during 2022 and issued Lilly 550,000 Class A Ordinary Shares at an aggregate fair value of $4.5 million upon the Closing Date of the Business Combination during the year ended December 31, 2023.</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 letter agreement dated December 8, 2022, as amended on November 21, 2023 (the “Z33 Letter Agreement” and, together with the ZB17 Letter Agreement, the “Stone Peach Letter Agreements”) by and between Stone Peach, us and Z33, provided that, as a finder’s fee in connection with arranging the acquisition, Z33 issued to Stone Peach 4,900,222 shares of Z33’s series seed preferred shares (the “Z33 Series Seed Preferred Shares”), which was included in the measurement of the cost of the acquired asset. We had the right, but not the obligation, to purchase up to 50% of the Z33 Series Seed Preferred Shares issued to Stone Peach at a price per share of $2.448869 for a period of two years from the date of the agreement (the “Call Option”). Pursuant to the Z33 Letter Agreement, Stone Peach had the right, but not the obligation to sell up to 50% of the Z33 Series Seed Preferred Shares issued to Stone Peach to us for a price per share of $2.040724 (the “Put Option”). In April 2023, we agreed to exercise our Call Option and we amended the settlement terms to settle the Call Option by issuing 2,000,000 Class A Ordinary Shares (the “Amended Terms”). In November 2023, the Amended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Terms were voided and our rights and obligations under the Call Option reverted to those in the original agreement (the “Second Amended Terms”). In connection with the Second Amended Terms, we also provided Stone Peach with the right, but not the obligation, to sell up to 50% of the Z33 Series Seed Preferred Shares issued to Stone Peach to Zura in exchange for 2,000,000 Class A Ordinary Shares (the “Put Right”). Stone Peach was permitted to exercise its Put Option and Put Right at any time between April 24, 2024 and April 24, 2028 under the new agreement. Each of the Amended Terms and the Second Amended Terms were considered an extinguishment and reissuance of the Z33 Series Seed Preferred Shares, and the Z33 Series Seed Preferred Shares are remeasured to the greater of the redemption value or the initial fair value, less noncontrolling shareholder’s interest in net loss of Z33, at each subsequent reporting period. The Z33 Series Seed Preferred Shares represented redeemable noncontrolling interest in our consolidated subsidiary, Z33. On December 29, 2025, we terminated the Z33 Letter Agreement, and the redeemable noncontrolling interest was extinguished. See “—Stone Peach Settlement and Release Agreement”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paid and transferred in 2022 and shares issued in 2023, we paid $3.0 million to Lilly in December 2025, as a financing by Z33 with gross proceeds exceeding $100.0 million did not occur by December 7, 2025. We are also obligated to make payments to Lilly for (a) 10 commercial, development and regulatory milestone payments up to an aggregate of $155.0 million and sales milestone payments up to an aggregate of $440.0 million based on respective thresholds of net sales of products developed from the licensed molecule; and (b) an annual earned royalty at a marginal royalty rate in the mid-single to low-double digits, with increasing royalty percentage rates based on Net Sales in the respective calendar year, based on a percentage of sales within varying thresholds for a certain period of the year (collectively, “the “2022 Lilly Contingent Payments”). As of December 31, 2025, none of the 2022 Lilly Contingent Payments are due and accordingly will not be recorded in our financial statements until they are due.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Pfizer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22, 2022, we entered into a license agreement and a Series A-1 Subscription and Shareholder’s Agreement (collectively, the “Pfizer Agreement”) with Pfizer. Under the Pfizer Agreement, we acquired a license for crebankitug, in exchange for $5.0 million in cash and 2,702,083 shares (as adjusted by the exchange ratio established in the Business Combination Agreement) of our Series A-1 convertible preferred shares, representing a 20% interest in us. The Pfizer Agreement was accounted for as an asset acquisition, as substantially all of the $7.5 million value transferred to us was allocated to in-process research and development. On the acquisition date, the compound licensed had not yet received regulatory approval and the in-process research and development did not have an alternative 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consideration transferred during 2022, we are obligated to make payments to Pfizer for (a) twelve (12) development and regulatory milestone payments aggregating up to $70.0 million and sales milestone payments up to an aggregate of $525.0 million based on respective thresholds of net sales of products (developed from the licensed compound) (the “Products”); and (b) an annual earned royalty at a marginal royalty rate in the mid-single digits to low double digits (less than 20%), based on thresholds of nets sales of Products (collectively, the “Pfizer Contingent Payments”). Royalties are payable on a country-by-country basis for a certain period of years or upon the later expiration of regulatory exclusivity of our Products in a country.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recorded the first $1.0 million development milestone, included in the Pfizer Contingent Payments, as a component of research and development in the consolidated statement of operations during the year ended December 31, 2023. This amount was fully paid to Pfizer during the year ended December 31, 2024. As of December 31, 2025, no additional Pfizer Contingent Payments are due and accordingly no additional Pfizer Contingent Payments will be recorded in our financial statements until they are due.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Pfizer Agreement also had an anti-dilution provision to allow Pfizer to maintain an 18% interest in us. Immediately prior to the Closing Date of the Business Combination, additional share options and restricted share units were issued to certain employees, executives, and directors that would result in the dilution of Pfizer’s ownership in us. In accordance with the anti-dilution provision of the Pfizer Agreement, Pfizer was issued additional Series A-1 convertible preferred shares upon the closing of the Business Combination that were immediately converted to 267,939 Class A Ordinary Shares. Following the Business Combination, the anti-dilution provision is no longer in effect.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Athanor Letter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December 29, 2025, in connection with the termination of the Stone Peach Letter Agreements, as described in Note 5 to our consolidated financial statements located in “</w:t>
      </w:r>
      <w:r>
        <w:rPr>
          <w:rFonts w:ascii="Times New Roman;Times;serif" w:hAnsi="Times New Roman;Times;serif"/>
          <w:i/>
          <w:sz w:val="20"/>
        </w:rPr>
        <w:t>Item 15—Exhibits and Financial Statement Schedules—Financial Statements</w:t>
      </w:r>
      <w:r>
        <w:rPr>
          <w:rFonts w:ascii="Times New Roman;Times;serif" w:hAnsi="Times New Roman;Times;serif"/>
          <w:sz w:val="20"/>
        </w:rPr>
        <w:t xml:space="preserve">,” we entered into a letter agreement with Athanor Capital, an exempted company incorporated under the laws of the Cayman Islands with limited liability (“Athanor”) (the “Athanor Agreement”), pursuant to which we issued to Athanor 8,657,402 Class A Ordinary Shares (the “Athanor Shares”). Athanor is also entitled to piggyback registration rights pursuant to which Athanor has the right to include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Athanor Shares in certain registered offerings by us or if we propose to file a registration statement under the Securities Act of 1933, as amended (the “Securities Act”), with respect to the registration of equity securities, as set forth in the Athanor Agreement.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pursuant to the terms of the Athanor Agreement, we paid Athanor an upfront fee in an amount equal to $7.3 million and shall pay a one-time milestone payment in the amount of $25.0 million after the occurrence of the earliest of the following events: (i) we or ZB17 undergoes a Change of Control (as defined in the Athanor Agreement), (ii) the consummation by us or ZB17 of a sale of assets resulting in net proceeds in excess of $500.0 million, or (iii) First Indication Regulatory Approval (as defined in the Athanor Agreement). In addition, pursuant to the terms of the Athanor Agreement, we agreed to pay an amount equal to 2% of Net Sales (as defined in the Athanor Agreement) for the Product (as defined in the Athanor Agreement) to the extent such Net Sales (collectively, the “Net Sales Payments”) are the subject of a royalty payment under the 2023 Lilly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Athanor Agreement contains representations, warranties and covenants by the parties in addition to the terms described above and shall remain in effect on a country-by-country basis until the expiration of the obligation to pay the Net Sales Payments.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Stone Peach Settlement and Release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termination of the Stone Peach Letter Agreements, on December 29, 2025, we and Stone Peach, Baljit Lehal and Kanwarjeet “Shawn” Tucker (the “Stone Peach Parties”) entered into a Settlement and Release Agreement (the “Stone Peach Settlement Agreement”). Pursuant to the Stone Peach Settlement Agreement, the Stone Peach Parties acknowledged that, as between us and any of the Stone Peach Parties, each of (i) the Stone Peach Letter Agreements, (ii) that certain Z33 Founder Issuance Agreement, dated December 8, 2022, between Z33 and Stone Peach, (iii) that certain Series Seed Preferred Stock Investment Agreement, dated December 8, 2022, between us and Stone Peach and (iv) that certain Confidentiality and Non-Circumvention Agreement dated December 13, 2022, between us and Stone Peach (such agreements, the “Stone Peach Agreements”) are terminated and therefore rendered null and void, and unenforceable in part or in whole by any of the Stone Peach Parties. In addition, pursuant to the Stone Peach Settlement Agreement, the Stone Peach Parties provided a general release of us and our affiliates, together with our predecessors, successors, and assigns and past, present and future officers, directors, shareholders, members, partners, attorneys, agents, employees, managers, representatives, assigns and successors in interest from and against any and all claims under the Stone Peach Agreements along with any other complaints, claims, causes of action, rights or damages which the Stone Peach Parties have or may have had against us or any of our affiliates.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BAFFX17 Settlement and Release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29, 2025, we and BAFFX17, Asim Mohammed and Lahmber Singh (the “BAFFX17 Parties”) entered into a Settlement and Release Agreement (the “BAFFX17 Settlement Agreement”). Pursuant to the BAFFX17 Settlement Agreement, we and the BAFFX17 Parties agreed and acknowledged that the BAFFX17 Agreement was terminated and therefore rendered null and void and unenforceable in part or in whole by any BAFFX17 Party. In addition, pursuant to the BAFFX17 Settlement Agreement, the BAFFX17 Parties provided a general release of us and our affiliates, together with the our predecessors, successors, and assigns and past, present and future officers, directors, shareholders, members, partners, attorneys, agents, employees, managers, representatives, assigns and successors in interest from and against any and all claims under the BAFFX17 Agreements along with any other complaints, claims, causes of action, rights or damages which the BAFFX17 Parties have or may have had against us or any of our affiliates.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Subcommittee Investigation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previously disclosed, the audit committee of our Board of Directors formed the Audit Subcommittee, comprised solely of disinterested and independent directors, to review our agreements and relationships with Stone Peach and BAFFX17, among other matters. The Audit Subcommittee was assisted by independent legal counsel and a third-party due diligence firm. The Audit Subcommittee’s internal review is complete, and the results are discussed below.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Through legal counsel, the Audit Subcommittee engaged in extensive fact finding, including reviewing relevant documents and communications. Following a detailed review of this information, and based on the advice of independent legal counsel, the Audit Subcommittee determined (1) that it was in the best interests of us and its shareholders to replace the Stone Peach Agreements with the more commercially advantageous Athanor Agreement and (2) to terminate or void the agreements between us and our subsidiaries, on the one hand, and Stone Peach or BAFFX17, on the other hand. Consistent with the determination of the Audit Subcommittee, we negotiated, with the assistance of management and legal counsel, the Athanor Agreement as well as the Stone Peach Settlement Agreement and the BAFFX17 Settlement Agreement, which terminated all outstanding agreements between the parties and, in the case of the settlement agreements, contain broad releases of claims against us, its subsidiaries and affiliates by Stone Peach, BAFFX17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their respective principals. The Athanor Agreement, the Stone Peach Settlement Agreement and the BAFFX17 Settlement Agreement were approved by the Audit Subcommittee and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internal review found no issue with our agreements and relationships with Stone Peach and BAFFX17 that had an impact on our financial results under accounting principles generally accepted in the United States of America (“U.S. GAAP”) or on the financial statements included in our previously filed quarterly or annual reports. Additionally, the internal review found no instances of misconduct by our current employees relating to the agreements or relationships. The internal review also included an analysis of our internal controls over financial reporting and disclosure controls and procedures, and as part of our process of continuous improvement, we plan to implement certain additional controls and procedures, which are not expected to materially affect our existing 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Impact of Global Economic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Macroeconomic conditions, including uncertainties associated with the changes to and by the U.S. federal government administration, the ongoing conflicts in Iran and the broader Middle East, the ongoing conflict between Ukraine and Russia, conflicts in Mexico, international trade policies (including tariffs, sanctions and trade barriers), 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Recent tariffs and trade restrictions have increased costs and complexity for many businesses, which may also have an adverse impact on our business. See “</w:t>
      </w:r>
      <w:r>
        <w:rPr>
          <w:rFonts w:ascii="Times New Roman;Times;serif" w:hAnsi="Times New Roman;Times;serif"/>
          <w:i/>
          <w:sz w:val="20"/>
        </w:rPr>
        <w:t>Part I, Item 1A. Risk Factors</w:t>
      </w:r>
      <w:r>
        <w:rPr>
          <w:rFonts w:ascii="Times New Roman;Times;serif" w:hAnsi="Times New Roman;Times;serif"/>
          <w:sz w:val="20"/>
        </w:rPr>
        <w:t>—</w:t>
      </w:r>
      <w:r>
        <w:rPr>
          <w:rFonts w:ascii="Times New Roman;Times;serif" w:hAnsi="Times New Roman;Times;serif"/>
          <w:i/>
          <w:sz w:val="20"/>
        </w:rPr>
        <w:t>International trade policies, including tariffs, sanctions and trade barriers may adversely affect our business, financial condition, results of operations and prospects</w:t>
      </w:r>
      <w:r>
        <w:rPr>
          <w:rFonts w:ascii="Times New Roman;Times;serif" w:hAnsi="Times New Roman;Times;serif"/>
          <w:sz w:val="20"/>
        </w:rPr>
        <w:t>” for more information.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Operating Results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(“R&amp;D”) expenses consist of all direct and indirect operating expenses incurred to support our clinical development programs, including research activities conducted in support of such programs, manufacturing activities, consulting fees for clinical and manufacturing advisory services, contract research organization (“CRO”) costs, costs related to manufacturing materials for preclinical and clinical studies, payroll and benefits (including share-based compensation for employees supporting clinical development activities), licensing fees, and data and study acquisition costs. Expenses are recognized as the related goods are delivered or the services are performed.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R&amp;D expenses include the cost of IPR&amp;D assets purchased in an asset acquisition transaction. IPR&amp;D assets are expensed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 R&amp;D expenses also include the remeasurement of the research and development license consideration liability. The research and development license consideration liability represented an obligation to issue either preferred shares of our subsidiary or Class A Ordinary Shares to Lilly as consideration for the 2022 Lilly License, which was ultimately settled through the issuance of Class A Ordinary Shares upon the closing of the Business Combination.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could include:</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External Expenses: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incurred under agreements with CROs, investigative sites and consultants to conduct our clinical trials;</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manufacturing material for preclinical studies and clinical trials, including fees paid to CMOs;</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payments under our licensing agreements;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supplies and research materials;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regulatory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allocated expenses, which include direct and allocated expenses for rent, maintenance of facilities, insurance and equipment.</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Internal Expenses: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bonuses, benefits, share-based compensation and other related costs for those employees involved in research and development efforts.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significant portion of our research and development costs have been external expenses. We utilize third-party contractors for our research and development activities. We track these external expenses on an individual program basis within our portfolio, when they are specific to an individual program, once a clinical product candidate or program has been identified.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CMOs for our manufacturing activities and we do not have our own laboratory or manufacturing facilities. Therefore, we have no material facilities expenses attributed to research and development. We track our manufacturing activities on a portfolio basis when we have multiple programs in a portfolio, but do not track these activities on a program basis within the portfolio, as these costs are deployed across multiple programs within a portfolio.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internal research and development costs are primarily personnel-related costs. We do not track internal costs on a portfolio or program specific basis because these costs are deployed across multiple programs and, as such, are not separately classified.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studies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continue and expand our clinical trial activities. Our future expenses may vary significantly each period based on factors such as:</w:t>
      </w:r>
    </w:p>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to conduct preclinical studies required to advance our product candidates into clinical trials;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patient clinical trial costs, which may vary based on the number of doses that patients receive;</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who enroll in each clinical trial;</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trials required for approval;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clinical trials;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in which the clinical trials are conducted;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additional safety monitoring requested by regulatory agencies;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participation in clinical trials and follow-up;</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of development of the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contractors failing to comply with regulatory requirements or meet their contractual obligations in a timely manner, or at all;</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insurance, including product liability insurance, in connection with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our product candidates.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(“G&amp;A”) expenses primarily consist of professional fees for legal, accounting, and consulting costs relating to corporate matters, as well as salaries and related costs for personnel in executive and administrative functions and board of director fees, including share-based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anticipate that our G&amp;A expenses will increase in the future as we continue to support research and development activities and incur increased costs of operating as a public company. These costs include increased headcount to support expanded operations and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Years Ended December 31,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results of operations for the periods presented (in thousands):</w:t>
      </w:r>
    </w:p>
    <w:tbl>
      <w:tblPr>
        <w:tblW w:w="10205" w:type="dxa"/>
        <w:jc w:val="left"/>
        <w:tblInd w:w="0" w:type="dxa"/>
        <w:tblLayout w:type="fixed"/>
        <w:tblCellMar>
          <w:top w:w="0" w:type="dxa"/>
          <w:left w:w="0" w:type="dxa"/>
          <w:bottom w:w="0" w:type="dxa"/>
          <w:right w:w="0" w:type="dxa"/>
        </w:tblCellMar>
      </w:tblPr>
      <w:tblGrid>
        <w:gridCol w:w="4913"/>
        <w:gridCol w:w="346"/>
        <w:gridCol w:w="211"/>
        <w:gridCol w:w="765"/>
        <w:gridCol w:w="346"/>
        <w:gridCol w:w="211"/>
        <w:gridCol w:w="765"/>
        <w:gridCol w:w="346"/>
        <w:gridCol w:w="211"/>
        <w:gridCol w:w="765"/>
        <w:gridCol w:w="346"/>
        <w:gridCol w:w="661"/>
        <w:gridCol w:w="319"/>
      </w:tblGrid>
      <w:tr>
        <w:trPr/>
        <w:tc>
          <w:tcPr>
            <w:tcW w:w="4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119755" cy="175260"/>
                      <wp:effectExtent l="0" t="0" r="0" b="0"/>
                      <wp:wrapNone/>
                      <wp:docPr id="4" name="Frame3"/>
                      <a:graphic xmlns:a="http://schemas.openxmlformats.org/drawingml/2006/main">
                        <a:graphicData uri="http://schemas.microsoft.com/office/word/2010/wordprocessingShape">
                          <wps:wsp>
                            <wps:cNvSpPr txBox="1"/>
                            <wps:spPr>
                              <a:xfrm>
                                <a:off x="0" y="0"/>
                                <a:ext cx="311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85775" cy="175260"/>
                      <wp:effectExtent l="0" t="0" r="0" b="0"/>
                      <wp:wrapNone/>
                      <wp:docPr id="7" name="Frame6"/>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85775" cy="175260"/>
                      <wp:effectExtent l="0" t="0" r="0" b="0"/>
                      <wp:wrapNone/>
                      <wp:docPr id="10" name="Frame9"/>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85775" cy="175260"/>
                      <wp:effectExtent l="0" t="0" r="0" b="0"/>
                      <wp:wrapNone/>
                      <wp:docPr id="13" name="Frame12"/>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19735" cy="175260"/>
                      <wp:effectExtent l="0" t="0" r="0" b="0"/>
                      <wp:wrapNone/>
                      <wp:docPr id="15" name="Frame1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2565" cy="175260"/>
                      <wp:effectExtent l="0" t="0" r="0" b="0"/>
                      <wp:wrapNone/>
                      <wp:docPr id="16" name="Frame1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19" w:type="dxa"/>
            <w:tcBorders/>
            <w:vAlign w:val="center"/>
          </w:tcPr>
          <w:p>
            <w:pPr>
              <w:pStyle w:val="TableContents"/>
              <w:bidi w:val="0"/>
              <w:spacing w:before="0" w:after="0"/>
              <w:ind w:left="0" w:right="0" w:hanging="0"/>
              <w:jc w:val="left"/>
              <w:rPr/>
            </w:pPr>
            <w:r>
              <w:rPr/>
              <w:t>​</w:t>
            </w:r>
          </w:p>
        </w:tc>
      </w:tr>
      <w:tr>
        <w:trPr/>
        <w:tc>
          <w:tcPr>
            <w:tcW w:w="49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9" w:type="dxa"/>
            <w:tcBorders/>
            <w:vAlign w:val="center"/>
          </w:tcPr>
          <w:p>
            <w:pPr>
              <w:pStyle w:val="TableContents"/>
              <w:bidi w:val="0"/>
              <w:spacing w:before="0" w:after="0"/>
              <w:ind w:left="0" w:right="0" w:hanging="0"/>
              <w:jc w:val="center"/>
              <w:rPr/>
            </w:pPr>
            <w:r>
              <w:rPr/>
              <w:t>​</w:t>
            </w:r>
          </w:p>
        </w:tc>
      </w:tr>
      <w:tr>
        <w:trPr/>
        <w:tc>
          <w:tcPr>
            <w:tcW w:w="49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9" w:type="dxa"/>
            <w:tcBorders/>
            <w:vAlign w:val="center"/>
          </w:tcPr>
          <w:p>
            <w:pPr>
              <w:pStyle w:val="TableContents"/>
              <w:bidi w:val="0"/>
              <w:spacing w:before="0" w:after="0"/>
              <w:ind w:left="0" w:right="0" w:hanging="0"/>
              <w:jc w:val="center"/>
              <w:rPr/>
            </w:pPr>
            <w:r>
              <w:rPr/>
              <w:t>​</w:t>
            </w:r>
          </w:p>
        </w:tc>
      </w:tr>
      <w:tr>
        <w:trPr/>
        <w:tc>
          <w:tcPr>
            <w:tcW w:w="49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  ​</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49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20,057</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w:t>
            </w:r>
          </w:p>
        </w:tc>
      </w:tr>
      <w:tr>
        <w:trPr/>
        <w:tc>
          <w:tcPr>
            <w:tcW w:w="49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redeemable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 to redemption value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Adjustment of redeemable noncontrolling interest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Deemed dividend on extinguishment of noncontrolling interest and redeemable noncontrolling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Class A Ordinary Shareholders of Zura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(53,967)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 Percentage change not meaningful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 (in thousands):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for the periods presented (in thousands):</w:t>
      </w:r>
    </w:p>
    <w:p>
      <w:pPr>
        <w:pStyle w:val="TextBody"/>
        <w:bidi w:val="0"/>
        <w:spacing w:before="0" w:after="0"/>
        <w:ind w:left="0" w:right="0" w:firstLine="720"/>
        <w:jc w:val="both"/>
        <w:rPr/>
      </w:pPr>
      <w:r>
        <w:rPr/>
        <w:t>​</w:t>
      </w:r>
    </w:p>
    <w:tbl>
      <w:tblPr>
        <w:tblW w:w="10092" w:type="dxa"/>
        <w:jc w:val="left"/>
        <w:tblInd w:w="0" w:type="dxa"/>
        <w:tblLayout w:type="fixed"/>
        <w:tblCellMar>
          <w:top w:w="0" w:type="dxa"/>
          <w:left w:w="0" w:type="dxa"/>
          <w:bottom w:w="0" w:type="dxa"/>
          <w:right w:w="0" w:type="dxa"/>
        </w:tblCellMar>
      </w:tblPr>
      <w:tblGrid>
        <w:gridCol w:w="5176"/>
        <w:gridCol w:w="346"/>
        <w:gridCol w:w="211"/>
        <w:gridCol w:w="676"/>
        <w:gridCol w:w="346"/>
        <w:gridCol w:w="211"/>
        <w:gridCol w:w="676"/>
        <w:gridCol w:w="346"/>
        <w:gridCol w:w="691"/>
        <w:gridCol w:w="346"/>
        <w:gridCol w:w="661"/>
        <w:gridCol w:w="406"/>
      </w:tblGrid>
      <w:tr>
        <w:trPr/>
        <w:tc>
          <w:tcPr>
            <w:tcW w:w="5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286760" cy="175260"/>
                      <wp:effectExtent l="0" t="0" r="0" b="0"/>
                      <wp:wrapNone/>
                      <wp:docPr id="17" name="Frame16"/>
                      <a:graphic xmlns:a="http://schemas.openxmlformats.org/drawingml/2006/main">
                        <a:graphicData uri="http://schemas.microsoft.com/office/word/2010/wordprocessingShape">
                          <wps:wsp>
                            <wps:cNvSpPr txBox="1"/>
                            <wps:spPr>
                              <a:xfrm>
                                <a:off x="0" y="0"/>
                                <a:ext cx="328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20" name="Frame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9260" cy="175260"/>
                      <wp:effectExtent l="0" t="0" r="0" b="0"/>
                      <wp:wrapNone/>
                      <wp:docPr id="23"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38785" cy="175260"/>
                      <wp:effectExtent l="0" t="0" r="0" b="0"/>
                      <wp:wrapNone/>
                      <wp:docPr id="25" name="Frame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19735" cy="175260"/>
                      <wp:effectExtent l="0" t="0" r="0" b="0"/>
                      <wp:wrapNone/>
                      <wp:docPr id="27" name="Frame2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57810" cy="175260"/>
                      <wp:effectExtent l="0" t="0" r="0" b="0"/>
                      <wp:wrapNone/>
                      <wp:docPr id="28" name="Frame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 </w:t>
            </w:r>
          </w:p>
        </w:tc>
      </w:tr>
      <w:tr>
        <w:trPr/>
        <w:tc>
          <w:tcPr>
            <w:tcW w:w="5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 </w:t>
            </w:r>
          </w:p>
        </w:tc>
      </w:tr>
      <w:tr>
        <w:trPr/>
        <w:tc>
          <w:tcPr>
            <w:tcW w:w="5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center"/>
              <w:rPr/>
            </w:pPr>
            <w:r>
              <w:rPr/>
              <w:t> </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expenses by program: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Tibulizumab Portfolio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Tibulizumab SSc Program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8,257</w:t>
            </w:r>
          </w:p>
        </w:tc>
        <w:tc>
          <w:tcPr>
            <w:tcW w:w="346"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Tibulizumab HS Program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w:t>
            </w:r>
          </w:p>
        </w:tc>
        <w:tc>
          <w:tcPr>
            <w:tcW w:w="346"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Tibulizumab Combined (SSc and HS) Programs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12,875</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(7,157)</w:t>
            </w:r>
          </w:p>
        </w:tc>
        <w:tc>
          <w:tcPr>
            <w:tcW w:w="346"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Tibulizumab Portfolio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10,538</w:t>
            </w:r>
          </w:p>
        </w:tc>
        <w:tc>
          <w:tcPr>
            <w:tcW w:w="346"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product candidates (crebankitug and torudokimab)</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c>
          <w:tcPr>
            <w:tcW w:w="346"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expenses (including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3,626</w:t>
            </w:r>
          </w:p>
        </w:tc>
        <w:tc>
          <w:tcPr>
            <w:tcW w:w="346"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24,401</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17,681</w:t>
            </w:r>
          </w:p>
        </w:tc>
        <w:tc>
          <w:tcPr>
            <w:tcW w:w="346"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Percentage change not meaningful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by $17.7 million for the year ended December 31, 2025 compared to the year ended December 31, 2024. This increase was primarily due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$9.4 million and $8.3 million increase in costs as we advance our Phase 2 clinical trials evaluating tibulizumab in adults with SSc and HS, respectively, driven by costs incurred for CRO fees to support the conduct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$3.6 million increase in compensation, including share-based compensation, driven by increased personnel in research and development functions;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$2.9 million increase related to our additional product candidates (crebankitug and torudokimab), driven by a one-time milestone of $3.0 million recognized in the year ended December 31,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 million increase in unallocated non-portfolio specific research and development expenses due to our growth to support our advancement of our Phase 2 clinical trials and other product candidates.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increase was partially offset by a $7.2 million decrease in costs for tibulizumab that was not specific to an indication, primarily driven by the derecognition of the $5.0 million obligation due to BAFF (see “ - </w:t>
      </w:r>
      <w:r>
        <w:rPr>
          <w:rFonts w:ascii="Times New Roman;Times;serif" w:hAnsi="Times New Roman;Times;serif"/>
          <w:i/>
          <w:sz w:val="20"/>
        </w:rPr>
        <w:t>BAFFX17 Settlement and Release Agreement</w:t>
      </w:r>
      <w:r>
        <w:rPr>
          <w:rFonts w:ascii="Times New Roman;Times;serif" w:hAnsi="Times New Roman;Times;serif"/>
          <w:sz w:val="20"/>
        </w:rPr>
        <w:t>” above) in the year ended December 31, 2025, and a one-time milestone of $4.5 million recognized in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anticipate that research and development expenses will continue to increase in the future as we conduct research and development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increased by $2.4 million for the year ended December 31, 2025 as compared to the year ended December 31, 2024. The increase was primarily due to an increase in professional fees for legal costs to support our growing organization as we advance our Phase 2 clinical trials evaluating tibulizumab in SSc and HS.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decreased by $1.7 million for the year ended December 31, 2025 as compared to the year ended December 31, 2024. This is primarily due to a decrease in our cash and cash equivalents balance during the year ended December 31, 2025 as compared to the year ended December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private placement warrants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Revaluation loss on the liability-classified Private Placement Warrants assumed in the Business Combination was $5.2 million during the year ended December 31, 2024. During the year ended December 31, 2024, the Private Placement Warrants were recorded at their settlement value upon completion of the Warrant Exchange, which was the fair value of the Class A Ordinary Shares exchanged for the Private Placement Warrants. There were no Private Placement Warrants outstanding as of December 31, 2024 and December 31, 2025.</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 net remained relatively consistent for the year ended December 31, 2025 as compared to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Accretion of redeemable noncontrolling interest to redemption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Accretion of redeemable noncontrolling interest to redemption value was $4.9 million for the year ended December 31, 2025 resulting from the remeasurement of the Z33 Series Seed Preferred Shares to redemption value. After the modification of the terms of the Z33 Series Seed Preferred Shares issued to Stone Peach (see “—</w:t>
      </w:r>
      <w:r>
        <w:rPr>
          <w:rFonts w:ascii="Times New Roman;Times;serif" w:hAnsi="Times New Roman;Times;serif"/>
          <w:i/>
          <w:sz w:val="20"/>
        </w:rPr>
        <w:t>2022 Lilly License</w:t>
      </w:r>
      <w:r>
        <w:rPr>
          <w:rFonts w:ascii="Times New Roman;Times;serif" w:hAnsi="Times New Roman;Times;serif"/>
          <w:sz w:val="20"/>
        </w:rPr>
        <w:t>” above), the Z33 Series Seed Preferred Shares are recorded at the greater of the redemption value or the initial fair value, less noncontrolling shareholder’s interest in net loss of Z33. The redeemable noncontrolling interest was remeasured prior to extinguishment on December 29, 2025 (see “—</w:t>
      </w:r>
      <w:r>
        <w:rPr>
          <w:rFonts w:ascii="Times New Roman;Times;serif" w:hAnsi="Times New Roman;Times;serif"/>
          <w:i/>
          <w:sz w:val="20"/>
        </w:rPr>
        <w:t>Stone Peach Settlement and Release Agreement”</w:t>
      </w:r>
      <w:r>
        <w:rPr>
          <w:rFonts w:ascii="Times New Roman;Times;serif" w:hAnsi="Times New Roman;Times;serif"/>
          <w:sz w:val="20"/>
        </w:rPr>
        <w:t xml:space="preserve"> above). As of December 31, 2024, the redemption value was below the initial fair value, less noncontrolling shareholder’s interest in net loss of Z33, resulting in no accretion of the redeemable noncontrolling interest when remeasuring the Z33 Series Seed Preferred Shares to its redemption value.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Adjustment of Redeemable Noncontrolling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After the modification of the terms of the Z33 Series Seed Preferred Shares issued to Stone Peach (see “—</w:t>
      </w:r>
      <w:r>
        <w:rPr>
          <w:rFonts w:ascii="Times New Roman;Times;serif" w:hAnsi="Times New Roman;Times;serif"/>
          <w:i/>
          <w:sz w:val="20"/>
        </w:rPr>
        <w:t>2022 Lilly License”</w:t>
      </w:r>
      <w:r>
        <w:rPr>
          <w:rFonts w:ascii="Times New Roman;Times;serif" w:hAnsi="Times New Roman;Times;serif"/>
          <w:sz w:val="20"/>
        </w:rPr>
        <w:t xml:space="preserve"> above), the Z33 Series Seed Preferred Shares are recorded at the greater of the redemption value or the initial fair value, less noncontrolling shareholder’s interest in net loss of Z33. For the year ended December 31, 2025, there was a $0.8 million adjustment to the redeemable noncontrolling interest recognized as an adjustment to net loss attributable to Class A Ordinary Shareholders of Zura as a result of the extinguishment of 50% of the redeemable noncontrolling interest upon the exercise of the Put Option in the third quarter of 2025. For the year ended December 31, 2024, the adjustment of redeemable noncontrolling interest from redemption value to carrying value of $7.0 million resulted from a decrease in the redemption value of the Z33 Series Seed Preferred Shares below its initial fair value, less the noncontrolling shareholder’s interest in net loss of Z33, as of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Deemed dividend on extinguishment of noncontrolling interest and redeemable noncontrolling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Deemed dividend on extinguishment of noncontrolling interest and redeemable noncontrolling interest was $36.4 million for the year ended December 31, 2025 resulting from the Company entering into the Athanor Agreement and Stone Peach Settlement Agreement effective December 29, 2025 (see “—</w:t>
      </w:r>
      <w:r>
        <w:rPr>
          <w:rFonts w:ascii="Times New Roman;Times;serif" w:hAnsi="Times New Roman;Times;serif"/>
          <w:i/>
          <w:sz w:val="20"/>
        </w:rPr>
        <w:t>Athanor Agreement</w:t>
      </w:r>
      <w:r>
        <w:rPr>
          <w:rFonts w:ascii="Times New Roman;Times;serif" w:hAnsi="Times New Roman;Times;serif"/>
          <w:sz w:val="20"/>
        </w:rPr>
        <w:t>” and “—</w:t>
      </w:r>
      <w:r>
        <w:rPr>
          <w:rFonts w:ascii="Times New Roman;Times;serif" w:hAnsi="Times New Roman;Times;serif"/>
          <w:i/>
          <w:sz w:val="20"/>
        </w:rPr>
        <w:t>Stone Peach Settlement and Release Agreement</w:t>
      </w:r>
      <w:r>
        <w:rPr>
          <w:rFonts w:ascii="Times New Roman;Times;serif" w:hAnsi="Times New Roman;Times;serif"/>
          <w:sz w:val="20"/>
        </w:rPr>
        <w:t>” above). The deemed dividend was recorded as the difference between the fair value of the new instruments issued under the Athanor Agreement and the carrying amount of our prior obligations that we were relieved of per the Stone Peach Settlement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not generated any revenue and expect to continue to incur significant operating losses for the foreseeable future and may never become profitable. As of December 31, 2025, we had cash and cash equivalents of $109.4 million.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April 2023 Private Placement, raising an aggregate of $80.0 million of gross proceeds from the sale of Class A Ordinary Shares and 2023 Pre-Funded Warrants during the year ended December 31, 2023; (v) the April 2024 Private Placement, raising an aggregate of $112.5 million of gross proceeds from the sale of Class A Ordinary Shares and 2024 Pre-Funded Warrants in April 2024; (vi) the sale of 1,500,000 Class A Ordinary Shares at a price of $3.80 per share under the ATM for net proceeds of $5.5 million, after placement agent commissions, in September 2024; and (vii) the sale of 3,000,000 Class A Ordinary Shares at a price of $1.75 per share under the ATM for net proceeds of $5.1 million, after placement agent commissions, in the first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experienced operating losses and cash outflows from operations since inception and will require ongoing financing in order to continue our research and development activities and business operations.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we have not generated revenue from any source, including the commercial sales of our approved drug products, and we do not expect to generate revenue from the commercial sales of our approved drug products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the commercial sales of our approved drug products, and we do not expect to generate revenue from the commercial sales of our approved drug products unless and until we obtain regulatory approval of, and commercialize,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also be responsible to Pfizer and Lilly for significant future contingent payments under the Pfizer Agreement and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In addition to milestone payments, we are also required to pay Pfizer and Lilly under the Pfizer Agreement and Lilly Licenses, respectively, ongoing royalties in the mid-single digits to low double-digits percentage range based upon thresholds of net sales of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our current business plans, and after giving effect to the completion of the February 2026 public offering, we believe that our existing cash, cash equivalents and investments should be sufficient to fund our operating expenses and capital requirements through at least the end of 2028. Our estimate as to how long we expect our existing cash and cash equivalents to be able to fund our operating expenses and capital requirements is based on assumptions that may prove to be wrong, and we could use our available capital resources sooner than we currently expect. Changing circumstances, some of which are beyond our control, could result in less cash available to us or cause us to consume capital significantly faster than we currently anticipate, and we may need to seek additional funds sooner than planned.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the numerous risks and uncertainties associated with the research, development and commercialization of pharmaceutical drug products, we are unable to estimate the exact amount of our operating capital requirements. Our future funding requirements will depend on many factors, including, but not limited to:</w:t>
      </w:r>
    </w:p>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develop, in-license or acquire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process development and manufacturing scale-up activities associated with our product candidates and other programs as we advance them through preclinical and clinical development;</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product candidates that we may pursue;</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our milestone payments to Pfizer under the Pfizer Agreement and to Lilly under the Lilly Licenses;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research and development capabilities and establish and expand our commercial infrastructure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product manufacturing, marketing, sales and distributions, for any of our product candidates for which we receive marketing approval;</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payments to Pfizer under the Pfizer Agreement and Lilly under the Lilly Licenses;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preparing, filing and prosecuting patent applications, maintaining and enforcing our intellectual property rights and defending any intellectual property-related claims;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if any, received from commercial sales of our product candidates for which we receive marketing approval;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 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w:t>
      </w:r>
    </w:p>
    <w:tbl>
      <w:tblPr>
        <w:tblW w:w="7289" w:type="dxa"/>
        <w:jc w:val="left"/>
        <w:tblInd w:w="0" w:type="dxa"/>
        <w:tblLayout w:type="fixed"/>
        <w:tblCellMar>
          <w:top w:w="0" w:type="dxa"/>
          <w:left w:w="0" w:type="dxa"/>
          <w:bottom w:w="0" w:type="dxa"/>
          <w:right w:w="0" w:type="dxa"/>
        </w:tblCellMar>
      </w:tblPr>
      <w:tblGrid>
        <w:gridCol w:w="4216"/>
        <w:gridCol w:w="346"/>
        <w:gridCol w:w="239"/>
        <w:gridCol w:w="903"/>
        <w:gridCol w:w="392"/>
        <w:gridCol w:w="239"/>
        <w:gridCol w:w="954"/>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677160" cy="175260"/>
                      <wp:effectExtent l="0" t="0" r="0" b="0"/>
                      <wp:wrapNone/>
                      <wp:docPr id="29" name="Frame2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1765" cy="175260"/>
                      <wp:effectExtent l="0" t="0" r="0" b="0"/>
                      <wp:wrapNone/>
                      <wp:docPr id="31" name="Frame3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73405" cy="175260"/>
                      <wp:effectExtent l="0" t="0" r="0" b="0"/>
                      <wp:wrapNone/>
                      <wp:docPr id="32" name="Frame31"/>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48920" cy="175260"/>
                      <wp:effectExtent l="0" t="0" r="0" b="0"/>
                      <wp:wrapNone/>
                      <wp:docPr id="33" name="Frame3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1765" cy="175260"/>
                      <wp:effectExtent l="0" t="0" r="0" b="0"/>
                      <wp:wrapNone/>
                      <wp:docPr id="34" name="Frame3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05790" cy="175260"/>
                      <wp:effectExtent l="0" t="0" r="0" b="0"/>
                      <wp:wrapNone/>
                      <wp:docPr id="35" name="Frame34"/>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before="0" w:after="1"/>
              <w:ind w:left="0" w:right="0" w:hanging="0"/>
              <w:jc w:val="center"/>
              <w:rPr/>
            </w:pPr>
            <w:r>
              <w:rPr/>
              <w:t>  ​ ​ ​</w:t>
            </w:r>
          </w:p>
        </w:tc>
        <w:tc>
          <w:tcPr>
            <w:tcW w:w="11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(64,815)</w:t>
            </w:r>
          </w:p>
        </w:tc>
        <w:tc>
          <w:tcPr>
            <w:tcW w:w="392"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(28,076)</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92"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(2,163)</w:t>
            </w:r>
          </w:p>
        </w:tc>
        <w:tc>
          <w:tcPr>
            <w:tcW w:w="392"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109,843</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(67,091)</w:t>
            </w:r>
          </w:p>
        </w:tc>
        <w:tc>
          <w:tcPr>
            <w:tcW w:w="392"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76,692</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increased by $36.7 million to $64.8 million for the year ended December 31, 2025 from $28.1 million for the year ended December 31, 2024. The increase is primarily due to an increase in our cash net loss of $16.2 million. Non-cash charges decreased by $14.5 million due to decreased share-based compensation expense of $4.7 million driven by a modification of our former CEO’s awards in 2024, a decrease in the change in fair value on the Private Placement Warrants of $5.2 million, and a gain on extinguishment of the BAFFX17 liability of $5.0 million. Working capital changes increased cash used in operations by $6.7 million of cash for operating activities, resulting from an increase in cash used in paying accounts payable and accrued expenses for the year ended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used in investing activities for the year ended December 31, 2025 was $0.1 million, which was related to equipment purchased during the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used in investing activities for the year ended December 31, 2024 was $5.1 million, which was related to the $5.0 million cash consideration paid to acquire the 2023 Lilly License and $0.1 million of equipment purchased during the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used in financing activities for the year ended December 31, 2025 was $2.2 million, which consisted of consideration paid for the Athanor Agreement of $7.3 million, partially offset by proceeds of $5.1 million, after commissions, for the sale of Class A Ordinary Shares under our ATM.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Cash provided by financing activities for the year ended December 31, 2024 was $109.8 million, which consisted of $62.5 million of proceeds from the issuance of Class A Ordinary Shares in connection with the April 2024 Private Placement, $50.0 million of proceeds from the issuance of 2024 Pre-Funded Warrants in connection with the April 2024 Private Placement and net proceeds of</w:t>
      </w:r>
      <w:r>
        <w:rPr>
          <w:rFonts w:ascii="Times New Roman;Times;serif" w:hAnsi="Times New Roman;Times;serif"/>
          <w:sz w:val="20"/>
        </w:rPr>
        <w:t xml:space="preserve"> </w:t>
      </w:r>
      <w:r>
        <w:rPr>
          <w:rFonts w:ascii="Times New Roman;Times;serif" w:hAnsi="Times New Roman;Times;serif"/>
          <w:sz w:val="20"/>
          <w:shd w:fill="FFFFFF" w:val="clear"/>
        </w:rPr>
        <w:t>$5.5 million, after commissions, for the sale of Class A Ordinary Shares under our ATM, partially offset by transaction costs incurred in connection with the 2024 Private Placement and establishing the ATM of $7.2 million and $0.6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 and Other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Lonza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are free to terminate the Lonza License at any time upon 60 days’ notice, with or without cause. Lonza may terminate the Lonza License for cause upon a breach by us or for other commercially standard reasons. During October 2023, we began manufacturing drug substance with another third party. As a result of manufacturing with a third party other than Lonza, under the terms of the Lonza License we had a license fee of $0.4 million due to Lonza in the fourth quarter of 2023 and annually thereafter. The $0.4 million Lonza License fee was recorded as research and development expense and paid in each of the years ended December 31, 2025 and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WuXi Biologics License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2023, we entered into a biologics master services agreement (the “WuXi Biologics MSA”) with WuXi Biologics and its Affiliates (“WuXi Biologics”). Under the WuXi Biologics MSA, we are obligated to pay WuXi Biologics a service fee and all non-cancellable obligations in the amount specified in each work order associated with the agreement for the provision of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WuXi Biologics MSA may be terminated upon 30 days’ written notice by either party. Each work order under the WuXi Biologics MSA terminates upon completion of the services under such work order, or earlier under certain circumstances: (i) by us upon 3 months’ written notice for reasonable cause, (ii) by WuXi if the services cannot be reasonably performed due to technical difficulties, or (iii) immediately by either party if a material breach is uncured for 30 days. Termination fees may apply under (i) and in the case of our material breach in (iii).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2023, we entered into a cell line license agreement (the “Cell Line License Agreement”) with WuXi Biologics. The Cell Line License Agreement provides us with a non-exclusive, worldwide, sublicensable license to certain of WuXi Biologics’s know-how, cell line, and biological materials to manufacture, have manufactured, use, sell and import certain products produced through the use of the cell line licensed by WuXi Biologics under the Cell Line License Agreement (the “WuXi Biologics Licensed Products”). 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 As of December 31, 2025, there are no payments currently due under the Cell Line License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included future milestone or royalty payments or other contractual payment obligations as the timing and amount of such obligations are unknown or uncertain and are contingent upon the initiation, continuation, and/or successful completion of future activities.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our significant accounting policies are described in more detail in the notes to our consolidated financial statements appearing elsewhere in this Annual Report, we believe the following accounting policies are the most critical for fully understanding and evaluating our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the process of preparing our consolidated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 To date, our estimated accruals have not differed materially from actual costs incurred.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External costs consist primarily of payments to third parties in connection with our process development, manufacturing and clinical development activities. External expenses are recognized based on an evaluation of the progress to completion of specific tasks using information provided to us by our service providers or our estimate of the level of service that has been performed at each reporting date. We allocate external costs by program and functional area. Internal costs consist primarily of employee-related costs including salaries, related benefits and share-based compensation expense for employees engaged in research and development functions. We do not allocate internal costs by program because these costs are deployed across multiple programs and, as such, are not separately classified.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recognized share-based compensation expense for all share-based awards. The fair value of the equity instruments at the date of grant, net of actual forfeitures when they occur, is recognized to share-based compensation expense on a straight-line basis over the requisite service period. When the terms and conditions are modified before they vest, any increase in the fair value of the shares, measured immediately before and after the modification, is also charged to the consolidated statements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grant date fair value of our restricted shares, restricted share units and share options with a nominal exercise price is determined based on the share price of our Class A Ordinary Shares. The grant date fair value of our share options is estimated using the Black-Scholes option pricing model. This model utilizes inputs which are highly subjective assumptions and generally require significant judgment. These assumptions include:</w:t>
      </w:r>
    </w:p>
    <w:p>
      <w:pPr>
        <w:pStyle w:val="TextBody"/>
        <w:bidi w:val="0"/>
        <w:spacing w:before="0" w:after="0"/>
        <w:ind w:left="720" w:right="0" w:firstLine="36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xml:space="preserve">—Due to our limited operating history and a lack of company-specific historical and implied volatility data, we have based our estimate of expected volatility on the historical volatility of a publicly traded set of peer companies. The historical volatility data was computed using the daily closing prices for the selected companies’ shares during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equivalent period of the calculated expected term of the share-based awards. We will continue to apply this process until a sufficient amount of historical information regarding the volatility of our own share price becomes available.</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—The expected term represents the period that the share-based awards are expected to be outstanding. We have opted to use the “simplified method” for estimating the expected term of options, whereby the expected term equals the arithmetic average of the vesting term and the original contractual term of the option, which is generally between 5 to 10 years.</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—The risk-free rate assu</w:t>
      </w:r>
      <w:r>
        <w:rPr>
          <w:rFonts w:ascii="Times New Roman;Times;serif" w:hAnsi="Times New Roman;Times;serif"/>
          <w:sz w:val="20"/>
          <w:shd w:fill="FFFFFF" w:val="clear"/>
        </w:rPr>
        <w:t>mption is based on the United States Treasury yield in effect at the time of the grant with maturities consistent with the expected term of our options.</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Dividend Yield</w:t>
      </w:r>
      <w:r>
        <w:rPr>
          <w:rFonts w:ascii="Times New Roman;Times;serif" w:hAnsi="Times New Roman;Times;serif"/>
          <w:sz w:val="20"/>
        </w:rPr>
        <w:t>—We have never paid dividends on our ordinary shares and have no plans to pay dividends on our ordinary shares. Therefore, we used an expected dividend yield of zero.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Redeemable Noncontrolling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subsidiary Z33 issued the Z33 Series Seed Preferred Shares to Stone Peach as a finder’s fee for the 2022 Lilly License pursuant to the Z33 Letter Agreement. As the Z33 Letter Agreement to issue the Z33 Series Seed Preferred Shares included embedded put and call features, the shares issued to Stone Peach represented redeemable noncontrolling interest that we were required to initially measure at fair value at issuance. The Z33 Letter Agreement and the Stone Peach Letter Agreements were amended in both April 2023 and November 2023. The amendments were accounted for as extinguishments and reissuances of the Z33 Series Seed Preferred Shares which triggered us to remeasure the fair value of the Z33 Series Seed Preferred Shares at those points in time. Subsequent to the amendments, the Series Seed Preferred Shares were remeasured at the end of each reporting period to the greater of the redemption value or the initial carrying value, decreased for the noncontrolling interest’s share of Z33’s net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fair value of the shares without the embedded features was first determined using an option pricing model which utilizes inputs which are highly subjective assumptions and generally require significant judgement. These assumptions include expected volatility, expected term, the underlying value of Z33’s equity, a discount for lack of control, and a discount for lack of marketability.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then valued the embedded put and call features utilizing the Black-Scholes option pricing model utilizing inputs which are highly subjective and require significant judgement, including expected volatility, expected term, and the fair value of a Z33 Series Seed Preferred Share. On December 29, 2025, we terminated the Z33 Letter Agreement and the respective call and put rights relating to Z33’s Series Seed Preferred Shares were extinguished. See “—</w:t>
      </w:r>
      <w:r>
        <w:rPr>
          <w:rFonts w:ascii="Times New Roman;Times;serif" w:hAnsi="Times New Roman;Times;serif"/>
          <w:i/>
          <w:sz w:val="20"/>
        </w:rPr>
        <w:t>Athanor Letter Agreement</w:t>
      </w:r>
      <w:r>
        <w:rPr>
          <w:rFonts w:ascii="Times New Roman;Times;serif" w:hAnsi="Times New Roman;Times;serif"/>
          <w:sz w:val="20"/>
        </w:rPr>
        <w:t>”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2 to our consolidated financial statements located in “</w:t>
      </w:r>
      <w:r>
        <w:rPr>
          <w:rFonts w:ascii="Times New Roman;Times;serif" w:hAnsi="Times New Roman;Times;serif"/>
          <w:i/>
          <w:sz w:val="20"/>
        </w:rPr>
        <w:t>Item 15—Exhibits and Financial Statement Schedules—Financial Statements</w:t>
      </w:r>
      <w:r>
        <w:rPr>
          <w:rFonts w:ascii="Times New Roman;Times;serif" w:hAnsi="Times New Roman;Times;serif"/>
          <w:sz w:val="20"/>
        </w:rPr>
        <w:t>” in this Annual Report for a description of recent accounting pronouncements, the timing of their adoption, and our assessment, to the extent we have made one yet, of their potential impact on our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Upon the Closing Date, we remained an emerging growth company and may elect to extend the transition period for complying with new or revised accounting standards, which delays the adoption of these accounting standards until they would apply to private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as an emerging growth company, we may take advantage of specified reduced disclosure and other requirements that are otherwise applicable generally to public companies. These provisions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an exception from compliance with the auditor attestation requirements of Section 404 of the Sarbanes-Oxley Act of 2002, as amended;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reduced disclosure about our executive compensation arrangements in our periodic reports, proxy statements and registrations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would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Annual Report. Accordingly, the information contained herein may be different than you might obtain from other public companies in which you hold equity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a “smaller reporting company” as defined under the Securities Act and Exchange Act. We may continue to be a smaller reporting company so long as either (i) the market value of Class A Ordinary Shares held by non-affiliates is less than $250.0 million or (ii) our annual revenue was less than $100.0 million during the most recently completed fiscal year and the market value of Class A Ordinary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this Annual Report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pStyle w:val="TextBody"/>
        <w:bidi w:val="0"/>
        <w:spacing w:before="0" w:after="240"/>
        <w:ind w:left="0" w:right="0" w:hanging="0"/>
        <w:jc w:val="left"/>
        <w:rPr>
          <w:rFonts w:ascii="Times New Roman;Times;serif" w:hAnsi="Times New Roman;Times;serif"/>
          <w:b/>
          <w:sz w:val="20"/>
        </w:rPr>
      </w:pPr>
      <w:bookmarkStart w:id="98" w:name="ITEM7AQUANTITATIVEANDQUALITATIVEDISCLOSU"/>
      <w:bookmarkStart w:id="99" w:name="_715ebb8f_d3ba_4dff_821c_3ecb2c231175"/>
      <w:bookmarkEnd w:id="98"/>
      <w:bookmarkEnd w:id="99"/>
      <w:r>
        <w:rPr>
          <w:rFonts w:ascii="Times New Roman;Times;serif" w:hAnsi="Times New Roman;Times;serif"/>
          <w:b/>
          <w:sz w:val="20"/>
        </w:rPr>
        <w:t>ITEM 7A.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“smaller reporting company”, we are not required to provide the information otherwise required by this Item 7A.</w:t>
      </w:r>
    </w:p>
    <w:p>
      <w:pPr>
        <w:pStyle w:val="TextBody"/>
        <w:bidi w:val="0"/>
        <w:spacing w:before="0" w:after="240"/>
        <w:ind w:left="0" w:right="0" w:hanging="0"/>
        <w:jc w:val="left"/>
        <w:rPr>
          <w:rFonts w:ascii="Times New Roman;Times;serif" w:hAnsi="Times New Roman;Times;serif"/>
          <w:b/>
          <w:sz w:val="20"/>
        </w:rPr>
      </w:pPr>
      <w:bookmarkStart w:id="100" w:name="ITEM8FINANCIALSTATEMENTSANDSUPPLEMENTARY"/>
      <w:bookmarkStart w:id="101" w:name="_98230d82_821b_4235_81a9_fbc65b8be528"/>
      <w:bookmarkEnd w:id="100"/>
      <w:bookmarkEnd w:id="101"/>
      <w:r>
        <w:rPr>
          <w:rFonts w:ascii="Times New Roman;Times;serif" w:hAnsi="Times New Roman;Times;serif"/>
          <w:b/>
          <w:sz w:val="20"/>
        </w:rPr>
        <w:t>ITEM 8. FINANCIAL STATEMENTS AND SUPPLEMENTARY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financial statements, together with the report of our independent registered public accounting firm, required by this item are set forth beginning on page F-1 of this Annual Report.</w:t>
      </w:r>
    </w:p>
    <w:p>
      <w:pPr>
        <w:pStyle w:val="TextBody"/>
        <w:bidi w:val="0"/>
        <w:spacing w:before="0" w:after="240"/>
        <w:ind w:left="0" w:right="0" w:hanging="0"/>
        <w:jc w:val="both"/>
        <w:rPr>
          <w:rFonts w:ascii="Times New Roman;Times;serif" w:hAnsi="Times New Roman;Times;serif"/>
          <w:b/>
          <w:sz w:val="20"/>
        </w:rPr>
      </w:pPr>
      <w:bookmarkStart w:id="102" w:name="ITEM9CHANGESINANDDISAGREEMENTSWITHACCOUN"/>
      <w:bookmarkStart w:id="103" w:name="_6d14ee8a_16fa_4a0b_910b_1673e593dae6"/>
      <w:bookmarkEnd w:id="102"/>
      <w:bookmarkEnd w:id="103"/>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4" w:name="ITEM9ACONTROLSANDPROCEDURES_948383"/>
      <w:bookmarkStart w:id="105" w:name="_f6b78337_197e_4704_85e9_c64b23e0efcb"/>
      <w:bookmarkEnd w:id="104"/>
      <w:bookmarkEnd w:id="105"/>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December 31, 2025, our Chief Executive Officer and Chief Financial Officer carried out an evaluation with the participation of management of the effectiveness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December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Management’s Report on Internal Controls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is responsible for establishing and maintaining adequate internal control over financial reporting, as such term is defined in Exchange Act Rule 13a-15(f). Under the supervision and with the participation of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this assessment, management concluded that our internal control over financial reporting was effective as of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was no change in our internal control over financial reporting identified in connection with the evaluation required by Rule 13a-15(d) and 15d-15(d) of the Securities Exchange Act of 1934 that occurred during the quarter ended December 31, 2025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Inherent Limitations on Effectiveness of Internal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 Attestation Report of Registered Public Accounting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does not contain an attestation report of our registered public accounting firm due to an exemption for “emerging growth companies.”</w:t>
      </w:r>
    </w:p>
    <w:p>
      <w:pPr>
        <w:pStyle w:val="TextBody"/>
        <w:bidi w:val="0"/>
        <w:spacing w:before="0" w:after="240"/>
        <w:ind w:left="0" w:right="0" w:hanging="0"/>
        <w:jc w:val="left"/>
        <w:rPr>
          <w:rFonts w:ascii="Times New Roman;Times;serif" w:hAnsi="Times New Roman;Times;serif"/>
          <w:b/>
          <w:sz w:val="20"/>
        </w:rPr>
      </w:pPr>
      <w:bookmarkStart w:id="106" w:name="ITEM9BOTHERINFORMATION_528717"/>
      <w:bookmarkStart w:id="107" w:name="_55d35d76_8c22_4f3b_a725_4d2b6910eebd"/>
      <w:bookmarkEnd w:id="106"/>
      <w:bookmarkEnd w:id="107"/>
      <w:r>
        <w:rPr>
          <w:rFonts w:ascii="Times New Roman;Times;serif" w:hAnsi="Times New Roman;Times;serif"/>
          <w:b/>
          <w:sz w:val="20"/>
        </w:rPr>
        <w:t>ITEM 9B. OTHER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Insider Trading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quarter ended December 31, 2025, no directors or executive officers entered into, modified or terminated, contracts, instructions or written plans for the sale or purchase of our securities that were intended to satisfy the affirmative defense conditions of Rule 10b5-1.</w:t>
      </w:r>
    </w:p>
    <w:p>
      <w:pPr>
        <w:pStyle w:val="TextBody"/>
        <w:bidi w:val="0"/>
        <w:spacing w:before="0" w:after="240"/>
        <w:ind w:left="0" w:right="0" w:hanging="0"/>
        <w:jc w:val="both"/>
        <w:rPr>
          <w:rFonts w:ascii="Times New Roman;Times;serif" w:hAnsi="Times New Roman;Times;serif"/>
          <w:b/>
          <w:sz w:val="20"/>
        </w:rPr>
      </w:pPr>
      <w:bookmarkStart w:id="108" w:name="ITEM9CDISCLOSUREREGARDINGFOREIGNJURISDIC"/>
      <w:bookmarkStart w:id="109" w:name="_949b0bdb_373d_4edf_ba31_dd30b3890fed"/>
      <w:bookmarkEnd w:id="108"/>
      <w:bookmarkEnd w:id="109"/>
      <w:r>
        <w:rPr>
          <w:rFonts w:ascii="Times New Roman;Times;serif" w:hAnsi="Times New Roman;Times;serif"/>
          <w:b/>
          <w:sz w:val="20"/>
        </w:rPr>
        <w:t>ITEM 9C. DISCLOSURE REGARDING FOREIGN JURISDICTIONS THAT PREVENT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0" w:name="PARTIII_610072"/>
      <w:bookmarkStart w:id="111" w:name="_04960b96_1c51_48e8_a868_512ff06d8f93"/>
      <w:bookmarkEnd w:id="110"/>
      <w:bookmarkEnd w:id="11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12" w:name="ITEM10DIRECTORSEXECUTIVEOFFICERSANDCORPO"/>
      <w:bookmarkEnd w:id="112"/>
      <w:r>
        <w:rPr>
          <w:rFonts w:ascii="Times New Roman;Times;serif" w:hAnsi="Times New Roman;Times;serif"/>
          <w:b/>
          <w:sz w:val="20"/>
        </w:rPr>
        <w:t>ITEM 10. DIRECTORS, EXECUTIVE OFFICERS, AND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set forth below, the information required by this item will be included in the definitive proxy statement for our 2026 annual general meeting of shareholders (the “AGM”), which will be filed with the SEC within 120 days of our 2025 fiscal year end.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Code of Ethics (the “Code”), which applies to all directors, officers and employees, is available on our Investor Relations website, investors.zurabio.com. The information on, or otherwise accessible through, our website does not constitute a part of this Annual Report. We intend to satisfy the disclosure requirements regarding any applicable amendment to or waiver from the Code by posting such information on our Investor Relations website rather than by filing a Current Report on Form 8-K.</w:t>
      </w:r>
    </w:p>
    <w:p>
      <w:pPr>
        <w:pStyle w:val="TextBody"/>
        <w:bidi w:val="0"/>
        <w:spacing w:before="0" w:after="0"/>
        <w:ind w:left="0" w:right="0" w:hanging="0"/>
        <w:jc w:val="left"/>
        <w:rPr>
          <w:rFonts w:ascii="Times New Roman;Times;serif" w:hAnsi="Times New Roman;Times;serif"/>
          <w:b/>
          <w:sz w:val="20"/>
        </w:rPr>
      </w:pPr>
      <w:bookmarkStart w:id="113" w:name="ITEM11EXECUTIVECOMPENSATION_971302"/>
      <w:bookmarkStart w:id="114" w:name="_91a5abea_60b9_4e39_bc10_ec242509264f"/>
      <w:bookmarkEnd w:id="113"/>
      <w:bookmarkEnd w:id="114"/>
      <w:r>
        <w:rPr>
          <w:rFonts w:ascii="Times New Roman;Times;serif" w:hAnsi="Times New Roman;Times;serif"/>
          <w:b/>
          <w:sz w:val="20"/>
        </w:rPr>
        <w:t>ITEM 11. EXECUTIVE COMPENSATION</w:t>
      </w:r>
    </w:p>
    <w:p>
      <w:pPr>
        <w:pStyle w:val="TextBody"/>
        <w:bidi w:val="0"/>
        <w:spacing w:before="0" w:after="0"/>
        <w:ind w:left="0" w:right="0" w:hanging="0"/>
        <w:jc w:val="left"/>
        <w:rPr/>
      </w:pPr>
      <w:bookmarkStart w:id="115" w:name="EmploymentAgreements_677154"/>
      <w:bookmarkEnd w:id="115"/>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will be included in our definitive proxy statement for our AGM and is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16" w:name="ITEM12SECURITYOWNERSHIPOFCERTAINBENEFICI"/>
      <w:bookmarkStart w:id="117" w:name="_9ada8e95_4262_411b_9418_a3d9a02514d9"/>
      <w:bookmarkEnd w:id="116"/>
      <w:bookmarkEnd w:id="117"/>
      <w:r>
        <w:rPr>
          <w:rFonts w:ascii="Times New Roman;Times;serif" w:hAnsi="Times New Roman;Times;serif"/>
          <w:b/>
          <w:sz w:val="20"/>
        </w:rPr>
        <w:t>ITEM 12. SECURITY OWNERSHIP OF CERTAIN BENEFICIAL OWNERS AND MANAGEMENT AND RELATED SHAREHOLDER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will be included in the definitive proxy statement for our AGM and is incorporated herein by reference.</w:t>
      </w:r>
    </w:p>
    <w:p>
      <w:pPr>
        <w:pStyle w:val="TextBody"/>
        <w:bidi w:val="0"/>
        <w:spacing w:before="0" w:after="240"/>
        <w:ind w:left="0" w:right="0" w:hanging="0"/>
        <w:jc w:val="both"/>
        <w:rPr>
          <w:rFonts w:ascii="Times New Roman;Times;serif" w:hAnsi="Times New Roman;Times;serif"/>
          <w:b/>
          <w:sz w:val="20"/>
        </w:rPr>
      </w:pPr>
      <w:bookmarkStart w:id="118" w:name="ITEM13CERTAINRELATIONSHIPSANDRELATEDTRAN"/>
      <w:bookmarkStart w:id="119" w:name="_44d97b57_7bca_4e2d_8c15_3650e9d7d8b2"/>
      <w:bookmarkEnd w:id="118"/>
      <w:bookmarkEnd w:id="119"/>
      <w:r>
        <w:rPr>
          <w:rFonts w:ascii="Times New Roman;Times;serif" w:hAnsi="Times New Roman;Times;serif"/>
          <w:b/>
          <w:sz w:val="20"/>
        </w:rPr>
        <w:t>ITEM 13. CERTAIN RELATIONSHIPS AND RELATED TRANSACTIONS, AND DIRECTOR INDEPENDENCE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will be included in the definitive proxy statement to our 2026 Annual General Meeting of Shareholders and is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0" w:name="ITEM14PRINCIPALACCOUNTINGFEESANDSERVICES"/>
      <w:bookmarkStart w:id="121" w:name="_de245fbd_e490_4c4e_b1f5_4e1909cf111b"/>
      <w:bookmarkEnd w:id="120"/>
      <w:bookmarkEnd w:id="121"/>
      <w:r>
        <w:rPr>
          <w:rFonts w:ascii="Times New Roman;Times;serif" w:hAnsi="Times New Roman;Times;serif"/>
          <w:b/>
          <w:sz w:val="20"/>
        </w:rPr>
        <w:t>ITEM 14. PRINCIPAL ACCOUNTANT FEES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will be included in the definitive proxy statement to our 2026 Annual General Meeting of Shareholders and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2" w:name="PARTIV_691372"/>
      <w:bookmarkStart w:id="123" w:name="_b480a735_9ced_4a71_bdc0_8fabba69a583"/>
      <w:bookmarkEnd w:id="122"/>
      <w:bookmarkEnd w:id="123"/>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sz w:val="20"/>
        </w:rPr>
      </w:pPr>
      <w:bookmarkStart w:id="124" w:name="ITEM15EXHIBITSFINANCIALSTATEMENTSCHEDULE"/>
      <w:bookmarkEnd w:id="124"/>
      <w:r>
        <w:rPr>
          <w:rFonts w:ascii="Times New Roman;Times;serif" w:hAnsi="Times New Roman;Times;serif"/>
          <w:b/>
          <w:sz w:val="20"/>
        </w:rPr>
        <w:t>ITEM 15</w:t>
      </w:r>
      <w:r>
        <w:rPr>
          <w:rFonts w:ascii="Times New Roman;Times;serif" w:hAnsi="Times New Roman;Times;serif"/>
          <w:b/>
          <w:i/>
          <w:sz w:val="20"/>
        </w:rPr>
        <w:t>.</w:t>
      </w:r>
      <w:r>
        <w:rPr>
          <w:rFonts w:ascii="Times New Roman;Times;serif" w:hAnsi="Times New Roman;Times;serif"/>
          <w:sz w:val="20"/>
        </w:rPr>
        <w:t> </w:t>
      </w:r>
      <w:r>
        <w:rPr>
          <w:rFonts w:ascii="Times New Roman;Times;serif" w:hAnsi="Times New Roman;Times;serif"/>
          <w:b/>
          <w:sz w:val="20"/>
        </w:rPr>
        <w:t>EXHIBITS, FINANCIAL STATEMENT SCHEDULES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following documents are filed as part of this Form 10-K:</w:t>
      </w:r>
    </w:p>
    <w:p>
      <w:pPr>
        <w:pStyle w:val="TextBody"/>
        <w:bidi w:val="0"/>
        <w:spacing w:before="0" w:after="0"/>
        <w:ind w:left="0" w:right="0" w:hanging="0"/>
        <w:jc w:val="both"/>
        <w:rPr/>
      </w:pPr>
      <w:r>
        <w:rPr/>
        <w:t>​</w:t>
      </w:r>
    </w:p>
    <w:tbl>
      <w:tblPr>
        <w:tblW w:w="10131" w:type="dxa"/>
        <w:jc w:val="left"/>
        <w:tblInd w:w="0" w:type="dxa"/>
        <w:tblLayout w:type="fixed"/>
        <w:tblCellMar>
          <w:top w:w="28" w:type="dxa"/>
          <w:left w:w="28" w:type="dxa"/>
          <w:bottom w:w="28" w:type="dxa"/>
          <w:right w:w="28" w:type="dxa"/>
        </w:tblCellMar>
      </w:tblPr>
      <w:tblGrid>
        <w:gridCol w:w="124"/>
        <w:gridCol w:w="331"/>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The financial statements as set forth under Item 8 of this Annual Report are incorporated herein.</w:t>
            </w:r>
          </w:p>
        </w:tc>
      </w:tr>
    </w:tbl>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(2)Financial Statement Schedules: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schedules have been omitted because they are not required, not applicable, not present in amounts sufficient to require submission of the schedule, or the required information is otherwise included in our consolidated financial statements and related notes.</w:t>
      </w:r>
    </w:p>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(3)Exhibits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The following exhibits are filed as part of, or incorporated by reference into, this Annual Report.</w:t>
      </w:r>
    </w:p>
    <w:tbl>
      <w:tblPr>
        <w:tblW w:w="10205" w:type="dxa"/>
        <w:jc w:val="left"/>
        <w:tblInd w:w="0" w:type="dxa"/>
        <w:tblLayout w:type="fixed"/>
        <w:tblCellMar>
          <w:top w:w="0" w:type="dxa"/>
          <w:left w:w="0" w:type="dxa"/>
          <w:bottom w:w="0" w:type="dxa"/>
          <w:right w:w="0" w:type="dxa"/>
        </w:tblCellMar>
      </w:tblPr>
      <w:tblGrid>
        <w:gridCol w:w="646"/>
        <w:gridCol w:w="346"/>
        <w:gridCol w:w="9213"/>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10210" cy="29210"/>
                      <wp:effectExtent l="0" t="0" r="0" b="0"/>
                      <wp:wrapNone/>
                      <wp:docPr id="36" name="Frame35"/>
                      <a:graphic xmlns:a="http://schemas.openxmlformats.org/drawingml/2006/main">
                        <a:graphicData uri="http://schemas.microsoft.com/office/word/2010/wordprocessingShape">
                          <wps:wsp>
                            <wps:cNvSpPr txBox="1"/>
                            <wps:spPr>
                              <a:xfrm>
                                <a:off x="0" y="0"/>
                                <a:ext cx="41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850255" cy="29210"/>
                      <wp:effectExtent l="0" t="0" r="0" b="0"/>
                      <wp:wrapNone/>
                      <wp:docPr id="37" name="Frame36"/>
                      <a:graphic xmlns:a="http://schemas.openxmlformats.org/drawingml/2006/main">
                        <a:graphicData uri="http://schemas.microsoft.com/office/word/2010/wordprocessingShape">
                          <wps:wsp>
                            <wps:cNvSpPr txBox="1"/>
                            <wps:spPr>
                              <a:xfrm>
                                <a:off x="0" y="0"/>
                                <a:ext cx="58502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346" w:type="dxa"/>
            <w:tcBorders/>
            <w:vAlign w:val="center"/>
          </w:tcPr>
          <w:p>
            <w:pPr>
              <w:pStyle w:val="TableContents"/>
              <w:bidi w:val="0"/>
              <w:spacing w:lineRule="auto" w:line="304" w:before="0" w:after="0"/>
              <w:ind w:left="0" w:right="0" w:hanging="0"/>
              <w:jc w:val="left"/>
              <w:rPr/>
            </w:pPr>
            <w:r>
              <w:rPr/>
              <w:t>  ​ ​ ​</w:t>
            </w:r>
          </w:p>
        </w:tc>
        <w:tc>
          <w:tcPr>
            <w:tcW w:w="9213"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3">
              <w:r>
                <w:rPr>
                  <w:rStyle w:val="InternetLink"/>
                  <w:rFonts w:ascii="Times New Roman;Times;serif" w:hAnsi="Times New Roman;Times;serif"/>
                  <w:b w:val="false"/>
                  <w:i w:val="false"/>
                  <w:caps w:val="false"/>
                  <w:smallCaps w:val="false"/>
                  <w:sz w:val="20"/>
                </w:rPr>
                <w:t>Business Combination Agreement, dated as of June 16, 2022, by and among JATT, Merger Sub, Merger Sub 2, Holdco and Zura Bio Limited (incorporated by reference to Exhibit 2.1 of JATT’s Current Report on Form 8-K (File No. 001-40598), filed with the SEC on June 17, 2022).</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4">
              <w:r>
                <w:rPr>
                  <w:rStyle w:val="InternetLink"/>
                  <w:rFonts w:ascii="Times New Roman;Times;serif" w:hAnsi="Times New Roman;Times;serif"/>
                  <w:b w:val="false"/>
                  <w:i w:val="false"/>
                  <w:caps w:val="false"/>
                  <w:smallCaps w:val="false"/>
                  <w:sz w:val="20"/>
                </w:rPr>
                <w:t>First Amendment dated as of September 20, 2022 to the Business Combination Agreement by and among JATT, Merger Sub, Merger Sub 2 and Holdco and Zura Bio Limited (incorporated by reference to Exhibit 2.2 of JATT’s Form S-4/A (File No. 333-267005), filed with the SEC on October 25, 2022).</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5">
              <w:r>
                <w:rPr>
                  <w:rStyle w:val="InternetLink"/>
                  <w:rFonts w:ascii="Times New Roman;Times;serif" w:hAnsi="Times New Roman;Times;serif"/>
                  <w:b w:val="false"/>
                  <w:i w:val="false"/>
                  <w:caps w:val="false"/>
                  <w:smallCaps w:val="false"/>
                  <w:sz w:val="20"/>
                </w:rPr>
                <w:t>Second Amendment dated as of November 14, 2022 to the Business Combination Agreement by and among JATT, Merger Sub, Merger Sub 2, Holdco and Zura Bio Limited (incorporated by reference to Exhibit 2.2 of JATT’s Current Report on Form 8-K (File No. 001-40598), filed with the SEC on November 15, 2022).</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6">
              <w:r>
                <w:rPr>
                  <w:rStyle w:val="InternetLink"/>
                  <w:rFonts w:ascii="Times New Roman;Times;serif" w:hAnsi="Times New Roman;Times;serif"/>
                  <w:b w:val="false"/>
                  <w:i w:val="false"/>
                  <w:caps w:val="false"/>
                  <w:smallCaps w:val="false"/>
                  <w:sz w:val="20"/>
                </w:rPr>
                <w:t>Third Amendment dated as of January 13, 2023 to the Business Combination Agreement by and among JATT Acquisition Corp, JATT Merger Sub, JATT Merger Sub 2, Zura Holdings, Ltd. and Zura Bio Limited (incorporated by reference to Exhibit 2.1 of JATT’s Current Report on Form 8-K (File No. 001-40598), filed with the SEC on January 19,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7">
              <w:r>
                <w:rPr>
                  <w:rStyle w:val="InternetLink"/>
                  <w:rFonts w:ascii="Times New Roman;Times;serif" w:hAnsi="Times New Roman;Times;serif"/>
                  <w:b w:val="false"/>
                  <w:i w:val="false"/>
                  <w:caps w:val="false"/>
                  <w:smallCaps w:val="false"/>
                  <w:sz w:val="20"/>
                </w:rPr>
                <w:t>Second Amended and Restated Memorandum and Articles of Association of Zura Bio Limited (incorporated by reference to Exhibit 3.1 to Zura’s Form 8-K (File No. 001-40598), filed with the SEC on March 24,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8">
              <w:r>
                <w:rPr>
                  <w:rStyle w:val="InternetLink"/>
                  <w:rFonts w:ascii="Times New Roman;Times;serif" w:hAnsi="Times New Roman;Times;serif"/>
                  <w:b w:val="false"/>
                  <w:i w:val="false"/>
                  <w:caps w:val="false"/>
                  <w:smallCaps w:val="false"/>
                  <w:sz w:val="20"/>
                </w:rPr>
                <w:t>Specimen Share Certificate of Zura Bio Limited (incorporated by reference to Exhibit 4.5 of JATT’s Form S-4 (File No. 333-267005) filed with the SEC on August 19, 2022).</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of Pre-Funded Warrant to Purchase Ordinary Shares (incorporated herein by reference to Exhibit 4.1 to Zura Bio Limited’s Current Report on Form 8-K, filed with the SEC on May 3,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10">
              <w:r>
                <w:rPr>
                  <w:rStyle w:val="InternetLink"/>
                  <w:rFonts w:ascii="Times New Roman;Times;serif" w:hAnsi="Times New Roman;Times;serif"/>
                  <w:b w:val="false"/>
                  <w:i w:val="false"/>
                  <w:caps w:val="false"/>
                  <w:smallCaps w:val="false"/>
                  <w:sz w:val="20"/>
                </w:rPr>
                <w:t>Form of Pre-Funded Warrant to Purchase Ordinary Shares (incorporated herein by reference to Exhibit 4.1 to Zura Bio Limited’s Current Report on Form 8-K, filed with the SEC on August 21, 2024).</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Pre-Funded Warrant to purchase Ordinary Shares (incorporated by reference to Exhibit 4.1 to Zura Bio Limited’s Current Report on Form 8-K filed with the SEC on April 23, 2024).</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12">
              <w:r>
                <w:rPr>
                  <w:rStyle w:val="InternetLink"/>
                  <w:rFonts w:ascii="Times New Roman;Times;serif" w:hAnsi="Times New Roman;Times;serif"/>
                  <w:b w:val="false"/>
                  <w:i w:val="false"/>
                  <w:caps w:val="false"/>
                  <w:smallCaps w:val="false"/>
                  <w:sz w:val="20"/>
                </w:rPr>
                <w:t>Form of Pre-Funded Warrant to purchase Ordinary Shares (incorporated by reference to Exhibit 4.1 to Zura Bio Limited’s Current Report on Form 8-K filed with the SEC on April 17, 2025).</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Pre-Funded Warrant to purchase Ordinary Shares (incorporated by reference to Exhibit 4.1 to Zura Bio Limited’s Current Report on Form 8-K filed with the SEC on February 26, 2026).</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14">
              <w:r>
                <w:rPr>
                  <w:rStyle w:val="InternetLink"/>
                  <w:rFonts w:ascii="Times New Roman;Times;serif" w:hAnsi="Times New Roman;Times;serif"/>
                  <w:b w:val="false"/>
                  <w:i w:val="false"/>
                  <w:caps w:val="false"/>
                  <w:smallCaps w:val="false"/>
                  <w:sz w:val="20"/>
                </w:rPr>
                <w:t>Description of Zura Bio Limited’s securities (incorporated by reference to Exhibit 4.6 to Zura Bio Limited’s Annual Report on Form 10-K filed with the SEC on March 25, 2025).</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15">
              <w:r>
                <w:rPr>
                  <w:rStyle w:val="InternetLink"/>
                  <w:rFonts w:ascii="Times New Roman;Times;serif" w:hAnsi="Times New Roman;Times;serif"/>
                  <w:b w:val="false"/>
                  <w:i w:val="false"/>
                  <w:caps w:val="false"/>
                  <w:smallCaps w:val="false"/>
                  <w:sz w:val="20"/>
                </w:rPr>
                <w:t>License Agreement between Zura Bio Limited and Lonza Sales AG, dated July 22, 2022 (incorporated by reference to Exhibit 10.17 of JATT’s Form S-4/A (File No. 333-267005) filed with the SEC on February 17, 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16">
              <w:r>
                <w:rPr>
                  <w:rStyle w:val="InternetLink"/>
                  <w:rFonts w:ascii="Times New Roman;Times;serif" w:hAnsi="Times New Roman;Times;serif"/>
                  <w:b w:val="false"/>
                  <w:i w:val="false"/>
                  <w:caps w:val="false"/>
                  <w:smallCaps w:val="false"/>
                  <w:sz w:val="20"/>
                </w:rPr>
                <w:t>License, Development and Commercialization Agreement, dated as of December 8, 2022, by and between Eli Lilly and Company and Z33 Bio Inc (incorporated by reference to Exhibit 10.22 of JATT’s Form S-4/A (File No. 333-267005) filed with the SEC on February 17,2023).</w:t>
              </w:r>
            </w:hyperlink>
          </w:p>
        </w:tc>
      </w:tr>
      <w:tr>
        <w:trPr/>
        <w:tc>
          <w:tcPr>
            <w:tcW w:w="6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lineRule="auto" w:line="304" w:before="0" w:after="0"/>
              <w:ind w:left="0" w:right="0" w:hanging="0"/>
              <w:jc w:val="left"/>
              <w:rPr/>
            </w:pPr>
            <w:r>
              <w:rPr/>
              <w:t>​</w:t>
            </w:r>
          </w:p>
        </w:tc>
        <w:tc>
          <w:tcPr>
            <w:tcW w:w="9213" w:type="dxa"/>
            <w:tcBorders/>
            <w:vAlign w:val="center"/>
          </w:tcPr>
          <w:p>
            <w:pPr>
              <w:pStyle w:val="TableContents"/>
              <w:bidi w:val="0"/>
              <w:spacing w:lineRule="auto" w:line="304" w:before="0" w:after="0"/>
              <w:ind w:left="0" w:right="0" w:hanging="0"/>
              <w:jc w:val="both"/>
              <w:rPr/>
            </w:pPr>
            <w:hyperlink r:id="rId17">
              <w:r>
                <w:rPr>
                  <w:rStyle w:val="InternetLink"/>
                  <w:rFonts w:ascii="Times New Roman;Times;serif" w:hAnsi="Times New Roman;Times;serif"/>
                  <w:b w:val="false"/>
                  <w:i w:val="false"/>
                  <w:caps w:val="false"/>
                  <w:smallCaps w:val="false"/>
                  <w:sz w:val="20"/>
                </w:rPr>
                <w:t>Zura Bio Limited 2023 Equity Incentive Plan (incorporated by reference to Exhibit 99.1 of Zura Bio Limited’s Registration Statement on Form S-8 (File No. 333-272842) filed with the SEC on June 22, 2023).</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71"/>
        <w:gridCol w:w="109"/>
        <w:gridCol w:w="9425"/>
      </w:tblGrid>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18">
              <w:r>
                <w:rPr>
                  <w:rStyle w:val="InternetLink"/>
                  <w:rFonts w:ascii="Times New Roman;Times;serif" w:hAnsi="Times New Roman;Times;serif"/>
                  <w:b w:val="false"/>
                  <w:i w:val="false"/>
                  <w:caps w:val="false"/>
                  <w:smallCaps w:val="false"/>
                  <w:sz w:val="20"/>
                </w:rPr>
                <w:t>Zura Bio Limited 2023 Employee Share Purchase Plan (incorporated by reference to Exhibit 99.2 of Zura Bio Limited’s Registration Statement on Form S-8 (File No. 333-272842) filed with the SEC on June 22, 2023).</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"https://www.sec.gov/Archives/edgar/data/1855644/000110465923062684/tm2315164-1_def14a.htm" \l "tANC"</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Share Option Award Agreement (incorporated by reference to Annex C of the Definitive Proxy Statement on Schedule 14A filed with the SEC on May 19, 2023).</w:t>
            </w:r>
            <w:r>
              <w:rPr>
                <w:rStyle w:val="InternetLink"/>
                <w:smallCaps w:val="false"/>
                <w:caps w:val="false"/>
                <w:sz w:val="20"/>
                <w:i w:val="false"/>
                <w:b w:val="false"/>
                <w:rFonts w:ascii="Times New Roman;Times;serif" w:hAnsi="Times New Roman;Times;serif"/>
              </w:rPr>
              <w:fldChar w:fldCharType="end"/>
            </w:r>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19">
              <w:r>
                <w:rPr>
                  <w:rStyle w:val="InternetLink"/>
                  <w:rFonts w:ascii="Times New Roman;Times;serif" w:hAnsi="Times New Roman;Times;serif"/>
                  <w:b w:val="false"/>
                  <w:i w:val="false"/>
                  <w:caps w:val="false"/>
                  <w:smallCaps w:val="false"/>
                  <w:sz w:val="20"/>
                </w:rPr>
                <w:t>License, Development and Commercialization Agreement between ZB17 LLC and Eli Lilly and Company, dated April 26, 2023 (incorporated by reference to Exhibit 10.38 to the Registration Statement filed with the SEC on August 25, 2023).</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0">
              <w:r>
                <w:rPr>
                  <w:rStyle w:val="InternetLink"/>
                  <w:rFonts w:ascii="Times New Roman;Times;serif" w:hAnsi="Times New Roman;Times;serif"/>
                  <w:b w:val="false"/>
                  <w:i w:val="false"/>
                  <w:caps w:val="false"/>
                  <w:smallCaps w:val="false"/>
                  <w:sz w:val="20"/>
                </w:rPr>
                <w:t>Offer Letter, dated March 2, 2023, to Amit Munshi, (incorporated by reference to Exhibit 10.28 of JATT’s Form 10-Q (File No. 001-40598) filed with the SEC on May 12, 2023).</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1">
              <w:r>
                <w:rPr>
                  <w:rStyle w:val="InternetLink"/>
                  <w:rFonts w:ascii="Times New Roman;Times;serif" w:hAnsi="Times New Roman;Times;serif"/>
                  <w:b w:val="false"/>
                  <w:i w:val="false"/>
                  <w:caps w:val="false"/>
                  <w:smallCaps w:val="false"/>
                  <w:sz w:val="20"/>
                </w:rPr>
                <w:t>Service Agreement between Zura Bio Limited and Kiran Nistala (incorporated by reference to Exhibit 10.1 to Zura Bio Limited’s Current Report on Form 8-K filed with the SEC on December 6, 2023).</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2">
              <w:r>
                <w:rPr>
                  <w:rStyle w:val="InternetLink"/>
                  <w:rFonts w:ascii="Times New Roman;Times;serif" w:hAnsi="Times New Roman;Times;serif"/>
                  <w:b w:val="false"/>
                  <w:i w:val="false"/>
                  <w:caps w:val="false"/>
                  <w:smallCaps w:val="false"/>
                  <w:sz w:val="20"/>
                </w:rPr>
                <w:t>Employment Agreement between Zura Bio Limited and Robert Lisicki (incorporated by reference to Exhibit 10.1 to Zura Bio Limited’s Current Report on Form 8-K filed with the SEC on January 8, 2024).</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3">
              <w:r>
                <w:rPr>
                  <w:rStyle w:val="InternetLink"/>
                  <w:rFonts w:ascii="Times New Roman;Times;serif" w:hAnsi="Times New Roman;Times;serif"/>
                  <w:b w:val="false"/>
                  <w:i w:val="false"/>
                  <w:caps w:val="false"/>
                  <w:smallCaps w:val="false"/>
                  <w:sz w:val="20"/>
                </w:rPr>
                <w:t>Share Surrender and Warrant Agreement, dated as of August 15, 2024, by and among Zura Bio Limited and certain investors party thereto (incorporated by reference to Exhibit 10.1 to Zura Bio Limited’s Current Report on Form 8-K filed with the SEC on August 21, 2024).</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4">
              <w:r>
                <w:rPr>
                  <w:rStyle w:val="InternetLink"/>
                  <w:rFonts w:ascii="Times New Roman;Times;serif" w:hAnsi="Times New Roman;Times;serif"/>
                  <w:b w:val="false"/>
                  <w:i w:val="false"/>
                  <w:caps w:val="false"/>
                  <w:smallCaps w:val="false"/>
                  <w:sz w:val="20"/>
                </w:rPr>
                <w:t>Form of Subscription Agreement (incorporated by reference to Exhibit 10.1 to Zura Bio Limited’s Current Report on Form 8-K filed with the SEC on April 23, 2024).</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5">
              <w:r>
                <w:rPr>
                  <w:rStyle w:val="InternetLink"/>
                  <w:rFonts w:ascii="Times New Roman;Times;serif" w:hAnsi="Times New Roman;Times;serif"/>
                  <w:b w:val="false"/>
                  <w:i w:val="false"/>
                  <w:caps w:val="false"/>
                  <w:smallCaps w:val="false"/>
                  <w:sz w:val="20"/>
                </w:rPr>
                <w:t>Sales Agreement, by and between Zura Bio Limited and Leerink Partners LLC, dated September 3, 2024 (incorporated by reference to Exhibit 1.2 to the Registration Statement on Form S-3 filed with the SEC on September 3, 2024).</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6">
              <w:r>
                <w:rPr>
                  <w:rStyle w:val="InternetLink"/>
                  <w:rFonts w:ascii="Times New Roman;Times;serif" w:hAnsi="Times New Roman;Times;serif"/>
                  <w:b w:val="false"/>
                  <w:i w:val="false"/>
                  <w:caps w:val="false"/>
                  <w:smallCaps w:val="false"/>
                  <w:sz w:val="20"/>
                </w:rPr>
                <w:t>Amended and Restated Registration Rights Agreement dated March 20, 2023, by and among Zura Bio Limited, the Sponsor and the parties thereto (incorporated by reference to Exhibit 10.2 of the Company’s Current Report Form 8-K (File No. 001-40598) filed with the SEC on March 24, 2023).</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7">
              <w:r>
                <w:rPr>
                  <w:rStyle w:val="InternetLink"/>
                  <w:rFonts w:ascii="Times New Roman;Times;serif" w:hAnsi="Times New Roman;Times;serif"/>
                  <w:b w:val="false"/>
                  <w:i w:val="false"/>
                  <w:caps w:val="false"/>
                  <w:smallCaps w:val="false"/>
                  <w:sz w:val="20"/>
                </w:rPr>
                <w:t>Form of Indemnity Agreement (incorporated by reference to Exhibit 10.13 of the Company’s Current Report on Form 8-K (File No. 001-40598), filed with the SEC on March 24, 2023).</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"https://www.sec.gov/Archives/edgar/data/1855644/000110465923062684/tm2315164-1_def14a.htm" \l "tANC"</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Share Option Award Agreement (incorporated by reference to Annex C of the Definitive Proxy Statement on Schedule 14A filed with the SEC on May 19, 2023).</w:t>
            </w:r>
            <w:r>
              <w:rPr>
                <w:rStyle w:val="InternetLink"/>
                <w:smallCaps w:val="false"/>
                <w:caps w:val="false"/>
                <w:sz w:val="20"/>
                <w:i w:val="false"/>
                <w:b w:val="false"/>
                <w:rFonts w:ascii="Times New Roman;Times;serif" w:hAnsi="Times New Roman;Times;serif"/>
              </w:rPr>
              <w:fldChar w:fldCharType="end"/>
            </w:r>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8">
              <w:r>
                <w:rPr>
                  <w:rStyle w:val="InternetLink"/>
                  <w:rFonts w:ascii="Times New Roman;Times;serif" w:hAnsi="Times New Roman;Times;serif"/>
                  <w:b w:val="false"/>
                  <w:i w:val="false"/>
                  <w:caps w:val="false"/>
                  <w:smallCaps w:val="false"/>
                  <w:sz w:val="20"/>
                </w:rPr>
                <w:t>Letter Agreement, dated as of December 8, 2022, by and among Zura Bio Limited and Stone Peach Properties LLC (incorporated by reference to Exhibit 10.27 of JATT’s Form S-4/A (File No. 333-267005) filed with the SEC on December 14, 2022).</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29">
              <w:r>
                <w:rPr>
                  <w:rStyle w:val="InternetLink"/>
                  <w:rFonts w:ascii="Times New Roman;Times;serif" w:hAnsi="Times New Roman;Times;serif"/>
                  <w:b w:val="false"/>
                  <w:i w:val="false"/>
                  <w:caps w:val="false"/>
                  <w:smallCaps w:val="false"/>
                  <w:sz w:val="20"/>
                </w:rPr>
                <w:t>Offer Letter Agreement with Kim Davis, dated November 22, 2022 (incorporated by reference to Exhibit 10.39 to the Form S-1/A filed with the SEC on August 11, 2023).</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30">
              <w:r>
                <w:rPr>
                  <w:rStyle w:val="InternetLink"/>
                  <w:rFonts w:ascii="Times New Roman;Times;serif" w:hAnsi="Times New Roman;Times;serif"/>
                  <w:b w:val="false"/>
                  <w:i w:val="false"/>
                  <w:caps w:val="false"/>
                  <w:smallCaps w:val="false"/>
                  <w:sz w:val="20"/>
                </w:rPr>
                <w:t>Share Surrender and Warrant Agreement, dated as of April 16, 2025, by and among Zura Bio Limited and Venrock Healthcare Capital Partners EG, L.P., Venrock Healthcare Capital Partners III, L.P., and VHCP Co-Investment Holdings III, LLC (incorporated by reference to Exhibit 10.1 of the Company’s Form 8-K (File No. 001-40598) filed with the SEC on April 17, 2025).</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31">
              <w:r>
                <w:rPr>
                  <w:rStyle w:val="InternetLink"/>
                  <w:rFonts w:ascii="Times New Roman;Times;serif" w:hAnsi="Times New Roman;Times;serif"/>
                  <w:b w:val="false"/>
                  <w:i w:val="false"/>
                  <w:caps w:val="false"/>
                  <w:smallCaps w:val="false"/>
                  <w:sz w:val="20"/>
                </w:rPr>
                <w:t>Share Surrender and Warrant Agreement, dated as of April 17, 2025, by and between Zura Bio Limited and AI Biotechnology, LLC (incorporated by reference to Exhibit 10.2 of the Company’s Form 8-K (File No. 001-40598) filed with the SEC on April 17, 2025).</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32">
              <w:r>
                <w:rPr>
                  <w:rStyle w:val="InternetLink"/>
                  <w:rFonts w:ascii="Times New Roman;Times;serif" w:hAnsi="Times New Roman;Times;serif"/>
                  <w:b w:val="false"/>
                  <w:i w:val="false"/>
                  <w:caps w:val="false"/>
                  <w:smallCaps w:val="false"/>
                  <w:sz w:val="20"/>
                </w:rPr>
                <w:t>Offer Letter with Eric Hyllengren dated June 27, 2025 (incorporated by reference to Exhibit 10.1 of the Company’s Form 8-K (File No. 001-40598) filed with the SEC on July 1, 2025).</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33">
              <w:r>
                <w:rPr>
                  <w:rStyle w:val="InternetLink"/>
                  <w:rFonts w:ascii="Times New Roman;Times;serif" w:hAnsi="Times New Roman;Times;serif"/>
                  <w:b w:val="false"/>
                  <w:i w:val="false"/>
                  <w:caps w:val="false"/>
                  <w:smallCaps w:val="false"/>
                  <w:sz w:val="20"/>
                </w:rPr>
                <w:t>Settlement Agreement, by and between Zura Bio Limited and Verender Badial, dated as of June 27, 2025 (incorporated by reference to Exhibit 10.2 of the Company’s Form 8-K (File No. 001-40598) filed with the SEC on July 1, 2025).</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34">
              <w:r>
                <w:rPr>
                  <w:rStyle w:val="InternetLink"/>
                  <w:rFonts w:ascii="Times New Roman;Times;serif" w:hAnsi="Times New Roman;Times;serif"/>
                  <w:b w:val="false"/>
                  <w:i w:val="false"/>
                  <w:caps w:val="false"/>
                  <w:smallCaps w:val="false"/>
                  <w:sz w:val="20"/>
                </w:rPr>
                <w:t>Zura Bio Limited Executive Severance Benefit Plan (incorporated by reference to Exhibit 10.1 to Zura Bio Limited’s Current Report on Form 8-K filed with the SEC on September 30, 2025).</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35">
              <w:r>
                <w:rPr>
                  <w:rStyle w:val="InternetLink"/>
                  <w:rFonts w:ascii="Times New Roman;Times;serif" w:hAnsi="Times New Roman;Times;serif"/>
                  <w:b w:val="false"/>
                  <w:i w:val="false"/>
                  <w:caps w:val="false"/>
                  <w:smallCaps w:val="false"/>
                  <w:sz w:val="20"/>
                </w:rPr>
                <w:t>Letter Agreement, dated December 29, 2025, by and between Zura Bio Limited and Athanor Capital (incorporated by reference to Exhibit 10.1 to Zura Bio Limited’s Current Report on Form 8-K filed with the SEC on January 2, 2026).</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36">
              <w:r>
                <w:rPr>
                  <w:rStyle w:val="InternetLink"/>
                  <w:rFonts w:ascii="Times New Roman;Times;serif" w:hAnsi="Times New Roman;Times;serif"/>
                  <w:b w:val="false"/>
                  <w:i w:val="false"/>
                  <w:caps w:val="false"/>
                  <w:smallCaps w:val="false"/>
                  <w:sz w:val="20"/>
                </w:rPr>
                <w:t>Settlement and Release Agreement, dated December 29, 2025, by and between Zura Bio Limited and the Stone Peach Parties (incorporated by reference to Exhibit 10.2 to Zura Bio Limited’s Current Report on Form 8-K filed with the SEC on January 2, 2026).</w:t>
              </w:r>
            </w:hyperlink>
          </w:p>
        </w:tc>
      </w:tr>
      <w:tr>
        <w:trPr/>
        <w:tc>
          <w:tcPr>
            <w:tcW w:w="6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lineRule="auto" w:line="304" w:before="0" w:after="0"/>
              <w:ind w:left="0" w:right="0" w:hanging="0"/>
              <w:jc w:val="left"/>
              <w:rPr/>
            </w:pPr>
            <w:r>
              <w:rPr/>
              <w:t>​</w:t>
            </w:r>
          </w:p>
        </w:tc>
        <w:tc>
          <w:tcPr>
            <w:tcW w:w="9425" w:type="dxa"/>
            <w:tcBorders/>
            <w:vAlign w:val="center"/>
          </w:tcPr>
          <w:p>
            <w:pPr>
              <w:pStyle w:val="TableContents"/>
              <w:bidi w:val="0"/>
              <w:spacing w:lineRule="auto" w:line="304" w:before="0" w:after="0"/>
              <w:ind w:left="0" w:right="0" w:hanging="0"/>
              <w:jc w:val="both"/>
              <w:rPr/>
            </w:pPr>
            <w:hyperlink r:id="rId37">
              <w:r>
                <w:rPr>
                  <w:rStyle w:val="InternetLink"/>
                  <w:rFonts w:ascii="Times New Roman;Times;serif" w:hAnsi="Times New Roman;Times;serif"/>
                  <w:b w:val="false"/>
                  <w:i w:val="false"/>
                  <w:caps w:val="false"/>
                  <w:smallCaps w:val="false"/>
                  <w:sz w:val="20"/>
                </w:rPr>
                <w:t>Settlement and Release Agreement, dated December 29, 2025, by and between Zura Bio Limited and the BAFFX17 Parties (incorporated by reference to Exhibit 10.3 to Zura Bio Limited’s Current Report on Form 8-K filed with the SEC on January 2, 2026).</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109"/>
        <w:gridCol w:w="9390"/>
      </w:tblGrid>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r:id="rId38">
              <w:r>
                <w:rPr>
                  <w:rStyle w:val="InternetLink"/>
                  <w:rFonts w:ascii="Times New Roman;Times;serif" w:hAnsi="Times New Roman;Times;serif"/>
                  <w:b w:val="false"/>
                  <w:i w:val="false"/>
                  <w:caps w:val="false"/>
                  <w:smallCaps w:val="false"/>
                  <w:sz w:val="20"/>
                </w:rPr>
                <w:t>Separation Agreement, by and between Zura Bio Limited and Robert Lisicki, dated January 21, 2026 (incorporated by reference to Exhibit 10.1 to Zura Bio Limited’s Current Report on Form 8-K filed with the SEC on January 26, 2026).</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r:id="rId39">
              <w:r>
                <w:rPr>
                  <w:rStyle w:val="InternetLink"/>
                  <w:rFonts w:ascii="Times New Roman;Times;serif" w:hAnsi="Times New Roman;Times;serif"/>
                  <w:b w:val="false"/>
                  <w:i w:val="false"/>
                  <w:caps w:val="false"/>
                  <w:smallCaps w:val="false"/>
                  <w:sz w:val="20"/>
                </w:rPr>
                <w:t>Offer Letter with Sandeep Kulkarni, dated January 21, 2026 (incorporated by reference to Exhibit 10.2 to Zura Bio Limited’s Current Report on Form 8-K filed with the SEC on January 26, 2026).</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r:id="rId40">
              <w:r>
                <w:rPr>
                  <w:rStyle w:val="InternetLink"/>
                  <w:rFonts w:ascii="Times New Roman;Times;serif" w:hAnsi="Times New Roman;Times;serif"/>
                  <w:b w:val="false"/>
                  <w:i w:val="false"/>
                  <w:caps w:val="false"/>
                  <w:smallCaps w:val="false"/>
                  <w:sz w:val="20"/>
                </w:rPr>
                <w:t>Non-Employee Director Compensation Policy (incorporated by reference to Exhibit 10.1 of the Company’s Form 10-Q (File No. 001-40598) filed with the SEC on November 13, 2025).</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r:id="rId41">
              <w:r>
                <w:rPr>
                  <w:rStyle w:val="InternetLink"/>
                  <w:rFonts w:ascii="Times New Roman;Times;serif" w:hAnsi="Times New Roman;Times;serif"/>
                  <w:b w:val="false"/>
                  <w:i w:val="false"/>
                  <w:caps w:val="false"/>
                  <w:smallCaps w:val="false"/>
                  <w:sz w:val="20"/>
                </w:rPr>
                <w:t>Insider Trading Policy (incorporated by reference to Exhibit 19.1 of the Company’s Form 10-K (File No. 001-40598) filed with the SEC on March 25, 2025).</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w:anchor="zura-20251231xex21d1.htm">
              <w:r>
                <w:rPr>
                  <w:rStyle w:val="InternetLink"/>
                  <w:rFonts w:ascii="Times New Roman;Times;serif" w:hAnsi="Times New Roman;Times;serif"/>
                  <w:b w:val="false"/>
                  <w:i w:val="false"/>
                  <w:caps w:val="false"/>
                  <w:smallCaps w:val="false"/>
                  <w:sz w:val="20"/>
                </w:rPr>
                <w:t>List of Subsidiaries of Zura Bio Limited.</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w:anchor="zura-20251231xex23.htm">
              <w:r>
                <w:rPr>
                  <w:rStyle w:val="InternetLink"/>
                  <w:rFonts w:ascii="Times New Roman;Times;serif" w:hAnsi="Times New Roman;Times;serif"/>
                  <w:b w:val="false"/>
                  <w:i w:val="false"/>
                  <w:caps w:val="false"/>
                  <w:smallCaps w:val="false"/>
                  <w:sz w:val="20"/>
                </w:rPr>
                <w:t>Consent of WithumSmith+Brown, PC, independent registered public accounting firm of Zura.</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w:anchor="POWEROFATTORNEY_101452">
              <w:r>
                <w:rPr>
                  <w:rStyle w:val="InternetLink"/>
                  <w:rFonts w:ascii="Times New Roman;Times;serif" w:hAnsi="Times New Roman;Times;serif"/>
                  <w:b w:val="false"/>
                  <w:i w:val="false"/>
                  <w:caps w:val="false"/>
                  <w:smallCaps w:val="false"/>
                  <w:sz w:val="20"/>
                </w:rPr>
                <w:t>Power of Attorney (included on signature page).</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w:anchor="zura-20251231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w:anchor="zura-20251231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w:anchor="zura-202512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w:anchor="zura-202512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pPr>
            <w:hyperlink r:id="rId42">
              <w:r>
                <w:rPr>
                  <w:rStyle w:val="InternetLink"/>
                  <w:rFonts w:ascii="Times New Roman;Times;serif" w:hAnsi="Times New Roman;Times;serif"/>
                  <w:b w:val="false"/>
                  <w:i w:val="false"/>
                  <w:caps w:val="false"/>
                  <w:smallCaps w:val="false"/>
                  <w:sz w:val="20"/>
                </w:rPr>
                <w:t>Clawback Policy (incorporated by reference to Exhibit 97.1 of the Company’s Annual Report on Form 10-K filed on March 28, 2024).</w:t>
              </w:r>
            </w:hyperlink>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as its XBRL tags are embedded within the Inline XBRL document.</w:t>
            </w:r>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with Embedded Linkbase Documents.</w:t>
            </w:r>
          </w:p>
        </w:tc>
      </w:tr>
      <w:tr>
        <w:trPr/>
        <w:tc>
          <w:tcPr>
            <w:tcW w:w="7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Cover Page formatted as Inline XBRL and contained in Exhibit 101.</w:t>
            </w:r>
          </w:p>
        </w:tc>
      </w:tr>
    </w:tbl>
    <w:tbl>
      <w:tblPr>
        <w:tblW w:w="6017" w:type="dxa"/>
        <w:jc w:val="left"/>
        <w:tblInd w:w="0" w:type="dxa"/>
        <w:tblLayout w:type="fixed"/>
        <w:tblCellMar>
          <w:top w:w="0" w:type="dxa"/>
          <w:left w:w="0" w:type="dxa"/>
          <w:bottom w:w="0" w:type="dxa"/>
          <w:right w:w="0" w:type="dxa"/>
        </w:tblCellMar>
      </w:tblPr>
      <w:tblGrid>
        <w:gridCol w:w="241"/>
        <w:gridCol w:w="5776"/>
      </w:tblGrid>
      <w:tr>
        <w:trPr/>
        <w:tc>
          <w:tcPr>
            <w:tcW w:w="241" w:type="dxa"/>
            <w:tcBorders/>
            <w:vAlign w:val="center"/>
          </w:tcPr>
          <w:p>
            <w:pPr>
              <w:pStyle w:val="TableContents"/>
              <w:bidi w:val="0"/>
              <w:spacing w:before="0" w:after="0"/>
              <w:jc w:val="both"/>
              <w:rPr/>
            </w:pPr>
            <w:r>
              <w:rPr/>
              <w:t>†</w:t>
            </w:r>
          </w:p>
        </w:tc>
        <w:tc>
          <w:tcPr>
            <w:tcW w:w="57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both"/>
              <w:rPr/>
            </w:pPr>
            <w:r>
              <w:rPr/>
              <w:t>††</w:t>
            </w:r>
          </w:p>
        </w:tc>
        <w:tc>
          <w:tcPr>
            <w:tcW w:w="99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 has redacted provisions or terms of this Exhibit pursuant to Regulation S-K Item 601(b)(10)(iv). While portions of the Exhibits have been omitted, these Exhibits include a prominent statement on the first page of each redacted Exhibit that certain identified information has been excluded from the exhibit because it is both not material and is the type that the Registrant treats as private or confidential. The Registrant agrees to furnish an unredacted copy of the Exhibit to the SEC upon its request.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Regulation S-K Item 601. The Registrant agrees to furnish a copy of all omitted exhibits and schedules to the SEC upon its request.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Portions of this Exhibit have been omitted pursuant to Item 601(b)(2) of Regulation 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5" w:name="ITEM16FORM10KSUMMARY_949803"/>
      <w:bookmarkStart w:id="126" w:name="_95398d53_abab_4c10_9d95_bb9cb8774ab4"/>
      <w:bookmarkEnd w:id="125"/>
      <w:bookmarkEnd w:id="126"/>
      <w:r>
        <w:rPr>
          <w:rFonts w:ascii="Times New Roman;Times;serif" w:hAnsi="Times New Roman;Times;serif"/>
          <w:b/>
          <w:sz w:val="20"/>
        </w:rPr>
        <w:t>ITEM 16. FORM 10-K SUMMARY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7" w:name="_ec37abea_2d2c_4cbc_a468_9a9fef0aed2b"/>
      <w:bookmarkEnd w:id="127"/>
      <w:r>
        <w:rPr>
          <w:rFonts w:ascii="Times New Roman;Times;serif" w:hAnsi="Times New Roman;Times;serif"/>
          <w:b/>
          <w:sz w:val="20"/>
        </w:rPr>
        <w:t>SIGNATURES</w:t>
      </w:r>
    </w:p>
    <w:p>
      <w:pPr>
        <w:pStyle w:val="TextBody"/>
        <w:bidi w:val="0"/>
        <w:spacing w:before="0" w:after="240"/>
        <w:ind w:left="0" w:right="0" w:firstLine="36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240"/>
        <w:ind w:left="0" w:right="0" w:firstLine="360"/>
        <w:jc w:val="left"/>
        <w:rPr/>
      </w:pPr>
      <w:r>
        <w:rPr/>
        <w:t>​</w:t>
      </w:r>
    </w:p>
    <w:tbl>
      <w:tblPr>
        <w:tblW w:w="4368" w:type="dxa"/>
        <w:jc w:val="left"/>
        <w:tblInd w:w="0" w:type="dxa"/>
        <w:tblLayout w:type="fixed"/>
        <w:tblCellMar>
          <w:top w:w="0" w:type="dxa"/>
          <w:left w:w="0" w:type="dxa"/>
          <w:bottom w:w="0" w:type="dxa"/>
          <w:right w:w="0" w:type="dxa"/>
        </w:tblCellMar>
      </w:tblPr>
      <w:tblGrid>
        <w:gridCol w:w="1891"/>
        <w:gridCol w:w="406"/>
        <w:gridCol w:w="207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24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Zura Bio Limited</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19,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Sandeep Kulkarni</w:t>
            </w:r>
          </w:p>
        </w:tc>
      </w:tr>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Sandeep Kulkarni</w:t>
            </w:r>
          </w:p>
        </w:tc>
      </w:tr>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28" w:name="POWEROFATTORNEY_101452"/>
      <w:bookmarkEnd w:id="128"/>
      <w:r>
        <w:rPr>
          <w:rFonts w:ascii="Times New Roman;Times;serif" w:hAnsi="Times New Roman;Times;serif"/>
          <w:b/>
          <w:sz w:val="20"/>
        </w:rPr>
        <w:t>POWER OF ATTORNEY</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KNOW ALL PERSONS BY THESE PRESENTS, that each person whose signature appears below hereby constitutes and appoints Sandeep Kulkarni and Eric Hyllengren, and each of them, as his or her true and lawful attorneys-in-fact and agents, each with full power of substitution and resubstitution, for him or her and in his or her name, place and stead,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0" w:after="0"/>
        <w:ind w:left="0" w:right="0" w:firstLine="720"/>
        <w:jc w:val="both"/>
        <w:rPr/>
      </w:pPr>
      <w:r>
        <w:rPr/>
        <w:t>​</w:t>
      </w:r>
    </w:p>
    <w:tbl>
      <w:tblPr>
        <w:tblW w:w="7670" w:type="dxa"/>
        <w:jc w:val="left"/>
        <w:tblInd w:w="0" w:type="dxa"/>
        <w:tblLayout w:type="fixed"/>
        <w:tblCellMar>
          <w:top w:w="0" w:type="dxa"/>
          <w:left w:w="0" w:type="dxa"/>
          <w:bottom w:w="28" w:type="dxa"/>
          <w:right w:w="0" w:type="dxa"/>
        </w:tblCellMar>
      </w:tblPr>
      <w:tblGrid>
        <w:gridCol w:w="1816"/>
        <w:gridCol w:w="346"/>
        <w:gridCol w:w="3721"/>
        <w:gridCol w:w="346"/>
        <w:gridCol w:w="1441"/>
      </w:tblGrid>
      <w:tr>
        <w:trPr/>
        <w:tc>
          <w:tcPr>
            <w:tcW w:w="18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346" w:type="dxa"/>
            <w:tcBorders/>
            <w:tcMar>
              <w:bottom w:w="0" w:type="dxa"/>
            </w:tcMar>
            <w:vAlign w:val="center"/>
          </w:tcPr>
          <w:p>
            <w:pPr>
              <w:pStyle w:val="TableContents"/>
              <w:bidi w:val="0"/>
              <w:spacing w:before="0" w:after="0"/>
              <w:ind w:left="0" w:right="0" w:hanging="0"/>
              <w:jc w:val="right"/>
              <w:rPr/>
            </w:pPr>
            <w:r>
              <w:rPr/>
              <w:t>  ​ ​ ​</w:t>
            </w:r>
          </w:p>
        </w:tc>
        <w:tc>
          <w:tcPr>
            <w:tcW w:w="37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46" w:type="dxa"/>
            <w:tcBorders/>
            <w:tcMar>
              <w:bottom w:w="0" w:type="dxa"/>
            </w:tcMar>
            <w:vAlign w:val="center"/>
          </w:tcPr>
          <w:p>
            <w:pPr>
              <w:pStyle w:val="TableContents"/>
              <w:bidi w:val="0"/>
              <w:spacing w:before="0" w:after="0"/>
              <w:ind w:left="0" w:right="0" w:hanging="0"/>
              <w:jc w:val="right"/>
              <w:rPr/>
            </w:pPr>
            <w:r>
              <w:rPr/>
              <w:t>  ​ ​ ​</w:t>
            </w:r>
          </w:p>
        </w:tc>
        <w:tc>
          <w:tcPr>
            <w:tcW w:w="144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1816"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Sandeep Kulkarni</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and Director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Sandeep Kulkarni</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(Principal Executive Officer) </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right"/>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Eric Hyllengren</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Chief Financial Officer </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Eric Hyllengren</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and Accounting Officer)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Amit Munshi</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 Chairman of the Board of Directors</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Amit Munshi</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Someit Sidhu</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Someit Sidhu</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Steve Schoch</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Steve Schoch</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Jennifer Jarrett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Jennifer Jarrett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Dan Becker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 Becker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Parvinder Thiara</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Parvinder Thiara</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Ajay Nirula</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Ajay Nirula</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Mark Eisner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2026</w:t>
            </w:r>
          </w:p>
        </w:tc>
      </w:tr>
      <w:tr>
        <w:trPr/>
        <w:tc>
          <w:tcPr>
            <w:tcW w:w="18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Mark Eisner</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3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9" w:name="_e239fbf6_7785_46a8_99ca_0bf8b7b1aef5"/>
      <w:bookmarkEnd w:id="129"/>
      <w:r>
        <w:rPr>
          <w:rFonts w:ascii="Times New Roman;Times;serif" w:hAnsi="Times New Roman;Times;serif"/>
          <w:b/>
          <w:sz w:val="20"/>
        </w:rPr>
        <w:t>ZURA BIO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p>
      <w:pPr>
        <w:pStyle w:val="TextBody"/>
        <w:bidi w:val="0"/>
        <w:spacing w:before="0" w:after="0"/>
        <w:ind w:left="0" w:right="0" w:hanging="0"/>
        <w:jc w:val="left"/>
        <w:rPr/>
      </w:pPr>
      <w:r>
        <w:rPr/>
        <w:t>​</w:t>
      </w:r>
    </w:p>
    <w:tbl>
      <w:tblPr>
        <w:tblW w:w="9576" w:type="dxa"/>
        <w:jc w:val="left"/>
        <w:tblInd w:w="0" w:type="dxa"/>
        <w:tblLayout w:type="fixed"/>
        <w:tblCellMar>
          <w:top w:w="0" w:type="dxa"/>
          <w:left w:w="0" w:type="dxa"/>
          <w:bottom w:w="0" w:type="dxa"/>
          <w:right w:w="0" w:type="dxa"/>
        </w:tblCellMar>
      </w:tblPr>
      <w:tblGrid>
        <w:gridCol w:w="8416"/>
        <w:gridCol w:w="109"/>
        <w:gridCol w:w="1051"/>
      </w:tblGrid>
      <w:tr>
        <w:trPr/>
        <w:tc>
          <w:tcPr>
            <w:tcW w:w="8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44160" cy="175260"/>
                      <wp:effectExtent l="0" t="0" r="0" b="0"/>
                      <wp:wrapNone/>
                      <wp:docPr id="38" name="Frame37"/>
                      <a:graphic xmlns:a="http://schemas.openxmlformats.org/drawingml/2006/main">
                        <a:graphicData uri="http://schemas.microsoft.com/office/word/2010/wordprocessingShape">
                          <wps:wsp>
                            <wps:cNvSpPr txBox="1"/>
                            <wps:spPr>
                              <a:xfrm>
                                <a:off x="0" y="0"/>
                                <a:ext cx="534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7385" cy="29210"/>
                      <wp:effectExtent l="0" t="0" r="0" b="0"/>
                      <wp:wrapNone/>
                      <wp:docPr id="39" name="Frame38"/>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416" w:type="dxa"/>
            <w:tcBorders/>
            <w:shd w:fill="CCEEFF" w:val="clear"/>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105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8416" w:type="dxa"/>
            <w:tcBorders/>
            <w:vAlign w:val="center"/>
          </w:tcPr>
          <w:p>
            <w:pPr>
              <w:pStyle w:val="TableContents"/>
              <w:pBdr/>
              <w:bidi w:val="0"/>
              <w:spacing w:before="0" w:after="0"/>
              <w:ind w:left="0" w:right="0" w:hanging="0"/>
              <w:jc w:val="left"/>
              <w:rPr/>
            </w:pPr>
            <w:hyperlink w:anchor="CondensedConsolidatedBalanceSheets_20331">
              <w:r>
                <w:rPr>
                  <w:rStyle w:val="InternetLink"/>
                  <w:rFonts w:ascii="Times New Roman;Times;serif" w:hAnsi="Times New Roman;Times;serif"/>
                  <w:b w:val="false"/>
                  <w:i w:val="false"/>
                  <w:caps w:val="false"/>
                  <w:smallCaps w:val="false"/>
                  <w:sz w:val="20"/>
                </w:rPr>
                <w:t>Consolidated Balance Sheets</w:t>
              </w:r>
            </w:hyperlink>
          </w:p>
        </w:tc>
        <w:tc>
          <w:tcPr>
            <w:tcW w:w="109"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8416" w:type="dxa"/>
            <w:tcBorders/>
            <w:shd w:fill="CCEEFF" w:val="clear"/>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Consolidated Statements of Operations</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8416" w:type="dxa"/>
            <w:tcBorders/>
            <w:vAlign w:val="center"/>
          </w:tcPr>
          <w:p>
            <w:pPr>
              <w:pStyle w:val="TableContents"/>
              <w:pBdr/>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Consolidated Statements of Changes in Redeemable Noncontrolling Interest and Shareholders’ Equity</w:t>
              </w:r>
            </w:hyperlink>
          </w:p>
        </w:tc>
        <w:tc>
          <w:tcPr>
            <w:tcW w:w="109"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8416"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Consolidated Statements of Cash Flows</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8416"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Consolidated Financial Statements</w:t>
              </w:r>
            </w:hyperlink>
          </w:p>
        </w:tc>
        <w:tc>
          <w:tcPr>
            <w:tcW w:w="109"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 to F-28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0" w:name="REPORTOFINDEPENDENTREGISTEREDPUBLICACCOU"/>
      <w:bookmarkStart w:id="131" w:name="_f97c51c3_a5ac_44aa_ba7c_d858dda4789f"/>
      <w:bookmarkEnd w:id="130"/>
      <w:bookmarkEnd w:id="131"/>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Shareholders and Board of Directors 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Zura Bio Limited: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Opinion on the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Zura Bio Limited (the “Company”) as of December 31, 2025 and 2024, and the related consolidated statements of operations, changes in redeemable noncontrolling interest and shareholders’ equity, and cash flows for each of the two years in the period ended December 31, 2025, and the related consolidated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WithumSmith+Brown, PC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East Brunswick, New Jersey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19,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PCAOB ID Number 100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32" w:name="PARTIFINANCIALINFORMATION_184627"/>
      <w:bookmarkStart w:id="133" w:name="_88c55ada_d28d_4ac7_b304_fba04dde743f"/>
      <w:bookmarkEnd w:id="132"/>
      <w:bookmarkEnd w:id="133"/>
      <w:r>
        <w:rPr>
          <w:rFonts w:ascii="Times New Roman;Times;serif" w:hAnsi="Times New Roman;Times;serif"/>
          <w:b/>
          <w:sz w:val="20"/>
        </w:rPr>
        <w:t>PART I—FINANCIAL INFORMATION</w:t>
      </w:r>
    </w:p>
    <w:p>
      <w:pPr>
        <w:pStyle w:val="TextBody"/>
        <w:bidi w:val="0"/>
        <w:spacing w:before="0" w:after="240"/>
        <w:ind w:left="0" w:right="0" w:hanging="0"/>
        <w:jc w:val="both"/>
        <w:rPr>
          <w:rFonts w:ascii="Times New Roman;Times;serif" w:hAnsi="Times New Roman;Times;serif"/>
          <w:b/>
          <w:sz w:val="20"/>
        </w:rPr>
      </w:pPr>
      <w:bookmarkStart w:id="134" w:name="Item1FinancialStatements_99631"/>
      <w:bookmarkEnd w:id="134"/>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Zura Bio Limited</w:t>
      </w:r>
    </w:p>
    <w:p>
      <w:pPr>
        <w:pStyle w:val="TextBody"/>
        <w:bidi w:val="0"/>
        <w:spacing w:before="0" w:after="0"/>
        <w:ind w:left="0" w:right="0" w:hanging="0"/>
        <w:jc w:val="center"/>
        <w:rPr>
          <w:rFonts w:ascii="Times New Roman;Times;serif" w:hAnsi="Times New Roman;Times;serif"/>
          <w:b/>
          <w:sz w:val="20"/>
        </w:rPr>
      </w:pPr>
      <w:bookmarkStart w:id="135" w:name="CondensedConsolidatedBalanceSheets_20331"/>
      <w:bookmarkEnd w:id="135"/>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136" w:name="Tc_jxQj0eHOx0WS72U73yumeQ_29_5"/>
      <w:bookmarkStart w:id="137" w:name="Tc_LFd20bzgeU2QyWd3jKDSVQ_29_2"/>
      <w:bookmarkStart w:id="138" w:name="Tc_eU14_U1jo0yPyoCBA8VxKA_29_0"/>
      <w:bookmarkStart w:id="139" w:name="Tc_jQD6HZXhDkq9pnVDi6z-Gw_28_0"/>
      <w:bookmarkStart w:id="140" w:name="Tc_1X4o-32EK0WkK55OU9TsnA_27_3"/>
      <w:bookmarkStart w:id="141" w:name="Tc_MslkdQu5CUiyQ00LIcT21g_27_0"/>
      <w:bookmarkStart w:id="142" w:name="Tc_BXoaHmfCkUGMEMz6y1DZDQ_26_0"/>
      <w:bookmarkStart w:id="143" w:name="Tc_rnWfA-t-pEWXBVHWvs5E-Q_25_0"/>
      <w:bookmarkStart w:id="144" w:name="Tc_qW5sEL3w2ky6589L1951gQ_24_0"/>
      <w:bookmarkStart w:id="145" w:name="Tc_LDh0HAIigU-6AbwjdPeFTg_23_0"/>
      <w:bookmarkStart w:id="146" w:name="Tc_Sv6erR45lU26Il8Nj_3NEA_22_0"/>
      <w:bookmarkStart w:id="147" w:name="Tc_zx-Ff0HQAkGi76WskQ3W3g_20_3"/>
      <w:bookmarkStart w:id="148" w:name="Tc_l0rDhY4JqU-YfjPdjh86Lw_20_0"/>
      <w:bookmarkStart w:id="149" w:name="Tc_41V7r4Pe20S0gsUYjD215g_18_0"/>
      <w:bookmarkStart w:id="150" w:name="Tc_QCookgzr2kWDO0GUraM1dw_16_0"/>
      <w:bookmarkStart w:id="151" w:name="Tc_e7sXeZXjMk-hi7M2QT6v8Q_15_0"/>
      <w:bookmarkStart w:id="152" w:name="Tc_yyjmwc1yiUGTdkzfZg5iPg_14_5"/>
      <w:bookmarkStart w:id="153" w:name="Tc_dk4goJ_DlEmP7GO18XiEFQ_14_2"/>
      <w:bookmarkStart w:id="154" w:name="Tc_uWegpXbbXUW6yAkWK7gL0w_14_0"/>
      <w:bookmarkStart w:id="155" w:name="Tc_DxlIj55Uoku7bB0bmS_KJw_13_0"/>
      <w:bookmarkStart w:id="156" w:name="Tc_pgGmWPAH2kO9-JXE5NZx-w_12_0"/>
      <w:bookmarkStart w:id="157" w:name="Tc_IKzFUG_7bk-q6JXimvRqkA_10_5"/>
      <w:bookmarkStart w:id="158" w:name="Tc__5ZYjfJjwE6w1jDnH6A61w_10_2"/>
      <w:bookmarkStart w:id="159" w:name="Tc_rTBt7t9no0egX2AXjDXPzw_10_0"/>
      <w:bookmarkStart w:id="160" w:name="Tc_2-kiA2HxqkG9vCdInEt2Eg_9_0"/>
      <w:bookmarkStart w:id="161" w:name="Tc_gEBDperRQ0yQ2Hu8NHOp5g_8_0"/>
      <w:bookmarkStart w:id="162" w:name="Tc_93tvG4-NS0GYvKCmBx1Sqw_7_0"/>
      <w:bookmarkStart w:id="163" w:name="Tc_PUuqSC0tF06uPJASeA6v_Q_6_0"/>
      <w:bookmarkStart w:id="164" w:name="Tc_ZOarnbO0xUG2WwR0fHFJJw_5_5"/>
      <w:bookmarkStart w:id="165" w:name="Tc_dJoduP1BxkOHVuexGQIFHw_5_2"/>
      <w:bookmarkStart w:id="166" w:name="Tc_ChFqRTTPP0mosqpRcSXrxw_5_0"/>
      <w:bookmarkStart w:id="167" w:name="Tc_OJn5G-hoq06NiVMOGJUI2Q_4_0"/>
      <w:bookmarkStart w:id="168" w:name="Tc_VSyvbiWM0Uy4FphlF961tA_3_0"/>
      <w:bookmarkStart w:id="169" w:name="Tc_Vo0_eBH6zUGdp2Fb7P7Y6g_2_5"/>
      <w:bookmarkStart w:id="170" w:name="Tc_OE1T2W7vMUeihpQhhnAWMw_2_2"/>
      <w:bookmarkStart w:id="171" w:name="Tc_QhhI90Dt_0OirjUTShe54A_1_2"/>
      <w:bookmarkStart w:id="172" w:name="_e5f7411f_6674_4a27_98db_fd0d471e8f4b"/>
      <w:bookmarkStart w:id="173" w:name="Tc_jxQj0eHOx0WS72U73yumeQ_29_5"/>
      <w:bookmarkStart w:id="174" w:name="Tc_LFd20bzgeU2QyWd3jKDSVQ_29_2"/>
      <w:bookmarkStart w:id="175" w:name="Tc_eU14_U1jo0yPyoCBA8VxKA_29_0"/>
      <w:bookmarkStart w:id="176" w:name="Tc_jQD6HZXhDkq9pnVDi6z-Gw_28_0"/>
      <w:bookmarkStart w:id="177" w:name="Tc_1X4o-32EK0WkK55OU9TsnA_27_3"/>
      <w:bookmarkStart w:id="178" w:name="Tc_MslkdQu5CUiyQ00LIcT21g_27_0"/>
      <w:bookmarkStart w:id="179" w:name="Tc_BXoaHmfCkUGMEMz6y1DZDQ_26_0"/>
      <w:bookmarkStart w:id="180" w:name="Tc_rnWfA-t-pEWXBVHWvs5E-Q_25_0"/>
      <w:bookmarkStart w:id="181" w:name="Tc_qW5sEL3w2ky6589L1951gQ_24_0"/>
      <w:bookmarkStart w:id="182" w:name="Tc_LDh0HAIigU-6AbwjdPeFTg_23_0"/>
      <w:bookmarkStart w:id="183" w:name="Tc_Sv6erR45lU26Il8Nj_3NEA_22_0"/>
      <w:bookmarkStart w:id="184" w:name="Tc_zx-Ff0HQAkGi76WskQ3W3g_20_3"/>
      <w:bookmarkStart w:id="185" w:name="Tc_l0rDhY4JqU-YfjPdjh86Lw_20_0"/>
      <w:bookmarkStart w:id="186" w:name="Tc_41V7r4Pe20S0gsUYjD215g_18_0"/>
      <w:bookmarkStart w:id="187" w:name="Tc_QCookgzr2kWDO0GUraM1dw_16_0"/>
      <w:bookmarkStart w:id="188" w:name="Tc_e7sXeZXjMk-hi7M2QT6v8Q_15_0"/>
      <w:bookmarkStart w:id="189" w:name="Tc_yyjmwc1yiUGTdkzfZg5iPg_14_5"/>
      <w:bookmarkStart w:id="190" w:name="Tc_dk4goJ_DlEmP7GO18XiEFQ_14_2"/>
      <w:bookmarkStart w:id="191" w:name="Tc_uWegpXbbXUW6yAkWK7gL0w_14_0"/>
      <w:bookmarkStart w:id="192" w:name="Tc_DxlIj55Uoku7bB0bmS_KJw_13_0"/>
      <w:bookmarkStart w:id="193" w:name="Tc_pgGmWPAH2kO9-JXE5NZx-w_12_0"/>
      <w:bookmarkStart w:id="194" w:name="Tc_IKzFUG_7bk-q6JXimvRqkA_10_5"/>
      <w:bookmarkStart w:id="195" w:name="Tc__5ZYjfJjwE6w1jDnH6A61w_10_2"/>
      <w:bookmarkStart w:id="196" w:name="Tc_rTBt7t9no0egX2AXjDXPzw_10_0"/>
      <w:bookmarkStart w:id="197" w:name="Tc_2-kiA2HxqkG9vCdInEt2Eg_9_0"/>
      <w:bookmarkStart w:id="198" w:name="Tc_gEBDperRQ0yQ2Hu8NHOp5g_8_0"/>
      <w:bookmarkStart w:id="199" w:name="Tc_93tvG4-NS0GYvKCmBx1Sqw_7_0"/>
      <w:bookmarkStart w:id="200" w:name="Tc_PUuqSC0tF06uPJASeA6v_Q_6_0"/>
      <w:bookmarkStart w:id="201" w:name="Tc_ZOarnbO0xUG2WwR0fHFJJw_5_5"/>
      <w:bookmarkStart w:id="202" w:name="Tc_dJoduP1BxkOHVuexGQIFHw_5_2"/>
      <w:bookmarkStart w:id="203" w:name="Tc_ChFqRTTPP0mosqpRcSXrxw_5_0"/>
      <w:bookmarkStart w:id="204" w:name="Tc_OJn5G-hoq06NiVMOGJUI2Q_4_0"/>
      <w:bookmarkStart w:id="205" w:name="Tc_VSyvbiWM0Uy4FphlF961tA_3_0"/>
      <w:bookmarkStart w:id="206" w:name="Tc_Vo0_eBH6zUGdp2Fb7P7Y6g_2_5"/>
      <w:bookmarkStart w:id="207" w:name="Tc_OE1T2W7vMUeihpQhhnAWMw_2_2"/>
      <w:bookmarkStart w:id="208" w:name="Tc_QhhI90Dt_0OirjUTShe54A_1_2"/>
      <w:bookmarkStart w:id="209" w:name="_e5f7411f_6674_4a27_98db_fd0d471e8f4b"/>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tbl>
      <w:tblPr>
        <w:tblW w:w="10205" w:type="dxa"/>
        <w:jc w:val="left"/>
        <w:tblInd w:w="0" w:type="dxa"/>
        <w:tblLayout w:type="fixed"/>
        <w:tblCellMar>
          <w:top w:w="0" w:type="dxa"/>
          <w:left w:w="0" w:type="dxa"/>
          <w:bottom w:w="0" w:type="dxa"/>
          <w:right w:w="0" w:type="dxa"/>
        </w:tblCellMar>
      </w:tblPr>
      <w:tblGrid>
        <w:gridCol w:w="7557"/>
        <w:gridCol w:w="346"/>
        <w:gridCol w:w="211"/>
        <w:gridCol w:w="862"/>
        <w:gridCol w:w="109"/>
        <w:gridCol w:w="211"/>
        <w:gridCol w:w="909"/>
      </w:tblGrid>
      <w:tr>
        <w:trPr/>
        <w:tc>
          <w:tcPr>
            <w:tcW w:w="7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798695" cy="175260"/>
                      <wp:effectExtent l="0" t="0" r="0" b="0"/>
                      <wp:wrapNone/>
                      <wp:docPr id="40" name="Frame39"/>
                      <a:graphic xmlns:a="http://schemas.openxmlformats.org/drawingml/2006/main">
                        <a:graphicData uri="http://schemas.microsoft.com/office/word/2010/wordprocessingShape">
                          <wps:wsp>
                            <wps:cNvSpPr txBox="1"/>
                            <wps:spPr>
                              <a:xfrm>
                                <a:off x="0" y="0"/>
                                <a:ext cx="4798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47370" cy="175260"/>
                      <wp:effectExtent l="0" t="0" r="0" b="0"/>
                      <wp:wrapNone/>
                      <wp:docPr id="43" name="Frame42"/>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77215" cy="175260"/>
                      <wp:effectExtent l="0" t="0" r="0" b="0"/>
                      <wp:wrapNone/>
                      <wp:docPr id="46" name="Frame45"/>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30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5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1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9" w:type="dxa"/>
            <w:tcBorders/>
            <w:shd w:fill="CCEEFF" w:val="clear"/>
            <w:vAlign w:val="center"/>
          </w:tcPr>
          <w:p>
            <w:pPr>
              <w:pStyle w:val="TableContents"/>
              <w:bidi w:val="0"/>
              <w:spacing w:before="0" w:after="1"/>
              <w:ind w:left="0" w:right="0" w:hanging="0"/>
              <w:jc w:val="left"/>
              <w:rPr/>
            </w:pPr>
            <w:r>
              <w:rPr/>
              <w:t>​</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pPr>
            <w:r>
              <w:rPr/>
              <w:t>  ​</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176,498</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178,744</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113,948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179,533</w:t>
            </w:r>
          </w:p>
        </w:tc>
      </w:tr>
      <w:tr>
        <w:trPr/>
        <w:tc>
          <w:tcPr>
            <w:tcW w:w="755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pPr>
            <w:r>
              <w:rPr/>
              <w:t>​</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Redeemable Noncontrolling Interest and 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pPr>
            <w:r>
              <w:rPr/>
              <w:t>​</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pPr>
            <w:r>
              <w:rPr/>
              <w:t>​</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19,514</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19,514</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19,514</w:t>
            </w:r>
          </w:p>
        </w:tc>
      </w:tr>
      <w:tr>
        <w:trPr/>
        <w:tc>
          <w:tcPr>
            <w:tcW w:w="755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pPr>
            <w:r>
              <w:rPr/>
              <w:t>​</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pPr>
            <w:r>
              <w:rPr/>
              <w:t>​</w:t>
            </w:r>
          </w:p>
        </w:tc>
      </w:tr>
      <w:tr>
        <w:trPr/>
        <w:tc>
          <w:tcPr>
            <w:tcW w:w="755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pPr>
            <w:r>
              <w:rPr/>
              <w:t>​</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11,663</w:t>
            </w:r>
          </w:p>
        </w:tc>
      </w:tr>
      <w:tr>
        <w:trPr/>
        <w:tc>
          <w:tcPr>
            <w:tcW w:w="755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pPr>
            <w:r>
              <w:rPr/>
              <w:t>​</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pPr>
            <w:r>
              <w:rPr/>
              <w:t>​</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Ordinary Shares, $0.0001 par value; 300,000,000 shares authorized as of December 31, 2025 and 2024; 73,680,710 and 65,297,530 shares issued and outstanding as of December 31, 2025 and 2024,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326,078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302,705</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(155,897)</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Zura Bio Limited 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101,538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146,815</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w:t>
            </w:r>
          </w:p>
        </w:tc>
      </w:tr>
      <w:tr>
        <w:trPr/>
        <w:tc>
          <w:tcPr>
            <w:tcW w:w="75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101,538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148,356</w:t>
            </w:r>
          </w:p>
        </w:tc>
      </w:tr>
      <w:tr>
        <w:trPr/>
        <w:tc>
          <w:tcPr>
            <w:tcW w:w="75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redeemable noncontrolling interest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179,533</w:t>
            </w:r>
          </w:p>
        </w:tc>
      </w:tr>
    </w:tbl>
    <w:p>
      <w:pPr>
        <w:pStyle w:val="TextBody"/>
        <w:bidi w:val="0"/>
        <w:spacing w:before="0" w:after="240"/>
        <w:ind w:left="0" w:right="0" w:firstLine="360"/>
        <w:jc w:val="both"/>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bookmarkStart w:id="210" w:name="_146c5491_6747_48e8_bab4_c20f186896d9"/>
      <w:bookmarkEnd w:id="210"/>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211" w:name="CondensedConsolidatedStatementsofOperati"/>
      <w:bookmarkEnd w:id="211"/>
      <w:r>
        <w:rPr>
          <w:rFonts w:ascii="Times New Roman;Times;serif" w:hAnsi="Times New Roman;Times;serif"/>
          <w:b/>
          <w:sz w:val="20"/>
        </w:rPr>
        <w:t>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212" w:name="Tc_8KTrPJ05ZUqkVK0gK5xIug_21_0"/>
      <w:bookmarkStart w:id="213" w:name="Tc_C_pSpZCYd0KzgzTDu5jnSA_20_5"/>
      <w:bookmarkStart w:id="214" w:name="Tc_-l0AIAUcLk-EF2HHGXJkPg_20_2"/>
      <w:bookmarkStart w:id="215" w:name="Tc_ZczSvcBm8kSTXsE8ezdIXw_20_0"/>
      <w:bookmarkStart w:id="216" w:name="Tc_Cv9UUXhr5Eypbm-r_9FBgg_19_5"/>
      <w:bookmarkStart w:id="217" w:name="Tc_B6RwYfB-BESnRU9TAvn_Lg_19_2"/>
      <w:bookmarkStart w:id="218" w:name="Tc_vLZ0TVG_40SgJx-g-Smgzw_19_0"/>
      <w:bookmarkStart w:id="219" w:name="Tc_QIqz8POKEkmWcV7vhC_lCA_18_6"/>
      <w:bookmarkStart w:id="220" w:name="Tc_2sl_NwqWwkG-KeNwslZ1CQ_18_0"/>
      <w:bookmarkStart w:id="221" w:name="Tc_x6Y5d9S_sUeekkygL14RyA_17_6"/>
      <w:bookmarkStart w:id="222" w:name="Tc_0-VXHDT_f06vSBZVpUROcw_17_0"/>
      <w:bookmarkStart w:id="223" w:name="Tc_WHwGJhkt7kyLMDNVVxiKig_16_0"/>
      <w:bookmarkStart w:id="224" w:name="Tc_ljrZ1dWaPU-QpNGWzquwrQ_15_0"/>
      <w:bookmarkStart w:id="225" w:name="Tc_Nux6ZzOERUyWoXIqEYb00Q_14_0"/>
      <w:bookmarkStart w:id="226" w:name="Tc_sJ9bpMHrJ0CvcATLKHcCew_13_0"/>
      <w:bookmarkStart w:id="227" w:name="Tc_jVwUrN2qSEqYIMKAL-U7Fw_12_0"/>
      <w:bookmarkStart w:id="228" w:name="Tc_4xP5FnFq9EiajwhkANuWhA_11_0"/>
      <w:bookmarkStart w:id="229" w:name="Tc_lg2ErX-Bm0C_xGV59zYYMA_10_3"/>
      <w:bookmarkStart w:id="230" w:name="Tc_EReyAKb9ZUutIEzhK-ajqQ_10_0"/>
      <w:bookmarkStart w:id="231" w:name="Tc_sz0ySSvASkigFBaUbN5MWw_9_0"/>
      <w:bookmarkStart w:id="232" w:name="Tc_zy2fgbPtukKz98eu1v2Gpg_8_0"/>
      <w:bookmarkStart w:id="233" w:name="Tc_T0SCo6XqJUaYyXE1NIc5RA_7_0"/>
      <w:bookmarkStart w:id="234" w:name="Tc_l28nMcN_WUuDyomYxfd_6g_6_0"/>
      <w:bookmarkStart w:id="235" w:name="Tc_FBcY7jSOV06mMIZjYUWVCA_5_0"/>
      <w:bookmarkStart w:id="236" w:name="Tc_N-ZOCQkKDk6c89vWPj09tw_4_5"/>
      <w:bookmarkStart w:id="237" w:name="Tc_7KBrWIAUo0i0cppUsEU0Sg_4_2"/>
      <w:bookmarkStart w:id="238" w:name="Tc_G71viNdmx0a0Sz5Oc-6X8w_4_0"/>
      <w:bookmarkStart w:id="239" w:name="Tc_3hNxgptaB0O3RYpFBfkfxw_3_0"/>
      <w:bookmarkStart w:id="240" w:name="Tc_rbCCxSHR20C799NKXzm2rQ_2_5"/>
      <w:bookmarkStart w:id="241" w:name="Tc_oOIwW-3waE6w3ZVNyGGEsQ_2_2"/>
      <w:bookmarkStart w:id="242" w:name="Tc_DHJBoj151Ee_eXNQQmyHBQ_1_2"/>
      <w:bookmarkStart w:id="243" w:name="_654e9950_05b0_4ce9_b06b_c2eb25a56e40"/>
      <w:bookmarkStart w:id="244" w:name="_b2604325_1678_42d7_ac7a_f4fad9a5d5df"/>
      <w:bookmarkStart w:id="245" w:name="Tc_8KTrPJ05ZUqkVK0gK5xIug_21_0"/>
      <w:bookmarkStart w:id="246" w:name="Tc_C_pSpZCYd0KzgzTDu5jnSA_20_5"/>
      <w:bookmarkStart w:id="247" w:name="Tc_-l0AIAUcLk-EF2HHGXJkPg_20_2"/>
      <w:bookmarkStart w:id="248" w:name="Tc_ZczSvcBm8kSTXsE8ezdIXw_20_0"/>
      <w:bookmarkStart w:id="249" w:name="Tc_Cv9UUXhr5Eypbm-r_9FBgg_19_5"/>
      <w:bookmarkStart w:id="250" w:name="Tc_B6RwYfB-BESnRU9TAvn_Lg_19_2"/>
      <w:bookmarkStart w:id="251" w:name="Tc_vLZ0TVG_40SgJx-g-Smgzw_19_0"/>
      <w:bookmarkStart w:id="252" w:name="Tc_QIqz8POKEkmWcV7vhC_lCA_18_6"/>
      <w:bookmarkStart w:id="253" w:name="Tc_2sl_NwqWwkG-KeNwslZ1CQ_18_0"/>
      <w:bookmarkStart w:id="254" w:name="Tc_x6Y5d9S_sUeekkygL14RyA_17_6"/>
      <w:bookmarkStart w:id="255" w:name="Tc_0-VXHDT_f06vSBZVpUROcw_17_0"/>
      <w:bookmarkStart w:id="256" w:name="Tc_WHwGJhkt7kyLMDNVVxiKig_16_0"/>
      <w:bookmarkStart w:id="257" w:name="Tc_ljrZ1dWaPU-QpNGWzquwrQ_15_0"/>
      <w:bookmarkStart w:id="258" w:name="Tc_Nux6ZzOERUyWoXIqEYb00Q_14_0"/>
      <w:bookmarkStart w:id="259" w:name="Tc_sJ9bpMHrJ0CvcATLKHcCew_13_0"/>
      <w:bookmarkStart w:id="260" w:name="Tc_jVwUrN2qSEqYIMKAL-U7Fw_12_0"/>
      <w:bookmarkStart w:id="261" w:name="Tc_4xP5FnFq9EiajwhkANuWhA_11_0"/>
      <w:bookmarkStart w:id="262" w:name="Tc_lg2ErX-Bm0C_xGV59zYYMA_10_3"/>
      <w:bookmarkStart w:id="263" w:name="Tc_EReyAKb9ZUutIEzhK-ajqQ_10_0"/>
      <w:bookmarkStart w:id="264" w:name="Tc_sz0ySSvASkigFBaUbN5MWw_9_0"/>
      <w:bookmarkStart w:id="265" w:name="Tc_zy2fgbPtukKz98eu1v2Gpg_8_0"/>
      <w:bookmarkStart w:id="266" w:name="Tc_T0SCo6XqJUaYyXE1NIc5RA_7_0"/>
      <w:bookmarkStart w:id="267" w:name="Tc_l28nMcN_WUuDyomYxfd_6g_6_0"/>
      <w:bookmarkStart w:id="268" w:name="Tc_FBcY7jSOV06mMIZjYUWVCA_5_0"/>
      <w:bookmarkStart w:id="269" w:name="Tc_N-ZOCQkKDk6c89vWPj09tw_4_5"/>
      <w:bookmarkStart w:id="270" w:name="Tc_7KBrWIAUo0i0cppUsEU0Sg_4_2"/>
      <w:bookmarkStart w:id="271" w:name="Tc_G71viNdmx0a0Sz5Oc-6X8w_4_0"/>
      <w:bookmarkStart w:id="272" w:name="Tc_3hNxgptaB0O3RYpFBfkfxw_3_0"/>
      <w:bookmarkStart w:id="273" w:name="Tc_rbCCxSHR20C799NKXzm2rQ_2_5"/>
      <w:bookmarkStart w:id="274" w:name="Tc_oOIwW-3waE6w3ZVNyGGEsQ_2_2"/>
      <w:bookmarkStart w:id="275" w:name="Tc_DHJBoj151Ee_eXNQQmyHBQ_1_2"/>
      <w:bookmarkStart w:id="276" w:name="_654e9950_05b0_4ce9_b06b_c2eb25a56e40"/>
      <w:bookmarkStart w:id="277" w:name="_b2604325_1678_42d7_ac7a_f4fad9a5d5df"/>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tbl>
      <w:tblPr>
        <w:tblW w:w="10205" w:type="dxa"/>
        <w:jc w:val="left"/>
        <w:tblInd w:w="0" w:type="dxa"/>
        <w:tblLayout w:type="fixed"/>
        <w:tblCellMar>
          <w:top w:w="0" w:type="dxa"/>
          <w:left w:w="0" w:type="dxa"/>
          <w:bottom w:w="0" w:type="dxa"/>
          <w:right w:w="0" w:type="dxa"/>
        </w:tblCellMar>
      </w:tblPr>
      <w:tblGrid>
        <w:gridCol w:w="6914"/>
        <w:gridCol w:w="346"/>
        <w:gridCol w:w="211"/>
        <w:gridCol w:w="1036"/>
        <w:gridCol w:w="346"/>
        <w:gridCol w:w="211"/>
        <w:gridCol w:w="1141"/>
      </w:tblGrid>
      <w:tr>
        <w:trPr/>
        <w:tc>
          <w:tcPr>
            <w:tcW w:w="6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390390" cy="175260"/>
                      <wp:effectExtent l="0" t="0" r="0" b="0"/>
                      <wp:wrapNone/>
                      <wp:docPr id="47" name="Frame46"/>
                      <a:graphic xmlns:a="http://schemas.openxmlformats.org/drawingml/2006/main">
                        <a:graphicData uri="http://schemas.microsoft.com/office/word/2010/wordprocessingShape">
                          <wps:wsp>
                            <wps:cNvSpPr txBox="1"/>
                            <wps:spPr>
                              <a:xfrm>
                                <a:off x="0" y="0"/>
                                <a:ext cx="439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57860" cy="175260"/>
                      <wp:effectExtent l="0" t="0" r="0" b="0"/>
                      <wp:wrapNone/>
                      <wp:docPr id="50" name="Frame4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24535" cy="175260"/>
                      <wp:effectExtent l="0" t="0" r="0" b="0"/>
                      <wp:wrapNone/>
                      <wp:docPr id="53" name="Frame5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9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69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24,401</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30,788</w:t>
            </w:r>
          </w:p>
        </w:tc>
      </w:tr>
      <w:tr>
        <w:trPr/>
        <w:tc>
          <w:tcPr>
            <w:tcW w:w="69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55,189</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(55,189)</w:t>
            </w:r>
          </w:p>
        </w:tc>
      </w:tr>
      <w:tr>
        <w:trPr/>
        <w:tc>
          <w:tcPr>
            <w:tcW w:w="69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(7,998)</w:t>
            </w:r>
          </w:p>
        </w:tc>
      </w:tr>
      <w:tr>
        <w:trPr/>
        <w:tc>
          <w:tcPr>
            <w:tcW w:w="69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5,240</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9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(2,786)</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(52,403)</w:t>
            </w:r>
          </w:p>
        </w:tc>
      </w:tr>
      <w:tr>
        <w:trPr/>
        <w:tc>
          <w:tcPr>
            <w:tcW w:w="69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(52,403)</w:t>
            </w:r>
          </w:p>
        </w:tc>
      </w:tr>
      <w:tr>
        <w:trPr/>
        <w:tc>
          <w:tcPr>
            <w:tcW w:w="69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Adjustment of redeemable noncontrolling interest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7,017</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 to redemption value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69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Deemed dividend on extinguishment of noncontrolling interest and redeemable noncontrolling interest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Class A Ordinary Shareholders of Zura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(45,386)</w:t>
            </w:r>
          </w:p>
        </w:tc>
      </w:tr>
      <w:tr>
        <w:trPr/>
        <w:tc>
          <w:tcPr>
            <w:tcW w:w="69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Class A Ordinary Shareholders of Zura,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r>
      <w:tr>
        <w:trPr/>
        <w:tc>
          <w:tcPr>
            <w:tcW w:w="69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Class A Ordinary Shares used in computing net loss per share attributable to Class A Ordinary Shareholders of Zura,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94,160,138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75,070,761</w:t>
            </w:r>
          </w:p>
        </w:tc>
      </w:tr>
    </w:tbl>
    <w:p>
      <w:pPr>
        <w:pStyle w:val="TextBody"/>
        <w:bidi w:val="0"/>
        <w:spacing w:before="0" w:after="240"/>
        <w:ind w:left="0" w:right="0" w:hanging="0"/>
        <w:jc w:val="center"/>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8" w:name="_1fdbbb03_e75e_4974_bea2_9f6c5ad63893"/>
      <w:bookmarkEnd w:id="278"/>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279" w:name="CondensedConsolidatedStatementsofChanges"/>
      <w:bookmarkEnd w:id="279"/>
      <w:r>
        <w:rPr>
          <w:rFonts w:ascii="Times New Roman;Times;serif" w:hAnsi="Times New Roman;Times;serif"/>
          <w:b/>
          <w:sz w:val="20"/>
        </w:rPr>
        <w:t>Consolidated Statements of Changes in Redeemable Noncontrolling Interest and Shareholders’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280" w:name="Tc_oX3e6HemEkqrWfReYJu2rQ_27_20"/>
      <w:bookmarkStart w:id="281" w:name="Tc_6MiQvX1pv0y8geEOFMMi2Q_27_18"/>
      <w:bookmarkStart w:id="282" w:name="Tc_oNmVkChXjk2ZTOnugv9EkQ_27_17"/>
      <w:bookmarkStart w:id="283" w:name="Tc_TLWrRExWkUaBVb2HiQuX-g_27_14"/>
      <w:bookmarkStart w:id="284" w:name="Tc_686vCVT-SUijE2YJrzVZ4w_27_11"/>
      <w:bookmarkStart w:id="285" w:name="Tc__DZumm3aBUWW0AILhFEmnw_27_8"/>
      <w:bookmarkStart w:id="286" w:name="Tc_MAulYv_GbkeN07jG_IPYwA_27_3"/>
      <w:bookmarkStart w:id="287" w:name="Tc_BYMRYyXR0k2TqQG2tj0vHw_27_2"/>
      <w:bookmarkStart w:id="288" w:name="Tc_eBmPxsZEWEGFJUInmqMSAw_27_0"/>
      <w:bookmarkStart w:id="289" w:name="Tc_d_5D7YaHRUmMAu6a8J7VWg_26_18"/>
      <w:bookmarkStart w:id="290" w:name="Tc_Su3EuDbSRk6tOynl8yhg4Q_26_12"/>
      <w:bookmarkStart w:id="291" w:name="Tc_dgPbLiVNzk-aony9ZT6TDQ_26_9"/>
      <w:bookmarkStart w:id="292" w:name="Tc_nTuv61Lwzka47lgQCgD0Hw_26_6"/>
      <w:bookmarkStart w:id="293" w:name="Tc_jWSUQgpwn0-QmKFn4IEWMQ_26_3"/>
      <w:bookmarkStart w:id="294" w:name="Tc_HpxnHHPaAEGAbFfNmtPHMQ_26_0"/>
      <w:bookmarkStart w:id="295" w:name="Tc_shioLREXv0W1woD8vthbPw_25_18"/>
      <w:bookmarkStart w:id="296" w:name="Tc_TV4loTnYwUGYmTlS9sBZ9Q_25_15"/>
      <w:bookmarkStart w:id="297" w:name="Tc_xyO5-Mtun02yo1JwVyVPiA_25_9"/>
      <w:bookmarkStart w:id="298" w:name="Tc_ADOdG-zI2Emdg3Yb_CjODw_25_6"/>
      <w:bookmarkStart w:id="299" w:name="Tc_aqaVX1APOEyAbFpmWqd0jw_25_3"/>
      <w:bookmarkStart w:id="300" w:name="Tc_OeqxIkgsPkKrEmHorLEXgQ_25_0"/>
      <w:bookmarkStart w:id="301" w:name="Tc_-dEOm-isr0aQg1BMaO1L_A_24_15"/>
      <w:bookmarkStart w:id="302" w:name="Tc_mkBszYL76kGm-I5E_eP6VQ_24_9"/>
      <w:bookmarkStart w:id="303" w:name="Tc_w3CMAqyaE0S5o4cBg89hyA_24_6"/>
      <w:bookmarkStart w:id="304" w:name="Tc_pCJqTB60YUag_8TPfvw2qQ_24_0"/>
      <w:bookmarkStart w:id="305" w:name="Tc_2islNh4WJ0Suvhjk-WykbA_23_18"/>
      <w:bookmarkStart w:id="306" w:name="Tc_l6sM3TKQ90SQXa7CqplcQQ_23_15"/>
      <w:bookmarkStart w:id="307" w:name="Tc_vQl0ymuZLki5ofyY6IRJdw_23_9"/>
      <w:bookmarkStart w:id="308" w:name="Tc_9DblggMMyUuTqQVTLRA_OQ_23_6"/>
      <w:bookmarkStart w:id="309" w:name="Tc_t6JOiYpEkEm7kgshVxYuWg_23_0"/>
      <w:bookmarkStart w:id="310" w:name="Tc_lZ2SzG9wrEmz8aZHon3aNg_22_18"/>
      <w:bookmarkStart w:id="311" w:name="Tc_7wrSg8SQqE2TrGj9d6Tssg_22_15"/>
      <w:bookmarkStart w:id="312" w:name="Tc_avcSfSYK6UGBceaueqfihA_22_9"/>
      <w:bookmarkStart w:id="313" w:name="Tc_-5tADRA4MUelfUMJ2sfVXw_22_6"/>
      <w:bookmarkStart w:id="314" w:name="Tc_JTw5t1Q9_kOPvov8YcOtCA_22_0"/>
      <w:bookmarkStart w:id="315" w:name="Tc_isdHEDhgeU6PCobPhSTocQ_21_18"/>
      <w:bookmarkStart w:id="316" w:name="Tc_FWWNdYbNxUK2nDXv2V7DEg_21_15"/>
      <w:bookmarkStart w:id="317" w:name="Tc_GnjnCeIglUigLyhId4PVjw_21_9"/>
      <w:bookmarkStart w:id="318" w:name="Tc_WDCW7S2Q5USiOUkLt4GX4w_21_3"/>
      <w:bookmarkStart w:id="319" w:name="Tc_bq8EZJE5aEKd2cGzvKmy_g_21_0"/>
      <w:bookmarkStart w:id="320" w:name="Tc_yikQQOKKyEG6VgQ8D_lq-w_20_18"/>
      <w:bookmarkStart w:id="321" w:name="Tc_S0aeTON7R0SAQ1CxTPxM4w_20_15"/>
      <w:bookmarkStart w:id="322" w:name="Tc_agvO9tcVfUG0gdnk_58IrA_20_9"/>
      <w:bookmarkStart w:id="323" w:name="Tc_wN9xqfeEjUuaCSVhDZ_lEA_20_3"/>
      <w:bookmarkStart w:id="324" w:name="Tc_CNXmC3IUokqZPhsbDoLIYw_20_0"/>
      <w:bookmarkStart w:id="325" w:name="Tc_2Ni5CRKk8Um8BezQfJxR_w_19_18"/>
      <w:bookmarkStart w:id="326" w:name="Tc_fGRpMpGHeE2-T5Jf1mKIIQ_19_15"/>
      <w:bookmarkStart w:id="327" w:name="Tc_6FsEuVrYq020Fxh7wdt4-Q_19_3"/>
      <w:bookmarkStart w:id="328" w:name="Tc_sGSzhzGfmUiTONrxlNwLjw_19_0"/>
      <w:bookmarkStart w:id="329" w:name="Tc_tjULD4ee3ky5lZTKc2dllQ_18_21"/>
      <w:bookmarkStart w:id="330" w:name="Tc_CkOGs6X5fkuD4_j0Myn6CQ_18_18"/>
      <w:bookmarkStart w:id="331" w:name="Tc_tweKc84JNEmy9GXbEOGxug_18_15"/>
      <w:bookmarkStart w:id="332" w:name="Tc_cfaXyDCB90eU2-5ABUv3nA_18_3"/>
      <w:bookmarkStart w:id="333" w:name="Tc_1p8s8GtcFU6vkt2v4EKz6A_18_0"/>
      <w:bookmarkStart w:id="334" w:name="Tc_V8pXD254DUyHe0xrVVUr6g_17_18"/>
      <w:bookmarkStart w:id="335" w:name="Tc_9tJxsugmfEKEkGk9xmvMJg_17_15"/>
      <w:bookmarkStart w:id="336" w:name="Tc_xaxj-sqFREOHK7AWH0Akcg_17_9"/>
      <w:bookmarkStart w:id="337" w:name="Tc_lX6d3IUg00W8Hwk9Lp2AjA_17_3"/>
      <w:bookmarkStart w:id="338" w:name="Tc_Yg8dx78_Q0O6dml9tdMoqw_17_0"/>
      <w:bookmarkStart w:id="339" w:name="Tc_hMPwJQ9SakW1Ciwo2qRbyQ_16_20"/>
      <w:bookmarkStart w:id="340" w:name="Tc_15tbuPSVPkuyYkgxMrV24w_16_17"/>
      <w:bookmarkStart w:id="341" w:name="Tc_1vyPhsxlcUSH5-mqc2850Q_16_14"/>
      <w:bookmarkStart w:id="342" w:name="Tc__iwZaSGXhEuagluRcytHxw_16_11"/>
      <w:bookmarkStart w:id="343" w:name="Tc_W6GXOtbmj0WrMyf6nfD92w_16_8"/>
      <w:bookmarkStart w:id="344" w:name="Tc_dqM8NdbTOEKqQpHBD9CnbQ_16_2"/>
      <w:bookmarkStart w:id="345" w:name="Tc_DBdOSqmNN0SZYeCb_ezv5A_16_0"/>
      <w:bookmarkStart w:id="346" w:name="Tc_IORHX3-gzE6J2eFk852b1w_15_18"/>
      <w:bookmarkStart w:id="347" w:name="Tc_RLRqBb0XwE6kLzhbKs2Nug_15_12"/>
      <w:bookmarkStart w:id="348" w:name="Tc_Vtgkm4HMBUSfMRH1hWOMfw_15_9"/>
      <w:bookmarkStart w:id="349" w:name="Tc_JfSABfagQEGj80a54S3a8g_15_6"/>
      <w:bookmarkStart w:id="350" w:name="Tc_KocXXxD1gkaP7JlP28sd9A_15_3"/>
      <w:bookmarkStart w:id="351" w:name="Tc_xyPG8Cyg9UW4TkyHjoH8gA_15_0"/>
      <w:bookmarkStart w:id="352" w:name="Tc_I0kkpr9LlUOu85j1CFIS-w_14_18"/>
      <w:bookmarkStart w:id="353" w:name="Tc_5W4Raiz-sU2NPaP8zspFJQ_14_15"/>
      <w:bookmarkStart w:id="354" w:name="Tc_oMUlUwckDUKFcVtoTk-kHw_14_9"/>
      <w:bookmarkStart w:id="355" w:name="Tc_61znmzCMbEmzFLUQaE5fEg_14_6"/>
      <w:bookmarkStart w:id="356" w:name="Tc_aeSRXcwFv0GqmVy7JOKkug_14_0"/>
      <w:bookmarkStart w:id="357" w:name="Tc_-CGlSFm1XkOZNQeILO6v3A_13_18"/>
      <w:bookmarkStart w:id="358" w:name="Tc_bqaYBW_OSkSqs67ZTsa64A_13_15"/>
      <w:bookmarkStart w:id="359" w:name="Tc_57Vd4mshmkuagxc8vq58Ig_13_9"/>
      <w:bookmarkStart w:id="360" w:name="Tc_vEvvlFiGjkeYNEsEKKsNaQ_13_6"/>
      <w:bookmarkStart w:id="361" w:name="Tc_V7Btfy3PC0uWGybCGMM8jw_13_3"/>
      <w:bookmarkStart w:id="362" w:name="Tc_tq0g1qQAwEa3rTm9MFVHiA_13_0"/>
      <w:bookmarkStart w:id="363" w:name="Tc_-f0GMR-ag0GnaZqFeyDUgw_12_18"/>
      <w:bookmarkStart w:id="364" w:name="Tc_F58g5jZ_9U-ZbAg0yIXG6w_12_15"/>
      <w:bookmarkStart w:id="365" w:name="Tc_LpXWqdEogUyN0vDKdDJEig_12_9"/>
      <w:bookmarkStart w:id="366" w:name="Tc_PtK-7jhGBUS0jnP8DZmFMQ_12_3"/>
      <w:bookmarkStart w:id="367" w:name="Tc_2VyPEyPEvk625Q-qml4DHA_12_0"/>
      <w:bookmarkStart w:id="368" w:name="Tc_m24bDqEhCEeQGdt_R53qeA_11_18"/>
      <w:bookmarkStart w:id="369" w:name="Tc_j5hkab5l-ECc5WiHBQZkUg_11_15"/>
      <w:bookmarkStart w:id="370" w:name="Tc_3MzWJwFqO0SjpsLqL_LfYA_11_9"/>
      <w:bookmarkStart w:id="371" w:name="Tc_hkSJcfPm-kGYDoB79zJ-bQ_11_6"/>
      <w:bookmarkStart w:id="372" w:name="Tc_jJ-NvzkxUEul9qiULElplw_11_3"/>
      <w:bookmarkStart w:id="373" w:name="Tc_xgJA1LwkNUy9Qs_9HaUVRA_11_0"/>
      <w:bookmarkStart w:id="374" w:name="Tc_IAevOtAL5kquwcQ-DlXOqQ_10_18"/>
      <w:bookmarkStart w:id="375" w:name="Tc_5qRuMHBXnkueuOnBu2aF8Q_10_15"/>
      <w:bookmarkStart w:id="376" w:name="Tc_cLMXszzkGUO7RQLEcn4g9Q_10_3"/>
      <w:bookmarkStart w:id="377" w:name="Tc_W2oFOMqWkESCB1aJv4-x2w_10_0"/>
      <w:bookmarkStart w:id="378" w:name="Tc_YmGKQa5C5U6YsSw66LfmhA_9_21"/>
      <w:bookmarkStart w:id="379" w:name="Tc_klpPLPYB00GfimjRuYCh5w_9_18"/>
      <w:bookmarkStart w:id="380" w:name="Tc_RqNQCu6bHU28zvDWuDMQrQ_9_15"/>
      <w:bookmarkStart w:id="381" w:name="Tc_16whM5BzZ0OPV5_aoNUhhw_9_12"/>
      <w:bookmarkStart w:id="382" w:name="Tc_u8pxFkrh0E-5bZj3Nt1PSQ_9_9"/>
      <w:bookmarkStart w:id="383" w:name="Tc_GCKLq6CUbkWasCLhOcPfTw_9_3"/>
      <w:bookmarkStart w:id="384" w:name="Tc_Z5DdUBo1W0KietrUXrs_SA_9_0"/>
      <w:bookmarkStart w:id="385" w:name="Tc__zEnOYCFVUavlGBO91WZaQ_8_18"/>
      <w:bookmarkStart w:id="386" w:name="Tc_-8X3KId4nkSZD-JoqiLg6g_8_15"/>
      <w:bookmarkStart w:id="387" w:name="Tc_ONHVNGaP3U2ZiE8yLd3zzw_8_9"/>
      <w:bookmarkStart w:id="388" w:name="Tc_4Hh1IARhrkaLiOrpIo5uBA_8_3"/>
      <w:bookmarkStart w:id="389" w:name="Tc_KkL04MyxHEiZsP3FyP1L8g_8_0"/>
      <w:bookmarkStart w:id="390" w:name="Tc_QyVlwih2xEK58eIclyYLwg_7_21"/>
      <w:bookmarkStart w:id="391" w:name="Tc_aTWdveg_qUGLJSD5FIW1Jg_7_18"/>
      <w:bookmarkStart w:id="392" w:name="Tc_CUo_985uy0ybLxpSrKNshw_7_15"/>
      <w:bookmarkStart w:id="393" w:name="Tc_z_-nPrs4wkKjPKjEo-p5Gw_7_12"/>
      <w:bookmarkStart w:id="394" w:name="Tc_vhZvWIRQCUKOZPjcYKXh7Q_7_9"/>
      <w:bookmarkStart w:id="395" w:name="Tc_M56BSqmpC0yC2PzFNgsGkA_7_3"/>
      <w:bookmarkStart w:id="396" w:name="Tc_NTTkflUKOEODuxL1gcL6qQ_7_0"/>
      <w:bookmarkStart w:id="397" w:name="Tc_HLaAnnFZkk6-Cg8PBK05fw_6_18"/>
      <w:bookmarkStart w:id="398" w:name="Tc_KJDhVQ8JYUWkFgcoSVKCMg_6_15"/>
      <w:bookmarkStart w:id="399" w:name="Tc_UsTcAuFcA0qevUIsS7x-Ug_6_9"/>
      <w:bookmarkStart w:id="400" w:name="Tc_suJSApdweUC4Xmt4CWRnxA_6_6"/>
      <w:bookmarkStart w:id="401" w:name="Tc_H-14HtvqS0qzbolPt4Jjxw_6_3"/>
      <w:bookmarkStart w:id="402" w:name="Tc_XA-panwONE26gpoYE2DXGA_6_0"/>
      <w:bookmarkStart w:id="403" w:name="Tc_ZGSh-hclGk2u0vNH-_rfGg_5_18"/>
      <w:bookmarkStart w:id="404" w:name="Tc_NTJCb_pTNUea_KSZr5NGTw_5_15"/>
      <w:bookmarkStart w:id="405" w:name="Tc_P6zTUFjPHUWIKlOEnup7Ow_5_3"/>
      <w:bookmarkStart w:id="406" w:name="Tc_8vTwV3Amtk6Gfv0Rx4PBSA_5_0"/>
      <w:bookmarkStart w:id="407" w:name="Tc_UzXwPMo56EaDkDOuwj1I8A_4_20"/>
      <w:bookmarkStart w:id="408" w:name="Tc_v912zyxHREaP1H3zdYOYJA_4_17"/>
      <w:bookmarkStart w:id="409" w:name="Tc_IynCXp-CpU6GbnXqdOXDDQ_4_14"/>
      <w:bookmarkStart w:id="410" w:name="Tc_CeIm4i6VWUGMwaVReC1T8Q_4_11"/>
      <w:bookmarkStart w:id="411" w:name="Tc_VXBuUz-hNkSED4AkjrHlJA_4_8"/>
      <w:bookmarkStart w:id="412" w:name="Tc_cM4KEWsOpEqIrDCCFdNjIA_4_2"/>
      <w:bookmarkStart w:id="413" w:name="Tc_l4-eKVIWv0a2W_iQxwsYgw_4_0"/>
      <w:bookmarkStart w:id="414" w:name="Tc_9CQ0nIcdUEClia728-RSVQ_3_20"/>
      <w:bookmarkStart w:id="415" w:name="Tc_gVIgJZ_9eUaklTrKzRLGkg_3_17"/>
      <w:bookmarkStart w:id="416" w:name="Tc_DORDR0_hu0SX11VpR8Nycw_3_14"/>
      <w:bookmarkStart w:id="417" w:name="Tc_GEgv5XSVZkeIFFJQlk2Qew_3_11"/>
      <w:bookmarkStart w:id="418" w:name="Tc_F-3kRJNMUUyOIqBYKbPgXw_3_8"/>
      <w:bookmarkStart w:id="419" w:name="Tc_W_zwy0_xjki8RC-7J4XTLg_3_6"/>
      <w:bookmarkStart w:id="420" w:name="Tc__ZOGPqmLpUibgBbYkCPSVA_3_2"/>
      <w:bookmarkStart w:id="421" w:name="Tc_VpMRIvbOz0O-k-QXmZ7WBA_2_20"/>
      <w:bookmarkStart w:id="422" w:name="Tc_Mv3s6tZz6EC3pBXNiMJT1w_2_17"/>
      <w:bookmarkStart w:id="423" w:name="Tc_wUJT8Fjs10uW04g2ZyhO9g_2_14"/>
      <w:bookmarkStart w:id="424" w:name="Tc_7GJsqFugaU2Q_ss5MlWzjg_2_11"/>
      <w:bookmarkStart w:id="425" w:name="Tc_qFQexGJB3Uu8crpb0XVeSQ_2_6"/>
      <w:bookmarkStart w:id="426" w:name="Tc_Pw3VUOy1WEqCcAmzCntEPg_2_2"/>
      <w:bookmarkStart w:id="427" w:name="Tc_4b7-Iiy81Ue0Mqe-YYvg2A_1_20"/>
      <w:bookmarkStart w:id="428" w:name="Tc_asMl5BPk20WMzV3-hFCm6Q_1_11"/>
      <w:bookmarkStart w:id="429" w:name="Tc_kIrv_TltK0yH_gfo59M_KA_1_6"/>
      <w:bookmarkStart w:id="430" w:name="Tc_pA6lpgfY4k-rNSqI9Zgpfg_1_2"/>
      <w:bookmarkStart w:id="431" w:name="_9500d7f2_42a4_4672_bc0d_d8271679dd14"/>
      <w:bookmarkStart w:id="432" w:name="Tc_oX3e6HemEkqrWfReYJu2rQ_27_20"/>
      <w:bookmarkStart w:id="433" w:name="Tc_6MiQvX1pv0y8geEOFMMi2Q_27_18"/>
      <w:bookmarkStart w:id="434" w:name="Tc_oNmVkChXjk2ZTOnugv9EkQ_27_17"/>
      <w:bookmarkStart w:id="435" w:name="Tc_TLWrRExWkUaBVb2HiQuX-g_27_14"/>
      <w:bookmarkStart w:id="436" w:name="Tc_686vCVT-SUijE2YJrzVZ4w_27_11"/>
      <w:bookmarkStart w:id="437" w:name="Tc__DZumm3aBUWW0AILhFEmnw_27_8"/>
      <w:bookmarkStart w:id="438" w:name="Tc_MAulYv_GbkeN07jG_IPYwA_27_3"/>
      <w:bookmarkStart w:id="439" w:name="Tc_BYMRYyXR0k2TqQG2tj0vHw_27_2"/>
      <w:bookmarkStart w:id="440" w:name="Tc_eBmPxsZEWEGFJUInmqMSAw_27_0"/>
      <w:bookmarkStart w:id="441" w:name="Tc_d_5D7YaHRUmMAu6a8J7VWg_26_18"/>
      <w:bookmarkStart w:id="442" w:name="Tc_Su3EuDbSRk6tOynl8yhg4Q_26_12"/>
      <w:bookmarkStart w:id="443" w:name="Tc_dgPbLiVNzk-aony9ZT6TDQ_26_9"/>
      <w:bookmarkStart w:id="444" w:name="Tc_nTuv61Lwzka47lgQCgD0Hw_26_6"/>
      <w:bookmarkStart w:id="445" w:name="Tc_jWSUQgpwn0-QmKFn4IEWMQ_26_3"/>
      <w:bookmarkStart w:id="446" w:name="Tc_HpxnHHPaAEGAbFfNmtPHMQ_26_0"/>
      <w:bookmarkStart w:id="447" w:name="Tc_shioLREXv0W1woD8vthbPw_25_18"/>
      <w:bookmarkStart w:id="448" w:name="Tc_TV4loTnYwUGYmTlS9sBZ9Q_25_15"/>
      <w:bookmarkStart w:id="449" w:name="Tc_xyO5-Mtun02yo1JwVyVPiA_25_9"/>
      <w:bookmarkStart w:id="450" w:name="Tc_ADOdG-zI2Emdg3Yb_CjODw_25_6"/>
      <w:bookmarkStart w:id="451" w:name="Tc_aqaVX1APOEyAbFpmWqd0jw_25_3"/>
      <w:bookmarkStart w:id="452" w:name="Tc_OeqxIkgsPkKrEmHorLEXgQ_25_0"/>
      <w:bookmarkStart w:id="453" w:name="Tc_-dEOm-isr0aQg1BMaO1L_A_24_15"/>
      <w:bookmarkStart w:id="454" w:name="Tc_mkBszYL76kGm-I5E_eP6VQ_24_9"/>
      <w:bookmarkStart w:id="455" w:name="Tc_w3CMAqyaE0S5o4cBg89hyA_24_6"/>
      <w:bookmarkStart w:id="456" w:name="Tc_pCJqTB60YUag_8TPfvw2qQ_24_0"/>
      <w:bookmarkStart w:id="457" w:name="Tc_2islNh4WJ0Suvhjk-WykbA_23_18"/>
      <w:bookmarkStart w:id="458" w:name="Tc_l6sM3TKQ90SQXa7CqplcQQ_23_15"/>
      <w:bookmarkStart w:id="459" w:name="Tc_vQl0ymuZLki5ofyY6IRJdw_23_9"/>
      <w:bookmarkStart w:id="460" w:name="Tc_9DblggMMyUuTqQVTLRA_OQ_23_6"/>
      <w:bookmarkStart w:id="461" w:name="Tc_t6JOiYpEkEm7kgshVxYuWg_23_0"/>
      <w:bookmarkStart w:id="462" w:name="Tc_lZ2SzG9wrEmz8aZHon3aNg_22_18"/>
      <w:bookmarkStart w:id="463" w:name="Tc_7wrSg8SQqE2TrGj9d6Tssg_22_15"/>
      <w:bookmarkStart w:id="464" w:name="Tc_avcSfSYK6UGBceaueqfihA_22_9"/>
      <w:bookmarkStart w:id="465" w:name="Tc_-5tADRA4MUelfUMJ2sfVXw_22_6"/>
      <w:bookmarkStart w:id="466" w:name="Tc_JTw5t1Q9_kOPvov8YcOtCA_22_0"/>
      <w:bookmarkStart w:id="467" w:name="Tc_isdHEDhgeU6PCobPhSTocQ_21_18"/>
      <w:bookmarkStart w:id="468" w:name="Tc_FWWNdYbNxUK2nDXv2V7DEg_21_15"/>
      <w:bookmarkStart w:id="469" w:name="Tc_GnjnCeIglUigLyhId4PVjw_21_9"/>
      <w:bookmarkStart w:id="470" w:name="Tc_WDCW7S2Q5USiOUkLt4GX4w_21_3"/>
      <w:bookmarkStart w:id="471" w:name="Tc_bq8EZJE5aEKd2cGzvKmy_g_21_0"/>
      <w:bookmarkStart w:id="472" w:name="Tc_yikQQOKKyEG6VgQ8D_lq-w_20_18"/>
      <w:bookmarkStart w:id="473" w:name="Tc_S0aeTON7R0SAQ1CxTPxM4w_20_15"/>
      <w:bookmarkStart w:id="474" w:name="Tc_agvO9tcVfUG0gdnk_58IrA_20_9"/>
      <w:bookmarkStart w:id="475" w:name="Tc_wN9xqfeEjUuaCSVhDZ_lEA_20_3"/>
      <w:bookmarkStart w:id="476" w:name="Tc_CNXmC3IUokqZPhsbDoLIYw_20_0"/>
      <w:bookmarkStart w:id="477" w:name="Tc_2Ni5CRKk8Um8BezQfJxR_w_19_18"/>
      <w:bookmarkStart w:id="478" w:name="Tc_fGRpMpGHeE2-T5Jf1mKIIQ_19_15"/>
      <w:bookmarkStart w:id="479" w:name="Tc_6FsEuVrYq020Fxh7wdt4-Q_19_3"/>
      <w:bookmarkStart w:id="480" w:name="Tc_sGSzhzGfmUiTONrxlNwLjw_19_0"/>
      <w:bookmarkStart w:id="481" w:name="Tc_tjULD4ee3ky5lZTKc2dllQ_18_21"/>
      <w:bookmarkStart w:id="482" w:name="Tc_CkOGs6X5fkuD4_j0Myn6CQ_18_18"/>
      <w:bookmarkStart w:id="483" w:name="Tc_tweKc84JNEmy9GXbEOGxug_18_15"/>
      <w:bookmarkStart w:id="484" w:name="Tc_cfaXyDCB90eU2-5ABUv3nA_18_3"/>
      <w:bookmarkStart w:id="485" w:name="Tc_1p8s8GtcFU6vkt2v4EKz6A_18_0"/>
      <w:bookmarkStart w:id="486" w:name="Tc_V8pXD254DUyHe0xrVVUr6g_17_18"/>
      <w:bookmarkStart w:id="487" w:name="Tc_9tJxsugmfEKEkGk9xmvMJg_17_15"/>
      <w:bookmarkStart w:id="488" w:name="Tc_xaxj-sqFREOHK7AWH0Akcg_17_9"/>
      <w:bookmarkStart w:id="489" w:name="Tc_lX6d3IUg00W8Hwk9Lp2AjA_17_3"/>
      <w:bookmarkStart w:id="490" w:name="Tc_Yg8dx78_Q0O6dml9tdMoqw_17_0"/>
      <w:bookmarkStart w:id="491" w:name="Tc_hMPwJQ9SakW1Ciwo2qRbyQ_16_20"/>
      <w:bookmarkStart w:id="492" w:name="Tc_15tbuPSVPkuyYkgxMrV24w_16_17"/>
      <w:bookmarkStart w:id="493" w:name="Tc_1vyPhsxlcUSH5-mqc2850Q_16_14"/>
      <w:bookmarkStart w:id="494" w:name="Tc__iwZaSGXhEuagluRcytHxw_16_11"/>
      <w:bookmarkStart w:id="495" w:name="Tc_W6GXOtbmj0WrMyf6nfD92w_16_8"/>
      <w:bookmarkStart w:id="496" w:name="Tc_dqM8NdbTOEKqQpHBD9CnbQ_16_2"/>
      <w:bookmarkStart w:id="497" w:name="Tc_DBdOSqmNN0SZYeCb_ezv5A_16_0"/>
      <w:bookmarkStart w:id="498" w:name="Tc_IORHX3-gzE6J2eFk852b1w_15_18"/>
      <w:bookmarkStart w:id="499" w:name="Tc_RLRqBb0XwE6kLzhbKs2Nug_15_12"/>
      <w:bookmarkStart w:id="500" w:name="Tc_Vtgkm4HMBUSfMRH1hWOMfw_15_9"/>
      <w:bookmarkStart w:id="501" w:name="Tc_JfSABfagQEGj80a54S3a8g_15_6"/>
      <w:bookmarkStart w:id="502" w:name="Tc_KocXXxD1gkaP7JlP28sd9A_15_3"/>
      <w:bookmarkStart w:id="503" w:name="Tc_xyPG8Cyg9UW4TkyHjoH8gA_15_0"/>
      <w:bookmarkStart w:id="504" w:name="Tc_I0kkpr9LlUOu85j1CFIS-w_14_18"/>
      <w:bookmarkStart w:id="505" w:name="Tc_5W4Raiz-sU2NPaP8zspFJQ_14_15"/>
      <w:bookmarkStart w:id="506" w:name="Tc_oMUlUwckDUKFcVtoTk-kHw_14_9"/>
      <w:bookmarkStart w:id="507" w:name="Tc_61znmzCMbEmzFLUQaE5fEg_14_6"/>
      <w:bookmarkStart w:id="508" w:name="Tc_aeSRXcwFv0GqmVy7JOKkug_14_0"/>
      <w:bookmarkStart w:id="509" w:name="Tc_-CGlSFm1XkOZNQeILO6v3A_13_18"/>
      <w:bookmarkStart w:id="510" w:name="Tc_bqaYBW_OSkSqs67ZTsa64A_13_15"/>
      <w:bookmarkStart w:id="511" w:name="Tc_57Vd4mshmkuagxc8vq58Ig_13_9"/>
      <w:bookmarkStart w:id="512" w:name="Tc_vEvvlFiGjkeYNEsEKKsNaQ_13_6"/>
      <w:bookmarkStart w:id="513" w:name="Tc_V7Btfy3PC0uWGybCGMM8jw_13_3"/>
      <w:bookmarkStart w:id="514" w:name="Tc_tq0g1qQAwEa3rTm9MFVHiA_13_0"/>
      <w:bookmarkStart w:id="515" w:name="Tc_-f0GMR-ag0GnaZqFeyDUgw_12_18"/>
      <w:bookmarkStart w:id="516" w:name="Tc_F58g5jZ_9U-ZbAg0yIXG6w_12_15"/>
      <w:bookmarkStart w:id="517" w:name="Tc_LpXWqdEogUyN0vDKdDJEig_12_9"/>
      <w:bookmarkStart w:id="518" w:name="Tc_PtK-7jhGBUS0jnP8DZmFMQ_12_3"/>
      <w:bookmarkStart w:id="519" w:name="Tc_2VyPEyPEvk625Q-qml4DHA_12_0"/>
      <w:bookmarkStart w:id="520" w:name="Tc_m24bDqEhCEeQGdt_R53qeA_11_18"/>
      <w:bookmarkStart w:id="521" w:name="Tc_j5hkab5l-ECc5WiHBQZkUg_11_15"/>
      <w:bookmarkStart w:id="522" w:name="Tc_3MzWJwFqO0SjpsLqL_LfYA_11_9"/>
      <w:bookmarkStart w:id="523" w:name="Tc_hkSJcfPm-kGYDoB79zJ-bQ_11_6"/>
      <w:bookmarkStart w:id="524" w:name="Tc_jJ-NvzkxUEul9qiULElplw_11_3"/>
      <w:bookmarkStart w:id="525" w:name="Tc_xgJA1LwkNUy9Qs_9HaUVRA_11_0"/>
      <w:bookmarkStart w:id="526" w:name="Tc_IAevOtAL5kquwcQ-DlXOqQ_10_18"/>
      <w:bookmarkStart w:id="527" w:name="Tc_5qRuMHBXnkueuOnBu2aF8Q_10_15"/>
      <w:bookmarkStart w:id="528" w:name="Tc_cLMXszzkGUO7RQLEcn4g9Q_10_3"/>
      <w:bookmarkStart w:id="529" w:name="Tc_W2oFOMqWkESCB1aJv4-x2w_10_0"/>
      <w:bookmarkStart w:id="530" w:name="Tc_YmGKQa5C5U6YsSw66LfmhA_9_21"/>
      <w:bookmarkStart w:id="531" w:name="Tc_klpPLPYB00GfimjRuYCh5w_9_18"/>
      <w:bookmarkStart w:id="532" w:name="Tc_RqNQCu6bHU28zvDWuDMQrQ_9_15"/>
      <w:bookmarkStart w:id="533" w:name="Tc_16whM5BzZ0OPV5_aoNUhhw_9_12"/>
      <w:bookmarkStart w:id="534" w:name="Tc_u8pxFkrh0E-5bZj3Nt1PSQ_9_9"/>
      <w:bookmarkStart w:id="535" w:name="Tc_GCKLq6CUbkWasCLhOcPfTw_9_3"/>
      <w:bookmarkStart w:id="536" w:name="Tc_Z5DdUBo1W0KietrUXrs_SA_9_0"/>
      <w:bookmarkStart w:id="537" w:name="Tc__zEnOYCFVUavlGBO91WZaQ_8_18"/>
      <w:bookmarkStart w:id="538" w:name="Tc_-8X3KId4nkSZD-JoqiLg6g_8_15"/>
      <w:bookmarkStart w:id="539" w:name="Tc_ONHVNGaP3U2ZiE8yLd3zzw_8_9"/>
      <w:bookmarkStart w:id="540" w:name="Tc_4Hh1IARhrkaLiOrpIo5uBA_8_3"/>
      <w:bookmarkStart w:id="541" w:name="Tc_KkL04MyxHEiZsP3FyP1L8g_8_0"/>
      <w:bookmarkStart w:id="542" w:name="Tc_QyVlwih2xEK58eIclyYLwg_7_21"/>
      <w:bookmarkStart w:id="543" w:name="Tc_aTWdveg_qUGLJSD5FIW1Jg_7_18"/>
      <w:bookmarkStart w:id="544" w:name="Tc_CUo_985uy0ybLxpSrKNshw_7_15"/>
      <w:bookmarkStart w:id="545" w:name="Tc_z_-nPrs4wkKjPKjEo-p5Gw_7_12"/>
      <w:bookmarkStart w:id="546" w:name="Tc_vhZvWIRQCUKOZPjcYKXh7Q_7_9"/>
      <w:bookmarkStart w:id="547" w:name="Tc_M56BSqmpC0yC2PzFNgsGkA_7_3"/>
      <w:bookmarkStart w:id="548" w:name="Tc_NTTkflUKOEODuxL1gcL6qQ_7_0"/>
      <w:bookmarkStart w:id="549" w:name="Tc_HLaAnnFZkk6-Cg8PBK05fw_6_18"/>
      <w:bookmarkStart w:id="550" w:name="Tc_KJDhVQ8JYUWkFgcoSVKCMg_6_15"/>
      <w:bookmarkStart w:id="551" w:name="Tc_UsTcAuFcA0qevUIsS7x-Ug_6_9"/>
      <w:bookmarkStart w:id="552" w:name="Tc_suJSApdweUC4Xmt4CWRnxA_6_6"/>
      <w:bookmarkStart w:id="553" w:name="Tc_H-14HtvqS0qzbolPt4Jjxw_6_3"/>
      <w:bookmarkStart w:id="554" w:name="Tc_XA-panwONE26gpoYE2DXGA_6_0"/>
      <w:bookmarkStart w:id="555" w:name="Tc_ZGSh-hclGk2u0vNH-_rfGg_5_18"/>
      <w:bookmarkStart w:id="556" w:name="Tc_NTJCb_pTNUea_KSZr5NGTw_5_15"/>
      <w:bookmarkStart w:id="557" w:name="Tc_P6zTUFjPHUWIKlOEnup7Ow_5_3"/>
      <w:bookmarkStart w:id="558" w:name="Tc_8vTwV3Amtk6Gfv0Rx4PBSA_5_0"/>
      <w:bookmarkStart w:id="559" w:name="Tc_UzXwPMo56EaDkDOuwj1I8A_4_20"/>
      <w:bookmarkStart w:id="560" w:name="Tc_v912zyxHREaP1H3zdYOYJA_4_17"/>
      <w:bookmarkStart w:id="561" w:name="Tc_IynCXp-CpU6GbnXqdOXDDQ_4_14"/>
      <w:bookmarkStart w:id="562" w:name="Tc_CeIm4i6VWUGMwaVReC1T8Q_4_11"/>
      <w:bookmarkStart w:id="563" w:name="Tc_VXBuUz-hNkSED4AkjrHlJA_4_8"/>
      <w:bookmarkStart w:id="564" w:name="Tc_cM4KEWsOpEqIrDCCFdNjIA_4_2"/>
      <w:bookmarkStart w:id="565" w:name="Tc_l4-eKVIWv0a2W_iQxwsYgw_4_0"/>
      <w:bookmarkStart w:id="566" w:name="Tc_9CQ0nIcdUEClia728-RSVQ_3_20"/>
      <w:bookmarkStart w:id="567" w:name="Tc_gVIgJZ_9eUaklTrKzRLGkg_3_17"/>
      <w:bookmarkStart w:id="568" w:name="Tc_DORDR0_hu0SX11VpR8Nycw_3_14"/>
      <w:bookmarkStart w:id="569" w:name="Tc_GEgv5XSVZkeIFFJQlk2Qew_3_11"/>
      <w:bookmarkStart w:id="570" w:name="Tc_F-3kRJNMUUyOIqBYKbPgXw_3_8"/>
      <w:bookmarkStart w:id="571" w:name="Tc_W_zwy0_xjki8RC-7J4XTLg_3_6"/>
      <w:bookmarkStart w:id="572" w:name="Tc__ZOGPqmLpUibgBbYkCPSVA_3_2"/>
      <w:bookmarkStart w:id="573" w:name="Tc_VpMRIvbOz0O-k-QXmZ7WBA_2_20"/>
      <w:bookmarkStart w:id="574" w:name="Tc_Mv3s6tZz6EC3pBXNiMJT1w_2_17"/>
      <w:bookmarkStart w:id="575" w:name="Tc_wUJT8Fjs10uW04g2ZyhO9g_2_14"/>
      <w:bookmarkStart w:id="576" w:name="Tc_7GJsqFugaU2Q_ss5MlWzjg_2_11"/>
      <w:bookmarkStart w:id="577" w:name="Tc_qFQexGJB3Uu8crpb0XVeSQ_2_6"/>
      <w:bookmarkStart w:id="578" w:name="Tc_Pw3VUOy1WEqCcAmzCntEPg_2_2"/>
      <w:bookmarkStart w:id="579" w:name="Tc_4b7-Iiy81Ue0Mqe-YYvg2A_1_20"/>
      <w:bookmarkStart w:id="580" w:name="Tc_asMl5BPk20WMzV3-hFCm6Q_1_11"/>
      <w:bookmarkStart w:id="581" w:name="Tc_kIrv_TltK0yH_gfo59M_KA_1_6"/>
      <w:bookmarkStart w:id="582" w:name="Tc_pA6lpgfY4k-rNSqI9Zgpfg_1_2"/>
      <w:bookmarkStart w:id="583" w:name="_9500d7f2_42a4_4672_bc0d_d8271679dd14"/>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tbl>
      <w:tblPr>
        <w:tblW w:w="11132" w:type="dxa"/>
        <w:jc w:val="left"/>
        <w:tblInd w:w="0" w:type="dxa"/>
        <w:tblLayout w:type="fixed"/>
        <w:tblCellMar>
          <w:top w:w="0" w:type="dxa"/>
          <w:left w:w="0" w:type="dxa"/>
          <w:bottom w:w="0" w:type="dxa"/>
          <w:right w:w="0" w:type="dxa"/>
        </w:tblCellMar>
      </w:tblPr>
      <w:tblGrid>
        <w:gridCol w:w="1561"/>
        <w:gridCol w:w="346"/>
        <w:gridCol w:w="274"/>
        <w:gridCol w:w="927"/>
        <w:gridCol w:w="226"/>
        <w:gridCol w:w="226"/>
        <w:gridCol w:w="916"/>
        <w:gridCol w:w="346"/>
        <w:gridCol w:w="249"/>
        <w:gridCol w:w="442"/>
        <w:gridCol w:w="346"/>
        <w:gridCol w:w="196"/>
        <w:gridCol w:w="691"/>
        <w:gridCol w:w="346"/>
        <w:gridCol w:w="217"/>
        <w:gridCol w:w="834"/>
        <w:gridCol w:w="346"/>
        <w:gridCol w:w="306"/>
        <w:gridCol w:w="895"/>
        <w:gridCol w:w="346"/>
        <w:gridCol w:w="216"/>
        <w:gridCol w:w="880"/>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91235" cy="175260"/>
                      <wp:effectExtent l="0" t="0" r="0" b="0"/>
                      <wp:wrapNone/>
                      <wp:docPr id="54" name="Frame53"/>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73990" cy="175260"/>
                      <wp:effectExtent l="0" t="0" r="0" b="0"/>
                      <wp:wrapNone/>
                      <wp:docPr id="56" name="Frame5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88645" cy="175260"/>
                      <wp:effectExtent l="0" t="0" r="0" b="0"/>
                      <wp:wrapNone/>
                      <wp:docPr id="57" name="Frame56"/>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8" name="Frame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3510" cy="175260"/>
                      <wp:effectExtent l="0" t="0" r="0" b="0"/>
                      <wp:wrapNone/>
                      <wp:docPr id="59" name="Frame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81660" cy="175260"/>
                      <wp:effectExtent l="0" t="0" r="0" b="0"/>
                      <wp:wrapNone/>
                      <wp:docPr id="60" name="Frame5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8115" cy="175260"/>
                      <wp:effectExtent l="0" t="0" r="0" b="0"/>
                      <wp:wrapNone/>
                      <wp:docPr id="62" name="Frame6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80670" cy="175260"/>
                      <wp:effectExtent l="0" t="0" r="0" b="0"/>
                      <wp:wrapNone/>
                      <wp:docPr id="63" name="Frame6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7795" cy="175260"/>
                      <wp:effectExtent l="0" t="0" r="0" b="0"/>
                      <wp:wrapNone/>
                      <wp:docPr id="68" name="Frame6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29590" cy="175260"/>
                      <wp:effectExtent l="0" t="0" r="0" b="0"/>
                      <wp:wrapNone/>
                      <wp:docPr id="69" name="Frame6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94310" cy="175260"/>
                      <wp:effectExtent l="0" t="0" r="0" b="0"/>
                      <wp:wrapNone/>
                      <wp:docPr id="71" name="Frame7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68325" cy="175260"/>
                      <wp:effectExtent l="0" t="0" r="0" b="0"/>
                      <wp:wrapNone/>
                      <wp:docPr id="72" name="Frame71"/>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7160" cy="175260"/>
                      <wp:effectExtent l="0" t="0" r="0" b="0"/>
                      <wp:wrapNone/>
                      <wp:docPr id="74" name="Frame7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58800" cy="175260"/>
                      <wp:effectExtent l="0" t="0" r="0" b="0"/>
                      <wp:wrapNone/>
                      <wp:docPr id="75" name="Frame74"/>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195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  ​ ​ ​</w:t>
            </w:r>
          </w:p>
        </w:tc>
        <w:tc>
          <w:tcPr>
            <w:tcW w:w="217" w:type="dxa"/>
            <w:tcBorders/>
            <w:vAlign w:val="center"/>
          </w:tcPr>
          <w:p>
            <w:pPr>
              <w:pStyle w:val="TableContents"/>
              <w:bidi w:val="0"/>
              <w:spacing w:before="0" w:after="0"/>
              <w:ind w:left="0" w:right="0" w:hanging="0"/>
              <w:jc w:val="center"/>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9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18,680</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43,593,678 </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162,820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(103,494)</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1,541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60,871</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Class A Ordinary Shares in connection with April 2024 Private Placement, net of $7.2 million of transaction costs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20,090,128</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55,221</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55,223</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Pre-Funded Warrants in connection with April 2024 Private Placement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50,030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50,030</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Pre-Funded Warrants in exchange for Class A Ordinary Shares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(4,000,000)</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Class A Ordinary Shares in exchange for Private Placement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1,718,108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6,230</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Class A Ordinary Shares in exchange for Public Warrants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2,064,082</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Class A Ordinary Shares in connection with a sale under the ATM, net of $0.2 million of commissions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1,500,000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5,533</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5,534</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ATM transaction costs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Class A Ordinary Shares for restricted stock units, net of shares withheld for taxes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331,534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16,798</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16,798</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 of redeemable noncontrolling interest from redemption value to carrying value</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(7,017)</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7,017</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7,017</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(52,403)</w:t>
            </w:r>
          </w:p>
        </w:tc>
        <w:tc>
          <w:tcPr>
            <w:tcW w:w="346" w:type="dxa"/>
            <w:tcBorders/>
            <w:vAlign w:val="center"/>
          </w:tcPr>
          <w:p>
            <w:pPr>
              <w:pStyle w:val="TableContents"/>
              <w:bidi w:val="0"/>
              <w:spacing w:before="0" w:after="0"/>
              <w:ind w:left="0" w:right="0" w:hanging="0"/>
              <w:jc w:val="righ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(52,403)</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11,663</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65,297,530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302,705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(155,897)</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1,541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148,356</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Class A Ordinary Shares in connection with sales under the ATM, net of $0.2 million of commissions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3,000,000</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5,093</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5,093</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Pre-Funded Warrants in exchange for Class A Ordinary Shares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(6,500,000)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Class A Ordinary Shares upon exercise of Pre-Funded Warrants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2,888,952</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Class A Ordinary Shares for share option exercises and restricted share units, net of shares withheld for taxes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336,826</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Class A Ordinary Shares in connection with the Athanor Agreement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8,657,402</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46,318</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46,318</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Partial extinguishment of redeemable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(5,831)</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831</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redeemable noncontrolling interest to redemption value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4,868</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(4,868)</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(4,868)</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Extinguishment of noncontrolling interest and redeemable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(10,700)</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(36,402)</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(37,943)</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12,332</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12,332</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(68,650)</w:t>
            </w:r>
          </w:p>
        </w:tc>
        <w:tc>
          <w:tcPr>
            <w:tcW w:w="346" w:type="dxa"/>
            <w:tcBorders/>
            <w:shd w:fill="CCEEFF" w:val="clear"/>
            <w:vAlign w:val="center"/>
          </w:tcPr>
          <w:p>
            <w:pPr>
              <w:pStyle w:val="TableContents"/>
              <w:bidi w:val="0"/>
              <w:spacing w:before="0" w:after="0"/>
              <w:ind w:left="0" w:right="0" w:hanging="0"/>
              <w:jc w:val="righ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(68,650)</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2025</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73,680,710</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326,078</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(224,547)</w:t>
            </w:r>
          </w:p>
        </w:tc>
        <w:tc>
          <w:tcPr>
            <w:tcW w:w="346" w:type="dxa"/>
            <w:tcBorders/>
            <w:vAlign w:val="center"/>
          </w:tcPr>
          <w:p>
            <w:pPr>
              <w:pStyle w:val="TableContents"/>
              <w:bidi w:val="0"/>
              <w:spacing w:before="0" w:after="0"/>
              <w:ind w:left="0" w:right="0" w:hanging="0"/>
              <w:jc w:val="righ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80"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101,538</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center"/>
        <w:rPr>
          <w:rFonts w:ascii="Times New Roman;Times;serif" w:hAnsi="Times New Roman;Times;serif"/>
          <w:b/>
          <w:sz w:val="20"/>
        </w:rPr>
      </w:pPr>
      <w:bookmarkStart w:id="584" w:name="_f5944c94_5c2d_45eb_bdc1_8640af7e367f"/>
      <w:bookmarkEnd w:id="584"/>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585" w:name="CondensedConsolidatedStatementsofCashFlo"/>
      <w:bookmarkEnd w:id="585"/>
      <w:r>
        <w:rPr>
          <w:rFonts w:ascii="Times New Roman;Times;serif" w:hAnsi="Times New Roman;Times;serif"/>
          <w:b/>
          <w:sz w:val="20"/>
        </w:rPr>
        <w:t>Consolidated Statements of Cash Flows</w:t>
      </w:r>
    </w:p>
    <w:p>
      <w:pPr>
        <w:pStyle w:val="TextBody"/>
        <w:bidi w:val="0"/>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586" w:name="Tc_rocXacCkv066KEbjsMCgIA_45_6"/>
      <w:bookmarkStart w:id="587" w:name="Tc_1QAQA14GFUClcq4gza3FqQ_45_5"/>
      <w:bookmarkStart w:id="588" w:name="Tc_8Z1IsRoU7kexmHUWQO8lkA_45_2"/>
      <w:bookmarkStart w:id="589" w:name="Tc_0glzCpb27E2aQmLULCIRkw_45_0"/>
      <w:bookmarkStart w:id="590" w:name="Tc_JJO9FiB0G0Wm5dj3FdSB4Q_44_5"/>
      <w:bookmarkStart w:id="591" w:name="Tc_KzW4JsXOzEW5eFYWfnwPSA_44_3"/>
      <w:bookmarkStart w:id="592" w:name="Tc_4bCWzyjxrE-9Fy6toCfsGw_44_2"/>
      <w:bookmarkStart w:id="593" w:name="Tc_HW3GPrwQP0KCALl7Vj4Bbg_44_0"/>
      <w:bookmarkStart w:id="594" w:name="Tc_nAWmilt79kqLNlncyB2b6w_43_6"/>
      <w:bookmarkStart w:id="595" w:name="Tc_5q-tduXv3EKyguAIQxEcog_43_5"/>
      <w:bookmarkStart w:id="596" w:name="Tc_KTtlmIC5CkWX-q50h_bscQ_43_2"/>
      <w:bookmarkStart w:id="597" w:name="Tc_X9C-vgdta06nQm860WkO5g_43_0"/>
      <w:bookmarkStart w:id="598" w:name="Tc_A_6iYuB-D0qu4aC8rRrdIQ_42_5"/>
      <w:bookmarkStart w:id="599" w:name="Tc_ZKzILW015UW1h0_n4IlN7w_42_3"/>
      <w:bookmarkStart w:id="600" w:name="Tc_apZafccCu0KGW_DmNeIVtA_42_2"/>
      <w:bookmarkStart w:id="601" w:name="Tc_4TToFKUkyUa0ndnOgyQbOg_42_0"/>
      <w:bookmarkStart w:id="602" w:name="Tc_54PNS3Nr9ECIriRjmGKKSA_41_6"/>
      <w:bookmarkStart w:id="603" w:name="Tc_NifGMoWE_EmTMhINU5ZqVg_41_5"/>
      <w:bookmarkStart w:id="604" w:name="Tc_Epbhrj0jwEi5GECwgbmPPg_41_2"/>
      <w:bookmarkStart w:id="605" w:name="Tc_qOKaNfppaUmR3qETCLGzdQ_41_0"/>
      <w:bookmarkStart w:id="606" w:name="Tc_59ja4mq7kUmHGbN3ZBemMQ_40_5"/>
      <w:bookmarkStart w:id="607" w:name="Tc_t8tEJ0Lz70SuT48s0WZhNw_40_3"/>
      <w:bookmarkStart w:id="608" w:name="Tc_A7XLpOnHZkakdh8V5JtaWA_40_2"/>
      <w:bookmarkStart w:id="609" w:name="Tc_xinn97EONUGH6nvJvlvQqg_40_0"/>
      <w:bookmarkStart w:id="610" w:name="Tc_D3jaHeXZXkq5uKigxsYy6w_39_0"/>
      <w:bookmarkStart w:id="611" w:name="Tc_Aa5Vy-VIQ0On__XZIAwRQQ_37_6"/>
      <w:bookmarkStart w:id="612" w:name="Tc_zfSWunkHR0y0TO3I3qwbcg_37_5"/>
      <w:bookmarkStart w:id="613" w:name="Tc_UVY6SNZAIkCtg13tGM6wZg_37_3"/>
      <w:bookmarkStart w:id="614" w:name="Tc_k4yDhPmZY0q9Qhkr8gFzxA_37_2"/>
      <w:bookmarkStart w:id="615" w:name="Tc_vj5qi8ZdZEqKEnk_lwoA2w_37_0"/>
      <w:bookmarkStart w:id="616" w:name="Tc_NG59-rAdaUK3IMEKw-X9jA_36_6"/>
      <w:bookmarkStart w:id="617" w:name="Tc_L_RVhGGH-Ei6oajGzrry0w_36_5"/>
      <w:bookmarkStart w:id="618" w:name="Tc_NpwAZcO99Eecx8LcT502og_36_3"/>
      <w:bookmarkStart w:id="619" w:name="Tc_YTc7sFTU0kidfeemNxs6HA_36_2"/>
      <w:bookmarkStart w:id="620" w:name="Tc_EMXi-OMkZEOu-YCfmgg9MA_36_0"/>
      <w:bookmarkStart w:id="621" w:name="Tc_NBNsm8rQ806vFdPR8xkKCQ_35_0"/>
      <w:bookmarkStart w:id="622" w:name="Tc_rKSlMqejWku13lKlUbZZgA_33_5"/>
      <w:bookmarkStart w:id="623" w:name="Tc_p_ApeyJc2UO1eAX_AF8HpA_33_2"/>
      <w:bookmarkStart w:id="624" w:name="Tc_5jaN-zNdwECnkXue0NY-cQ_33_0"/>
      <w:bookmarkStart w:id="625" w:name="Tc_mNshfDMN4EeZBubfeqT7kQ_32_0"/>
      <w:bookmarkStart w:id="626" w:name="Tc_KZbwhR8dS0OAKmicprXW_g_31_0"/>
      <w:bookmarkStart w:id="627" w:name="Tc_KfnfP1F9rUeFK-tX7XO7Ug_30_0"/>
      <w:bookmarkStart w:id="628" w:name="Tc_BeHvA5OVFUW344ngVtoStg_29_6"/>
      <w:bookmarkStart w:id="629" w:name="Tc_eMEEmPVfJUuD5LRtkgNdyg_29_0"/>
      <w:bookmarkStart w:id="630" w:name="Tc_hzAnt5B53E6gYjNJqHnM1w_28_0"/>
      <w:bookmarkStart w:id="631" w:name="Tc_tIm043a2IUmWCN08woMoVA_27_6"/>
      <w:bookmarkStart w:id="632" w:name="Tc_xglWG2IWnE-4Mk75UhVmUQ_27_0"/>
      <w:bookmarkStart w:id="633" w:name="Tc_uFXJkxkfukaHe6ZX6EBNmw_26_6"/>
      <w:bookmarkStart w:id="634" w:name="Tc_LUfd_UXmYUu_SDK6DjDmJA_26_0"/>
      <w:bookmarkStart w:id="635" w:name="Tc_r_iKX8GBikWnnLdcvzuuBg_25_3"/>
      <w:bookmarkStart w:id="636" w:name="Tc_Cx-LDbEslkOCZSz-B2J11g_25_0"/>
      <w:bookmarkStart w:id="637" w:name="Tc_4i4TxYLFKU2n8VqptwCDwQ_24_0"/>
      <w:bookmarkStart w:id="638" w:name="Tc_-oF6cut6k0qma3sOGQmB3A_23_3"/>
      <w:bookmarkStart w:id="639" w:name="Tc_1YSAekT0x0ChtFjHIfuDSQ_23_0"/>
      <w:bookmarkStart w:id="640" w:name="Tc_jhtUVwcZ10Cf1RQa2WxCPA_22_3"/>
      <w:bookmarkStart w:id="641" w:name="Tc_Htf0BTmhKkCrVFVDIKohtw_22_0"/>
      <w:bookmarkStart w:id="642" w:name="Tc_7UUWSnWIRUKXbDuBEmmpCQ_21_0"/>
      <w:bookmarkStart w:id="643" w:name="Tc_vpc4-LqgrUm0lvIibQCDfw_20_0"/>
      <w:bookmarkStart w:id="644" w:name="Tc_pkb8b5stCEib0FIkPY3wvg_19_3"/>
      <w:bookmarkStart w:id="645" w:name="Tc_hJtA0uVyuE2oKc3GkzvVVw_19_0"/>
      <w:bookmarkStart w:id="646" w:name="Tc_b5DCX0QkuEemivz7KR4aXg_18_0"/>
      <w:bookmarkStart w:id="647" w:name="Tc_bJrgVjqPEE-YH7FHWdjSgQ_17_0"/>
      <w:bookmarkStart w:id="648" w:name="Tc_rRgMHrWdpEqpp2L4yzawsA_16_0"/>
      <w:bookmarkStart w:id="649" w:name="Tc_ueffZotKbk6Sq20W8fK_Sw_15_0"/>
      <w:bookmarkStart w:id="650" w:name="Tc_962Mbkd0l06sViAMkgUsxQ_14_0"/>
      <w:bookmarkStart w:id="651" w:name="Tc_pejPMbx7OEiqPM4uoM_qxA_13_0"/>
      <w:bookmarkStart w:id="652" w:name="Tc_UmCB9EvrTk6pXA0UkXjHhQ_12_0"/>
      <w:bookmarkStart w:id="653" w:name="Tc_LZTEblGNTkWfXdwgGyTyaw_11_6"/>
      <w:bookmarkStart w:id="654" w:name="Tc_X5urhk7vMEaY5YJXOXCiXw_11_0"/>
      <w:bookmarkStart w:id="655" w:name="Tc_way_BqMH-EqKkiV6B-vOqA_10_6"/>
      <w:bookmarkStart w:id="656" w:name="Tc_SMuvFRf3aEW2SUoLyn1g1A_10_0"/>
      <w:bookmarkStart w:id="657" w:name="Tc_Ka8JKbzkZE-o75Fws4JI6g_9_0"/>
      <w:bookmarkStart w:id="658" w:name="Tc_nyb3KfDDWEWttydZIMFKnw_8_0"/>
      <w:bookmarkStart w:id="659" w:name="Tc_KV3vkaQHAkq7bNv1AAUf9g_7_3"/>
      <w:bookmarkStart w:id="660" w:name="Tc_UJX9ul1550WQoY7N_-QihQ_7_0"/>
      <w:bookmarkStart w:id="661" w:name="Tc_z58VVZLZc0qxyZvyLeIeAQ_6_0"/>
      <w:bookmarkStart w:id="662" w:name="Tc_u4K-26167kuD8BoSqmq2ZQ_5_0"/>
      <w:bookmarkStart w:id="663" w:name="Tc_RsQ7TJMEdUWtwN7UYQxdbg_4_5"/>
      <w:bookmarkStart w:id="664" w:name="Tc_iB5Vg0SWOU-bIRgCU8nvKg_4_2"/>
      <w:bookmarkStart w:id="665" w:name="Tc_Vzfoby5GnEOsBkbxUSzEYw_4_0"/>
      <w:bookmarkStart w:id="666" w:name="Tc_szZLo21xTkqJBRr9UWl7_w_3_0"/>
      <w:bookmarkStart w:id="667" w:name="Tc_VBsVk5mMAU6UAu1suYztPw_2_5"/>
      <w:bookmarkStart w:id="668" w:name="Tc_MMoksGfOiEStPnQBCRRy1A_2_2"/>
      <w:bookmarkStart w:id="669" w:name="Tc_OSAnGlD6-U2mpFmsT8zJpw_1_2"/>
      <w:bookmarkStart w:id="670" w:name="_b3aa5ec4_266d_46aa_86d6_b64dea72f7f8"/>
      <w:bookmarkStart w:id="671" w:name="Tc_rocXacCkv066KEbjsMCgIA_45_6"/>
      <w:bookmarkStart w:id="672" w:name="Tc_1QAQA14GFUClcq4gza3FqQ_45_5"/>
      <w:bookmarkStart w:id="673" w:name="Tc_8Z1IsRoU7kexmHUWQO8lkA_45_2"/>
      <w:bookmarkStart w:id="674" w:name="Tc_0glzCpb27E2aQmLULCIRkw_45_0"/>
      <w:bookmarkStart w:id="675" w:name="Tc_JJO9FiB0G0Wm5dj3FdSB4Q_44_5"/>
      <w:bookmarkStart w:id="676" w:name="Tc_KzW4JsXOzEW5eFYWfnwPSA_44_3"/>
      <w:bookmarkStart w:id="677" w:name="Tc_4bCWzyjxrE-9Fy6toCfsGw_44_2"/>
      <w:bookmarkStart w:id="678" w:name="Tc_HW3GPrwQP0KCALl7Vj4Bbg_44_0"/>
      <w:bookmarkStart w:id="679" w:name="Tc_nAWmilt79kqLNlncyB2b6w_43_6"/>
      <w:bookmarkStart w:id="680" w:name="Tc_5q-tduXv3EKyguAIQxEcog_43_5"/>
      <w:bookmarkStart w:id="681" w:name="Tc_KTtlmIC5CkWX-q50h_bscQ_43_2"/>
      <w:bookmarkStart w:id="682" w:name="Tc_X9C-vgdta06nQm860WkO5g_43_0"/>
      <w:bookmarkStart w:id="683" w:name="Tc_A_6iYuB-D0qu4aC8rRrdIQ_42_5"/>
      <w:bookmarkStart w:id="684" w:name="Tc_ZKzILW015UW1h0_n4IlN7w_42_3"/>
      <w:bookmarkStart w:id="685" w:name="Tc_apZafccCu0KGW_DmNeIVtA_42_2"/>
      <w:bookmarkStart w:id="686" w:name="Tc_4TToFKUkyUa0ndnOgyQbOg_42_0"/>
      <w:bookmarkStart w:id="687" w:name="Tc_54PNS3Nr9ECIriRjmGKKSA_41_6"/>
      <w:bookmarkStart w:id="688" w:name="Tc_NifGMoWE_EmTMhINU5ZqVg_41_5"/>
      <w:bookmarkStart w:id="689" w:name="Tc_Epbhrj0jwEi5GECwgbmPPg_41_2"/>
      <w:bookmarkStart w:id="690" w:name="Tc_qOKaNfppaUmR3qETCLGzdQ_41_0"/>
      <w:bookmarkStart w:id="691" w:name="Tc_59ja4mq7kUmHGbN3ZBemMQ_40_5"/>
      <w:bookmarkStart w:id="692" w:name="Tc_t8tEJ0Lz70SuT48s0WZhNw_40_3"/>
      <w:bookmarkStart w:id="693" w:name="Tc_A7XLpOnHZkakdh8V5JtaWA_40_2"/>
      <w:bookmarkStart w:id="694" w:name="Tc_xinn97EONUGH6nvJvlvQqg_40_0"/>
      <w:bookmarkStart w:id="695" w:name="Tc_D3jaHeXZXkq5uKigxsYy6w_39_0"/>
      <w:bookmarkStart w:id="696" w:name="Tc_Aa5Vy-VIQ0On__XZIAwRQQ_37_6"/>
      <w:bookmarkStart w:id="697" w:name="Tc_zfSWunkHR0y0TO3I3qwbcg_37_5"/>
      <w:bookmarkStart w:id="698" w:name="Tc_UVY6SNZAIkCtg13tGM6wZg_37_3"/>
      <w:bookmarkStart w:id="699" w:name="Tc_k4yDhPmZY0q9Qhkr8gFzxA_37_2"/>
      <w:bookmarkStart w:id="700" w:name="Tc_vj5qi8ZdZEqKEnk_lwoA2w_37_0"/>
      <w:bookmarkStart w:id="701" w:name="Tc_NG59-rAdaUK3IMEKw-X9jA_36_6"/>
      <w:bookmarkStart w:id="702" w:name="Tc_L_RVhGGH-Ei6oajGzrry0w_36_5"/>
      <w:bookmarkStart w:id="703" w:name="Tc_NpwAZcO99Eecx8LcT502og_36_3"/>
      <w:bookmarkStart w:id="704" w:name="Tc_YTc7sFTU0kidfeemNxs6HA_36_2"/>
      <w:bookmarkStart w:id="705" w:name="Tc_EMXi-OMkZEOu-YCfmgg9MA_36_0"/>
      <w:bookmarkStart w:id="706" w:name="Tc_NBNsm8rQ806vFdPR8xkKCQ_35_0"/>
      <w:bookmarkStart w:id="707" w:name="Tc_rKSlMqejWku13lKlUbZZgA_33_5"/>
      <w:bookmarkStart w:id="708" w:name="Tc_p_ApeyJc2UO1eAX_AF8HpA_33_2"/>
      <w:bookmarkStart w:id="709" w:name="Tc_5jaN-zNdwECnkXue0NY-cQ_33_0"/>
      <w:bookmarkStart w:id="710" w:name="Tc_mNshfDMN4EeZBubfeqT7kQ_32_0"/>
      <w:bookmarkStart w:id="711" w:name="Tc_KZbwhR8dS0OAKmicprXW_g_31_0"/>
      <w:bookmarkStart w:id="712" w:name="Tc_KfnfP1F9rUeFK-tX7XO7Ug_30_0"/>
      <w:bookmarkStart w:id="713" w:name="Tc_BeHvA5OVFUW344ngVtoStg_29_6"/>
      <w:bookmarkStart w:id="714" w:name="Tc_eMEEmPVfJUuD5LRtkgNdyg_29_0"/>
      <w:bookmarkStart w:id="715" w:name="Tc_hzAnt5B53E6gYjNJqHnM1w_28_0"/>
      <w:bookmarkStart w:id="716" w:name="Tc_tIm043a2IUmWCN08woMoVA_27_6"/>
      <w:bookmarkStart w:id="717" w:name="Tc_xglWG2IWnE-4Mk75UhVmUQ_27_0"/>
      <w:bookmarkStart w:id="718" w:name="Tc_uFXJkxkfukaHe6ZX6EBNmw_26_6"/>
      <w:bookmarkStart w:id="719" w:name="Tc_LUfd_UXmYUu_SDK6DjDmJA_26_0"/>
      <w:bookmarkStart w:id="720" w:name="Tc_r_iKX8GBikWnnLdcvzuuBg_25_3"/>
      <w:bookmarkStart w:id="721" w:name="Tc_Cx-LDbEslkOCZSz-B2J11g_25_0"/>
      <w:bookmarkStart w:id="722" w:name="Tc_4i4TxYLFKU2n8VqptwCDwQ_24_0"/>
      <w:bookmarkStart w:id="723" w:name="Tc_-oF6cut6k0qma3sOGQmB3A_23_3"/>
      <w:bookmarkStart w:id="724" w:name="Tc_1YSAekT0x0ChtFjHIfuDSQ_23_0"/>
      <w:bookmarkStart w:id="725" w:name="Tc_jhtUVwcZ10Cf1RQa2WxCPA_22_3"/>
      <w:bookmarkStart w:id="726" w:name="Tc_Htf0BTmhKkCrVFVDIKohtw_22_0"/>
      <w:bookmarkStart w:id="727" w:name="Tc_7UUWSnWIRUKXbDuBEmmpCQ_21_0"/>
      <w:bookmarkStart w:id="728" w:name="Tc_vpc4-LqgrUm0lvIibQCDfw_20_0"/>
      <w:bookmarkStart w:id="729" w:name="Tc_pkb8b5stCEib0FIkPY3wvg_19_3"/>
      <w:bookmarkStart w:id="730" w:name="Tc_hJtA0uVyuE2oKc3GkzvVVw_19_0"/>
      <w:bookmarkStart w:id="731" w:name="Tc_b5DCX0QkuEemivz7KR4aXg_18_0"/>
      <w:bookmarkStart w:id="732" w:name="Tc_bJrgVjqPEE-YH7FHWdjSgQ_17_0"/>
      <w:bookmarkStart w:id="733" w:name="Tc_rRgMHrWdpEqpp2L4yzawsA_16_0"/>
      <w:bookmarkStart w:id="734" w:name="Tc_ueffZotKbk6Sq20W8fK_Sw_15_0"/>
      <w:bookmarkStart w:id="735" w:name="Tc_962Mbkd0l06sViAMkgUsxQ_14_0"/>
      <w:bookmarkStart w:id="736" w:name="Tc_pejPMbx7OEiqPM4uoM_qxA_13_0"/>
      <w:bookmarkStart w:id="737" w:name="Tc_UmCB9EvrTk6pXA0UkXjHhQ_12_0"/>
      <w:bookmarkStart w:id="738" w:name="Tc_LZTEblGNTkWfXdwgGyTyaw_11_6"/>
      <w:bookmarkStart w:id="739" w:name="Tc_X5urhk7vMEaY5YJXOXCiXw_11_0"/>
      <w:bookmarkStart w:id="740" w:name="Tc_way_BqMH-EqKkiV6B-vOqA_10_6"/>
      <w:bookmarkStart w:id="741" w:name="Tc_SMuvFRf3aEW2SUoLyn1g1A_10_0"/>
      <w:bookmarkStart w:id="742" w:name="Tc_Ka8JKbzkZE-o75Fws4JI6g_9_0"/>
      <w:bookmarkStart w:id="743" w:name="Tc_nyb3KfDDWEWttydZIMFKnw_8_0"/>
      <w:bookmarkStart w:id="744" w:name="Tc_KV3vkaQHAkq7bNv1AAUf9g_7_3"/>
      <w:bookmarkStart w:id="745" w:name="Tc_UJX9ul1550WQoY7N_-QihQ_7_0"/>
      <w:bookmarkStart w:id="746" w:name="Tc_z58VVZLZc0qxyZvyLeIeAQ_6_0"/>
      <w:bookmarkStart w:id="747" w:name="Tc_u4K-26167kuD8BoSqmq2ZQ_5_0"/>
      <w:bookmarkStart w:id="748" w:name="Tc_RsQ7TJMEdUWtwN7UYQxdbg_4_5"/>
      <w:bookmarkStart w:id="749" w:name="Tc_iB5Vg0SWOU-bIRgCU8nvKg_4_2"/>
      <w:bookmarkStart w:id="750" w:name="Tc_Vzfoby5GnEOsBkbxUSzEYw_4_0"/>
      <w:bookmarkStart w:id="751" w:name="Tc_szZLo21xTkqJBRr9UWl7_w_3_0"/>
      <w:bookmarkStart w:id="752" w:name="Tc_VBsVk5mMAU6UAu1suYztPw_2_5"/>
      <w:bookmarkStart w:id="753" w:name="Tc_MMoksGfOiEStPnQBCRRy1A_2_2"/>
      <w:bookmarkStart w:id="754" w:name="Tc_OSAnGlD6-U2mpFmsT8zJpw_1_2"/>
      <w:bookmarkStart w:id="755" w:name="_b3aa5ec4_266d_46aa_86d6_b64dea72f7f8"/>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tbl>
      <w:tblPr>
        <w:tblW w:w="10205" w:type="dxa"/>
        <w:jc w:val="left"/>
        <w:tblInd w:w="0" w:type="dxa"/>
        <w:tblLayout w:type="fixed"/>
        <w:tblCellMar>
          <w:top w:w="0" w:type="dxa"/>
          <w:left w:w="0" w:type="dxa"/>
          <w:bottom w:w="0" w:type="dxa"/>
          <w:right w:w="0" w:type="dxa"/>
        </w:tblCellMar>
      </w:tblPr>
      <w:tblGrid>
        <w:gridCol w:w="7270"/>
        <w:gridCol w:w="346"/>
        <w:gridCol w:w="226"/>
        <w:gridCol w:w="841"/>
        <w:gridCol w:w="400"/>
        <w:gridCol w:w="226"/>
        <w:gridCol w:w="896"/>
      </w:tblGrid>
      <w:tr>
        <w:trPr/>
        <w:tc>
          <w:tcPr>
            <w:tcW w:w="7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616450" cy="175260"/>
                      <wp:effectExtent l="0" t="0" r="0" b="0"/>
                      <wp:wrapNone/>
                      <wp:docPr id="76" name="Frame75"/>
                      <a:graphic xmlns:a="http://schemas.openxmlformats.org/drawingml/2006/main">
                        <a:graphicData uri="http://schemas.microsoft.com/office/word/2010/wordprocessingShape">
                          <wps:wsp>
                            <wps:cNvSpPr txBox="1"/>
                            <wps:spPr>
                              <a:xfrm>
                                <a:off x="0" y="0"/>
                                <a:ext cx="4616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3510" cy="175260"/>
                      <wp:effectExtent l="0" t="0" r="0" b="0"/>
                      <wp:wrapNone/>
                      <wp:docPr id="78" name="Frame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34035" cy="175260"/>
                      <wp:effectExtent l="0" t="0" r="0" b="0"/>
                      <wp:wrapNone/>
                      <wp:docPr id="79" name="Frame7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54000" cy="175260"/>
                      <wp:effectExtent l="0" t="0" r="0" b="0"/>
                      <wp:wrapNone/>
                      <wp:docPr id="80" name="Frame7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3510" cy="175260"/>
                      <wp:effectExtent l="0" t="0" r="0" b="0"/>
                      <wp:wrapNone/>
                      <wp:docPr id="81" name="Frame8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8960" cy="175260"/>
                      <wp:effectExtent l="0" t="0" r="0" b="0"/>
                      <wp:wrapNone/>
                      <wp:docPr id="82" name="Frame8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72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0" w:type="dxa"/>
            <w:tcBorders/>
            <w:vAlign w:val="center"/>
          </w:tcPr>
          <w:p>
            <w:pPr>
              <w:pStyle w:val="TableContents"/>
              <w:bidi w:val="0"/>
              <w:spacing w:before="0" w:after="1"/>
              <w:ind w:left="0" w:right="0" w:hanging="0"/>
              <w:jc w:val="center"/>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before redeemable noncontrolling interest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(68,650)</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(52,403)</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before redeemable noncontrolling interest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expense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12,332 </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16,798 </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private placement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xml:space="preserve">— </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5,240 </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49 </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 </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exchange transaction gain</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extinguishment of BAFFX17 liability</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non-cash items, net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(657)</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(1,209)</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(814)</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and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(2,163)</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4,214 </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(64,815)</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(28,076)</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fixed assets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research and development license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(5,075)</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Ordinary Shares in connection with April 2024 Private Placement, net of $7.2 million of transaction costs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 xml:space="preserve">— </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55,223 </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Pre-Funded Warrants in connection with April 2024 Private Placement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xml:space="preserve">— </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50,030 </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Class A Ordinary Shares in connection with a sale under the ATM, net of $0.2 million of commissions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5,093 </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5,534 </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ATM transaction costs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xml:space="preserve">— </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(626)</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upon exercise of Pre-Funded Warrants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 </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 xml:space="preserve">— </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107 </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 xml:space="preserve">— </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stock units withheld to pay employee withholding taxes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Consideration paid for Athanor Agreement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(7,325)</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provided by financing activities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(2,163)</w:t>
            </w:r>
          </w:p>
        </w:tc>
        <w:tc>
          <w:tcPr>
            <w:tcW w:w="400"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109,843 </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(67,091)</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76,692 </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176,498 </w:t>
            </w:r>
          </w:p>
        </w:tc>
        <w:tc>
          <w:tcPr>
            <w:tcW w:w="400"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99,806 </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ending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109,407</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176,498</w:t>
            </w:r>
          </w:p>
        </w:tc>
      </w:tr>
      <w:tr>
        <w:trPr/>
        <w:tc>
          <w:tcPr>
            <w:tcW w:w="72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left"/>
              <w:rPr/>
            </w:pPr>
            <w:r>
              <w:rPr/>
              <w:t>​</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left"/>
              <w:rPr/>
            </w:pPr>
            <w:r>
              <w:rPr/>
              <w:t>​</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taxes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vAlign w:val="center"/>
          </w:tcPr>
          <w:p>
            <w:pPr>
              <w:pStyle w:val="TableContents"/>
              <w:bidi w:val="0"/>
              <w:spacing w:before="0" w:after="1"/>
              <w:ind w:left="0" w:right="0" w:hanging="0"/>
              <w:jc w:val="right"/>
              <w:rPr/>
            </w:pPr>
            <w:r>
              <w:rPr/>
              <w:t>—</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72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left"/>
              <w:rPr/>
            </w:pPr>
            <w:r>
              <w:rPr/>
              <w:t>​</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left"/>
              <w:rPr/>
            </w:pPr>
            <w:r>
              <w:rPr/>
              <w:t>​</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in exchange for private placement warrants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6,230</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in conjunction with Athanor agreement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46,318</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Adjustments to redeemable noncontrolling interest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7,017</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redeemable noncontrolling interest to redemption value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4,868</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7270"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 included in 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727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Extinguishment of noncontrolling interest and redeemable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18,072</w:t>
            </w:r>
          </w:p>
        </w:tc>
        <w:tc>
          <w:tcPr>
            <w:tcW w:w="4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6"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0" w:after="180"/>
        <w:ind w:left="0" w:right="0" w:firstLine="36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56" w:name="_fea10986_52ea_4c01_b2f6_b158bcadc089"/>
      <w:bookmarkEnd w:id="756"/>
      <w:r>
        <w:rPr>
          <w:rFonts w:ascii="Times New Roman;Times;serif" w:hAnsi="Times New Roman;Times;serif"/>
          <w:b/>
          <w:sz w:val="20"/>
        </w:rPr>
        <w:t>Zura Bio Limited</w:t>
      </w:r>
    </w:p>
    <w:p>
      <w:pPr>
        <w:pStyle w:val="TextBody"/>
        <w:bidi w:val="0"/>
        <w:spacing w:before="0" w:after="240"/>
        <w:ind w:left="0" w:right="0" w:hanging="0"/>
        <w:jc w:val="center"/>
        <w:rPr>
          <w:rFonts w:ascii="Times New Roman;Times;serif" w:hAnsi="Times New Roman;Times;serif"/>
          <w:b/>
          <w:sz w:val="20"/>
        </w:rPr>
      </w:pPr>
      <w:bookmarkStart w:id="757" w:name="NotestoUnauditedCondensedConsolidatedFin"/>
      <w:bookmarkEnd w:id="757"/>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(Tabular amounts in thousands, except share and per share data)</w:t>
      </w:r>
    </w:p>
    <w:tbl>
      <w:tblPr>
        <w:tblW w:w="3917" w:type="dxa"/>
        <w:jc w:val="left"/>
        <w:tblInd w:w="0" w:type="dxa"/>
        <w:tblLayout w:type="fixed"/>
        <w:tblCellMar>
          <w:top w:w="0" w:type="dxa"/>
          <w:left w:w="0" w:type="dxa"/>
          <w:bottom w:w="0" w:type="dxa"/>
          <w:right w:w="0" w:type="dxa"/>
        </w:tblCellMar>
      </w:tblPr>
      <w:tblGrid>
        <w:gridCol w:w="271"/>
        <w:gridCol w:w="364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36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Description of Business</w:t>
            </w:r>
          </w:p>
        </w:tc>
      </w:tr>
    </w:tbl>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Zura Bio Limited, a Cayman Islands exempted company, formerly known as JATT Acquisition Corp (“JATT”), together with its subsidiaries (collectively, the “Company”, “Zura” or “Zura Bio”), is a clinical-stage biotechnology company developing novel and differentiated medicines for patients with autoimmune and inflammatory diseases, including serious and debilitating conditions with significant unmet medical need. These diseases are often chronic, biologically complex and difficult to treat, and many patients do not achieve durable disease control with currently available therapies. The Company’s strategic focus is to identify immune-mediated diseases in which translational and clinical evidence supports the role of specific biological pathways in disease pathogenesis. The Company is currently developing one clinical-stage product candidate in ongoing Phase 2 trials while evaluating development opportunities for its pipeline of clinical-stage assets, focusing on indications with unmet needs and commercial potential.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Combination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March 20, 2023 (the “Closing Date”), the Company consummated a series of transactions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and Legacy Zura, pursuant to which JATT changed its name to “Zura Bio Limited”.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March 20, 2023, the Company’s Class A ordinary shares (“Class A Ordinary Shares”) began trading on the Nasdaq under the symbol “ZURA”.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Emerging Growth Company Status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incurred operating losses since inception and expects to continue to incur significant operating losses for the foreseeable future and may never become profitable. The Company has an accumulated deficit of $224.5 million and $155.9 million as of December 31, 2025 and 2024, respectively, and a net loss of $68.7 million and $52.4 million for the years ended December 31, 2025 and 2024, respectively. The Company’s existing sources of liquidity as of December 31, 2025 include $109.4 million in 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Business Combination, the Company historically funded operations primarily with issuances of convertible preferred shares and a promissory note. Upon the closing of the Business Combination, the Company received $56.7 million in net cash proceeds. Additionally, the Company has received $10.0 million, $105.3 million and $75.8 million, respectively, in net cash proceeds in connection with the ATM (as defined herein), April 2024 Private Placement (as defined herein) and April 2023 Private Placement (as defined herein). The Company’s cash requirements include, but are not limited to, clinical development, product manufacturing costs and working capital requirements. The Company expects such operating losses and negative cash flows from operations will continue but has sufficient liquidity to fund its operations over the next twelve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157" w:type="dxa"/>
        <w:jc w:val="left"/>
        <w:tblInd w:w="0" w:type="dxa"/>
        <w:tblLayout w:type="fixed"/>
        <w:tblCellMar>
          <w:top w:w="0" w:type="dxa"/>
          <w:left w:w="0" w:type="dxa"/>
          <w:bottom w:w="0" w:type="dxa"/>
          <w:right w:w="0" w:type="dxa"/>
        </w:tblCellMar>
      </w:tblPr>
      <w:tblGrid>
        <w:gridCol w:w="271"/>
        <w:gridCol w:w="388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88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Summary of Significant Accounting</w:t>
            </w:r>
            <w:r>
              <w:rPr>
                <w:caps w:val="false"/>
                <w:smallCaps w:val="false"/>
              </w:rPr>
              <w:t xml:space="preserve"> </w:t>
            </w:r>
            <w:r>
              <w:rPr>
                <w:rFonts w:ascii="Times New Roman;Times;serif" w:hAnsi="Times New Roman;Times;serif"/>
                <w:b/>
                <w:i w:val="false"/>
                <w:caps w:val="false"/>
                <w:smallCaps w:val="false"/>
                <w:sz w:val="20"/>
              </w:rPr>
              <w:t>Policies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consolidated financial statements (the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 LLC (“ZB17”), are shown in the consolidated financial statements as redeemable noncontrolling interest and noncontrolling interest, respectively. All intercompany balances and transactions have been eliminated in consolidation.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the Company’s management to make estimates and assumptions that affect the reported amounts of assets and liabilities and disclosure of contingent assets and liabilities at the date of the consolidated financial statements, as well as the reported amounts of expenses during the reporting period. Actual results could differ from those estimates. Significant estimates and assumptions reflected in the consolidated financial statements relate to and include, but are not limited to, accrued research and development expenses, the fair value of share-based compensation, the fair value of redeemable noncontrolling interest, and the valuation allowance of deferred tax assets resulting from net operating losses.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future product candidates will require approvals from the United States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CODM is the Chief Executive Officer. The Company and the CODM views its operations and manages its business in one operating segment, developing novel medicines for immune and inflammatory disorders. The Company has business activities in different regions that are managed on a consolidated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58" w:name="Tc_faTXgmy2gk6LH--DVaAufw_15_5"/>
      <w:bookmarkStart w:id="759" w:name="Tc_f5jeRN-bGEmYmy-j_rMlxQ_15_2"/>
      <w:bookmarkStart w:id="760" w:name="Tc_FnG-YiVfv0Gos0174PQ9jA_15_0"/>
      <w:bookmarkStart w:id="761" w:name="Tc_BEdbwu1wkE2_bBZq87qUqA_14_0"/>
      <w:bookmarkStart w:id="762" w:name="Tc_ycKCCcBSSEuZlyIZkD5tCw_13_0"/>
      <w:bookmarkStart w:id="763" w:name="Tc_oS0v_CcXEUm-lS-As4XDQA_12_0"/>
      <w:bookmarkStart w:id="764" w:name="Tc_X1pKzZSKFEKsdM69_8BUdg_11_0"/>
      <w:bookmarkStart w:id="765" w:name="Tc_QTgRS1iPe0ajkWsqIIJBNA_10_0"/>
      <w:bookmarkStart w:id="766" w:name="Tc_Ao33Ss6vnEmINdeOW3akEw_9_0"/>
      <w:bookmarkStart w:id="767" w:name="Tc_S6cOe-Myg0OnSlrTmkWcPg_8_0"/>
      <w:bookmarkStart w:id="768" w:name="Tc_Tpqeyvz-fEak6nASuBt-fw_7_0"/>
      <w:bookmarkStart w:id="769" w:name="Tc_QcjH0eos4UWAZp-mSCBovA_6_0"/>
      <w:bookmarkStart w:id="770" w:name="Tc_UNi9VPhwpUqhIIPUjgiyHg_5_0"/>
      <w:bookmarkStart w:id="771" w:name="Tc_Vd32j1EFHUmRF7MmJcVKzg_4_5"/>
      <w:bookmarkStart w:id="772" w:name="Tc_pxPbOIfEPUuIiGemWn3-uA_4_2"/>
      <w:bookmarkStart w:id="773" w:name="Tc_vgTuHXIhUESgbOC3mW4Y4g_4_0"/>
      <w:bookmarkStart w:id="774" w:name="Tc_5UyTls_JW0KxEeeRKxZW8A_3_0"/>
      <w:bookmarkStart w:id="775" w:name="Tc_ytsBrvR-kUeTWpA-j23wZQ_2_5"/>
      <w:bookmarkStart w:id="776" w:name="Tc_Q8vLgJUKvU6VOWqHvbQ5FQ_2_2"/>
      <w:bookmarkStart w:id="777" w:name="Tc_wovYPMp5sU-wJWjqp8zzgw_1_2"/>
      <w:bookmarkStart w:id="778" w:name="_d1eb281c_773f_4802_91eb_131d9622408a"/>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rFonts w:ascii="Times New Roman;Times;serif" w:hAnsi="Times New Roman;Times;serif"/>
          <w:sz w:val="20"/>
        </w:rPr>
        <w:t>The accounting policies of the Company’s segment are the same as those described within this footnote. The CODM uses net loss, that is reported in the consolidated statements of operations to assess performance for the Company’s segment and decide how to allocate resources. The measure of segment assets is reported on the consolidated balance sheet as total consolidated assets. The following tables represent information provided to the chief operating decision maker:</w:t>
      </w:r>
    </w:p>
    <w:p>
      <w:pPr>
        <w:pStyle w:val="TextBody"/>
        <w:bidi w:val="0"/>
        <w:spacing w:before="0" w:after="0"/>
        <w:ind w:left="0" w:right="0" w:hanging="0"/>
        <w:jc w:val="both"/>
        <w:rPr/>
      </w:pPr>
      <w:r>
        <w:rPr/>
        <w:t>​</w:t>
      </w:r>
    </w:p>
    <w:tbl>
      <w:tblPr>
        <w:tblW w:w="7762" w:type="dxa"/>
        <w:jc w:val="left"/>
        <w:tblInd w:w="0" w:type="dxa"/>
        <w:tblLayout w:type="fixed"/>
        <w:tblCellMar>
          <w:top w:w="0" w:type="dxa"/>
          <w:left w:w="0" w:type="dxa"/>
          <w:bottom w:w="0" w:type="dxa"/>
          <w:right w:w="0" w:type="dxa"/>
        </w:tblCellMar>
      </w:tblPr>
      <w:tblGrid>
        <w:gridCol w:w="5176"/>
        <w:gridCol w:w="346"/>
        <w:gridCol w:w="211"/>
        <w:gridCol w:w="691"/>
        <w:gridCol w:w="346"/>
        <w:gridCol w:w="211"/>
        <w:gridCol w:w="781"/>
      </w:tblGrid>
      <w:tr>
        <w:trPr/>
        <w:tc>
          <w:tcPr>
            <w:tcW w:w="5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286760" cy="175260"/>
                      <wp:effectExtent l="0" t="0" r="0" b="0"/>
                      <wp:wrapNone/>
                      <wp:docPr id="83" name="Frame82"/>
                      <a:graphic xmlns:a="http://schemas.openxmlformats.org/drawingml/2006/main">
                        <a:graphicData uri="http://schemas.microsoft.com/office/word/2010/wordprocessingShape">
                          <wps:wsp>
                            <wps:cNvSpPr txBox="1"/>
                            <wps:spPr>
                              <a:xfrm>
                                <a:off x="0" y="0"/>
                                <a:ext cx="328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38785" cy="175260"/>
                      <wp:effectExtent l="0" t="0" r="0" b="0"/>
                      <wp:wrapNone/>
                      <wp:docPr id="86" name="Frame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Wages and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Tibulizumab SSc Program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Tibulizumab HS Program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Tibulizumab Combined (SSc and HS) Programs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12,875</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product candidates (crebankitug and torudokimab)</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Wages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6,395</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9,810</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16,798</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(2,777)</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52,403</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segment items include Depreciation and amortization, Interest income, Change in fair value of private placement warrants, and Other income (net).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all highly liquid investments with an original maturity of three months or less at the date of purchase to be cash equivalents. The Company had $106.3 million and $170.7 million in cash equivalents as of December 31, 2025 and 2024,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Property and Equipment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are stated at cost less accumulated depreciation. Depreciation expense is recognized using the straight-line method over the estimated useful life of each asset. Computer and office equipment are depreciated over three years. Expenditures for repairs and maintenance are recorded to expense as incurred.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(“R&amp;D”) expenses consist of all direct and indirect operating expenses supporting the processes and manufacturing in development, including consulting fees for clinical and manufacturing advisory services, contract research organization (“CRO”) costs, costs related to manufacturing material for preclinical studies, payroll and benefits, which includes share-based compensation for research and development employees, licensing fees, and data and study acquisition costs. Expenses are recognized as an expense as the related goods are delivered or the services are performed.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expenses include the cost of in-process research and development (“IPR&amp;D”) assets purchased in an asset acquisition transaction. IPR&amp;D assets are expensed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R&amp;D Incentive Credits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eligible to obtain certain R&amp;D incentive credits (the “R&amp;D Credits”), through participation in the United Kingdom’s (“U.K.”) R&amp;D Small and Medium Enterprise (“SME”) and the Research and Development Expenditure Credit (“RDEC”) tax relief programs.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R&amp;D Credits are calculated as a percentage of qualifying R&amp;D expenses incurred as part of research projects. The R&amp;D Credits are used as tax credits for the Company with the resulting amount being payable in cash by the U.K. government (tax authority) to the Company. The R&amp;D Credits are subject to future audits by the U.K. tax authority within defined periods.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the incentive credits are administered through the local tax authority, the Company has accounted for the incentives outside of the scope of FASB Accounting Standards Codification (“ASC”) Topic 740, Income Taxes, since the incentives are not linked to the Company’s taxable income and can be realized regardless of whether the Company has generated taxable income in the respective jurisdictions. The Company accounts for these incentive credits as a government grant which analogizes with International Accounting Standards 20 (“IAS 20”), Accounting for Government Grants and Disclosure of Government Assistance.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IAS 20, the Company will recognize the R&amp;D Credits when it has reasonable assurance that the R&amp;D Credits will be received. As the Company has only filed two claims under the tax relief programs as of December 31, 2025, it has determined that reasonable assurance will be met upon cash receipt. For the year ended December 31, 2025, the Company recorded $0.3 million in other income, net in the consolidated statement of operations for R&amp;D Credits received in May 2025. In April 2025, the Company filed an additional claim for an R&amp;D Credit for $1.0 million that was not received as of December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all share-based payments to employees and non-employees, including grants of share options, share options with non-market performance conditions (“PSOs”), share options with market-based performance conditions, restricted share units (“RSUs”), and restricted share awards (“RSAs”) based on their respective grant date fair values. RSUs, RSAs and share options that vest immediately and have a nominal exercise price are valued based on the fair value of the Company’s Class A Ordinary Shares on the date of grant. The Company estimates the fair value of share option grants using the Black-Scholes option-pricing model. The assumptions used in calculating the fair value of share-based awards represent management’s best estimates and involve inherent uncertainties and the application of management’s judgment. These assumptions include:</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—Due to our limited operating history and a lack of company-specific historical and implied volatility data, we have based our estimate of expected volatility on the historical volatility of a publicly traded set of peer companies. The historical volatility data was computed using the daily closing prices for the selected companies’ shares during the equivalent period of the calculated expected term of the share-based awards. We will continue to apply this process until a sufficient amount of historical information regarding the volatility of our own share price becomes available.</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—The expected term represents the period that the share-based awards are expected to be outstanding. We have opted to use the “simplified method” for estimating the expected term of options, whereby the expected term equals the arithmetic average of the vesting term and the original contractual term of the option, which is generally between 5 to 10 years.</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—The risk-free rate assumption is based on the United States Treasury yield in effect at the time of the grant with maturities consistent with the expected term of our options.</w:t>
      </w:r>
    </w:p>
    <w:p>
      <w:pPr>
        <w:pStyle w:val="TextBody"/>
        <w:bidi w:val="0"/>
        <w:spacing w:before="0" w:after="240"/>
        <w:ind w:left="720" w:right="0" w:firstLine="360"/>
        <w:jc w:val="both"/>
        <w:rPr>
          <w:rFonts w:ascii="Times New Roman;Times;serif" w:hAnsi="Times New Roman;Times;serif"/>
          <w:sz w:val="20"/>
        </w:rPr>
      </w:pPr>
      <w:r>
        <w:rPr>
          <w:rFonts w:ascii="Times New Roman;Times;serif" w:hAnsi="Times New Roman;Times;serif"/>
          <w:i/>
          <w:sz w:val="20"/>
        </w:rPr>
        <w:t>Dividend Yield</w:t>
      </w:r>
      <w:r>
        <w:rPr>
          <w:rFonts w:ascii="Times New Roman;Times;serif" w:hAnsi="Times New Roman;Times;serif"/>
          <w:sz w:val="20"/>
        </w:rPr>
        <w:t>—We have never paid dividends on our ordinary shares and have no plans to pay dividends on our ordinary shares. Therefore, we used an expected dividend yield of zero.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share-based compensation related to share options with only service conditions over the requisite service period on a straight-line basis. The Company records share-based compensation expense for the PSOs when the Company’s management deems it probable that the performance conditions will be satisfied. The Company estimates the fair value of share option grants with market-based performance conditions using a Monte-Carlo simulation model. For share option grants with market-based performance conditions, the Company recognizes share-based compensation expense as the requisite service is rendered by the employee, regardless of when, if ever, the market-based performance conditions are satisfied. The share-based compensation costs are recorded in research and development and general and administrative expenses in the consolidated statements of operations based upon the respective employee’s or non-employee’s role within the Company. Forfeitures are recorded as they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are recorded in accordance with ASC 740, Income Taxes. ASC 740 requires a company to use the asset and liability method of accounting for income taxes,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not be realized. Deferred tax assets and liabilities are adjusted for the effect of changes in tax laws and rates on the date of enactment.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ASC 740,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Company does not have any material uncertain tax positions for any of the reporting periods presented. The Company recognizes accrued interest and penalties related to unrecognized tax benefits as part of income tax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4, 2025, President Trump signed H.R. 1, the annual reconciliation bill commonly referred to as the “One Big Beautiful Bill Act” (“OBBBA”) into law. The OBBBA makes permanent many of the provisions previously enacted as part of the 2017 Tax Cut and Jobs Act that were set to expire at the end of 2025 and includes other changes to certain U.S. corporate tax provisions including (i) the restoration of immediate expensing for domestic research and development expenditures, (ii) the reinstatement of 100% bonus depreciation for qualified property and (iii) favorably modifying the section 163(j) interest limitation (similar to EBITDA). FASB Topic 740, “Income Taxes”, requires the tax effects of changes in tax laws or rates be recognized in the period in which the law is enacted. The enactment of the OBBBA did not have a material impact on our effective tax rate as of December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Business Combination, the Company assumed JATT’s public warrant and private placement warrant liabilities. As a result of the recapitalization, the settlement provisions of the Public Warrants (as defined herein) no longer preclude equity classification and the Public Warrants were reclassified to equity following the Business Combination. The Public Warrants and Private Placement Warrants (as defined herein) were exchanged for Class A Ordinary Shares during the year ended December 31, 2024 (the “Warrant Exchange”). See Note 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each of the April 2024 Private Placement and April 2023 Private Placement (each as defined herein), the Company issued pre-funded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Classification of the Public Warrants and Pre-Funded Warrants (as defined herein) as equity instruments and the Private Placement Warrants as liability instruments is based on management’s analysis of the guidance in ASC 815, </w:t>
      </w:r>
      <w:r>
        <w:rPr>
          <w:rFonts w:ascii="Times New Roman;Times;serif" w:hAnsi="Times New Roman;Times;serif"/>
          <w:i/>
          <w:sz w:val="20"/>
        </w:rPr>
        <w:t>Derivatives and Hedging</w:t>
      </w:r>
      <w:r>
        <w:rPr>
          <w:rFonts w:ascii="Times New Roman;Times;serif" w:hAnsi="Times New Roman;Times;serif"/>
          <w:sz w:val="20"/>
        </w:rPr>
        <w:t>. The Company measured the private placement warrant liability at fair value each reporting period and at settlement value, based on the fair value of the Class A Ordinary Shares exchanged, upon the Warrant Exchange, with the change in fair value recorded as other (expense) income in the consolidated statements of operations. Upon completion of the Warrant Exchange, the warrant liability was extinguished and the Class A Ordinary Shares were recorded at fair value in shareholders’ equity. The Company measured the Public Warrants at the fair value of the equity instruments as of the Closing Date of the Business Combination. The Company measured the Pre-Funded Warrants at the fair value of the equity instruments as of the date of the April 2023 Private Placement, the April 2024 Private Placement, the Share Exchange, or the 2025 Share Exchange (as defined herein), as applicable. See Note 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Noncontrolling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April 2023, ZB17, a consolidated subsidiary of the Company, issued a share-based payment award to a third party in connection with 2023 Lilly License representing a noncontrolling interest. A noncontrolling interest in a subsidiary is considered an ownership interest in a majority-owned subsidiary that is not attributable to the parent. The Company includes noncontrolling interest as a component of total shareholders’ equity in the Company’s consolidated balance sheets. The option to acquire ZB17 ownership interests does not provide the option-holder with rights to participate in the profits and losses of the subsidiary prior to the exercise of the option. Following the Athanor Agreement, the noncontrolling interest in the Company’s consolidated balance sheet was extinguished as of December 31, 2025. See Note 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779" w:name="Tc_IxDz6vdDAEmyU43YAXrxig_7_0"/>
      <w:bookmarkStart w:id="780" w:name="Tc_p9Qs9kwcM0SM3xXqzi8rkg_6_0"/>
      <w:bookmarkStart w:id="781" w:name="Tc_i021w3bf0kmVa-GJfvPw2Q_5_0"/>
      <w:bookmarkStart w:id="782" w:name="Tc_E4CM1-UiOEuMHna1HrWSgQ_4_2"/>
      <w:bookmarkStart w:id="783" w:name="Tc_SUKdnhhJQUa2aOYQOhI58A_4_0"/>
      <w:bookmarkStart w:id="784" w:name="Tc_kh4W2LA6ikWcnYn77adiIg_3_0"/>
      <w:bookmarkStart w:id="785" w:name="Tc_Yt9BdxX2Qki0GyeuFB8XdQ_2_4"/>
      <w:bookmarkStart w:id="786" w:name="Tc_kIBKynoo5EyPWr91Pp0aMg_2_2"/>
      <w:bookmarkStart w:id="787" w:name="Tc_UlV78ef3F0y1l2eSNdkwdQ_1_2"/>
      <w:bookmarkEnd w:id="779"/>
      <w:bookmarkEnd w:id="780"/>
      <w:bookmarkEnd w:id="781"/>
      <w:bookmarkEnd w:id="782"/>
      <w:bookmarkEnd w:id="783"/>
      <w:bookmarkEnd w:id="784"/>
      <w:bookmarkEnd w:id="785"/>
      <w:bookmarkEnd w:id="786"/>
      <w:bookmarkEnd w:id="787"/>
      <w:r>
        <w:rPr>
          <w:rFonts w:ascii="Times New Roman;Times;serif" w:hAnsi="Times New Roman;Times;serif"/>
          <w:b/>
          <w:i/>
          <w:sz w:val="20"/>
        </w:rPr>
        <w:t>Redeemable Noncontrolling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2022, Z33, a consolidated subsidiary of the Company, issued 4,900,222 shares of its series seed preferred shares (the “Z33 Series Seed Preferred Shares”) to Stone Peach representing a redeemable noncontrolling interest. The Z33 Series Seed Preferred Shares issued to Stone Peach contained put features and were considered redeemable until the exercise or the expiration of the put features. The redeemable noncontrolling interests were classified outside of permanent equity in the consolidated balance sheets. The redeemable noncontrolling interest was measured at the end of each reporting period as the higher of (1) its initial carrying amount, increased or decreased for the noncontrolling interest’s share of Z33’s net income or loss, or (2) the redemption price, with any changes included in accretion of noncontrolling interest to redemption value in the consolidated statements of operations. Following the Athanor Agreement, the redeemable noncontrolling interest in the Company’s consolidated balance sheet was extinguished as of December 31, 2025. See Notes 5 and 10.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computed by dividing net loss attributable to Class A Ordinary Shareholders by the weighted-average number of both Class A Ordinary Shares and Pre-Funded Warrants outstanding during the period. As the Company has a net loss, basic and diluted net loss per share was the same for each period presented as the inclusion of all potentially dilutive securities outstanding would have been anti-dilutive.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periods presented, potentially dilutive securities not included in the calculation of diluted net loss per share, because to do so would be anti-dilutive, were as follows:</w:t>
      </w:r>
    </w:p>
    <w:p>
      <w:pPr>
        <w:pStyle w:val="TextBody"/>
        <w:bidi w:val="0"/>
        <w:spacing w:before="0" w:after="0"/>
        <w:ind w:left="0" w:right="0" w:hanging="0"/>
        <w:jc w:val="left"/>
        <w:rPr/>
      </w:pPr>
      <w:r>
        <w:rPr/>
        <w:t>​</w:t>
      </w:r>
    </w:p>
    <w:tbl>
      <w:tblPr>
        <w:tblW w:w="9230" w:type="dxa"/>
        <w:jc w:val="left"/>
        <w:tblInd w:w="0" w:type="dxa"/>
        <w:tblLayout w:type="fixed"/>
        <w:tblCellMar>
          <w:top w:w="0" w:type="dxa"/>
          <w:left w:w="0" w:type="dxa"/>
          <w:bottom w:w="0" w:type="dxa"/>
          <w:right w:w="0" w:type="dxa"/>
        </w:tblCellMar>
      </w:tblPr>
      <w:tblGrid>
        <w:gridCol w:w="6361"/>
        <w:gridCol w:w="346"/>
        <w:gridCol w:w="1036"/>
        <w:gridCol w:w="346"/>
        <w:gridCol w:w="1141"/>
      </w:tblGrid>
      <w:tr>
        <w:trPr/>
        <w:tc>
          <w:tcPr>
            <w:tcW w:w="6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039235" cy="175260"/>
                      <wp:effectExtent l="0" t="0" r="0" b="0"/>
                      <wp:wrapNone/>
                      <wp:docPr id="90" name="Frame89"/>
                      <a:graphic xmlns:a="http://schemas.openxmlformats.org/drawingml/2006/main">
                        <a:graphicData uri="http://schemas.microsoft.com/office/word/2010/wordprocessingShape">
                          <wps:wsp>
                            <wps:cNvSpPr txBox="1"/>
                            <wps:spPr>
                              <a:xfrm>
                                <a:off x="0" y="0"/>
                                <a:ext cx="403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57860" cy="175260"/>
                      <wp:effectExtent l="0" t="0" r="0" b="0"/>
                      <wp:wrapNone/>
                      <wp:docPr id="92" name="Frame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24535" cy="175260"/>
                      <wp:effectExtent l="0" t="0" r="0" b="0"/>
                      <wp:wrapNone/>
                      <wp:docPr id="94" name="Frame9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options to purchase Class A Ordinary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14,110,191</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10,175,633</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Z33 Series Seed Preferred Shares Put Right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vesting of restricted share units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573,282</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859,923</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awards</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249,997</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374,995</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14,933,470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13,410,551</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FASB issued ASU 2023-09, Income Taxes (Topic 740): </w:t>
      </w:r>
      <w:r>
        <w:rPr>
          <w:rFonts w:ascii="Times New Roman;Times;serif" w:hAnsi="Times New Roman;Times;serif"/>
          <w:i/>
          <w:sz w:val="20"/>
        </w:rPr>
        <w:t>Improvements to Income Tax Disclosures</w:t>
      </w:r>
      <w:r>
        <w:rPr>
          <w:rFonts w:ascii="Times New Roman;Times;serif" w:hAnsi="Times New Roman;Times;serif"/>
          <w:sz w:val="20"/>
        </w:rPr>
        <w:t xml:space="preserve"> (“ASU 2023-09”), ASU 2023-09 to enhance the transparency and decision usefulness of income tax disclosures. The amendments in the ASU address investor requests for enhanced income tax information primarily through changes to the rate reconciliation and income taxes paid information. We adopted this standard on a retrospective basis for our 2025 annual reporting. Refer to Note 8, Income Taxes for the disclosures required by this guidance.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xml:space="preserve"> (“ASU 2024-03”). This ASU requires disclosure, in the notes to financial statements, of the nature of certain expenses included in the income statement. ASU 2024-03 will be effective for annual reporting periods beginning after December 15, 2026, and interim reporting periods beginning after December 15, 2027. Early adoption is permitted. The Company is currently evaluating the impact of ASU 2024-03 and expects to adopt it for the year ending December 31, 2027.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2025, the FASB issued </w:t>
      </w:r>
      <w:r>
        <w:rPr>
          <w:rFonts w:ascii="Times New Roman;Times;serif" w:hAnsi="Times New Roman;Times;serif"/>
          <w:i/>
          <w:sz w:val="20"/>
        </w:rPr>
        <w:t>ASU 2025-10</w:t>
      </w:r>
      <w:r>
        <w:rPr>
          <w:rFonts w:ascii="Times New Roman;Times;serif" w:hAnsi="Times New Roman;Times;serif"/>
          <w:sz w:val="20"/>
        </w:rPr>
        <w:t xml:space="preserve">, </w:t>
      </w:r>
      <w:r>
        <w:rPr>
          <w:rFonts w:ascii="Times New Roman;Times;serif" w:hAnsi="Times New Roman;Times;serif"/>
          <w:i/>
          <w:sz w:val="20"/>
        </w:rPr>
        <w:t>Government Grants (Topic 832): Accounting for Government Grants Received by Business Entities</w:t>
      </w:r>
      <w:r>
        <w:rPr>
          <w:rFonts w:ascii="Times New Roman;Times;serif" w:hAnsi="Times New Roman;Times;serif"/>
          <w:sz w:val="20"/>
        </w:rPr>
        <w:t xml:space="preserve">, which establishes guidance on the recognition, measurement, and presentation of government grants received by business entities. The amendments in </w:t>
      </w:r>
      <w:r>
        <w:rPr>
          <w:rFonts w:ascii="Times New Roman;Times;serif" w:hAnsi="Times New Roman;Times;serif"/>
          <w:i/>
          <w:sz w:val="20"/>
        </w:rPr>
        <w:t>ASU 2025-10</w:t>
      </w:r>
      <w:r>
        <w:rPr>
          <w:rFonts w:ascii="Times New Roman;Times;serif" w:hAnsi="Times New Roman;Times;serif"/>
          <w:sz w:val="20"/>
        </w:rPr>
        <w:t xml:space="preserve"> are effective for annual reporting periods beginning after December 15, 2028, and interim reporting periods within those annual reporting periods, with early adoption permitted. The guidance can be applied under a modified prospective approach, a modified retrospective approach, or a full retrospective approach. The Company is currently assessing the impact of the adoption of this guidance on its consolidated financial statements and disclosures.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88" w:name="Tc_KrxRmb5210yOrBZ3b6kqwQ_7_3"/>
      <w:bookmarkStart w:id="789" w:name="Tc_lpm0LMipNU28Ll_QRjwitA_7_2"/>
      <w:bookmarkStart w:id="790" w:name="Tc_1sB5S1ngEU2tvwiobwNogA_7_0"/>
      <w:bookmarkStart w:id="791" w:name="Tc_GkienyVQMEyZC4mD54XbGw_6_0"/>
      <w:bookmarkStart w:id="792" w:name="Tc_2CdyW9IQP0Sy7AaF0GTWEA_4_3"/>
      <w:bookmarkStart w:id="793" w:name="Tc_8gWZqfQl10uy9wyf8Y8aSg_4_0"/>
      <w:bookmarkStart w:id="794" w:name="Tc_rcdCJ9UWmk639fCEhe0nGg_3_2"/>
      <w:bookmarkStart w:id="795" w:name="Tc_dYr5JHgayUWrPsztRRr43w_3_0"/>
      <w:bookmarkStart w:id="796" w:name="Tc_uwfbDjM2KEqOVlS-vP7Xzg_2_2"/>
      <w:bookmarkStart w:id="797" w:name="Tc_oA7cvtNUOE6CxQTqqHSrsw_1_2"/>
      <w:bookmarkStart w:id="798" w:name="_afc04556_0680_42a5_8c3d_7813943baa04_3"/>
      <w:bookmarkStart w:id="799" w:name="_afc04556_0680_42a5_8c3d_7813943baa04_2"/>
      <w:bookmarkStart w:id="800" w:name="_afc04556_0680_42a5_8c3d_7813943baa04"/>
      <w:bookmarkStart w:id="801" w:name="_5bd520bf_84ad_471a_a05b_ad53e7c93b04_3"/>
      <w:bookmarkStart w:id="802" w:name="_5bd520bf_84ad_471a_a05b_ad53e7c93b04_2"/>
      <w:bookmarkStart w:id="803" w:name="_5bd520bf_84ad_471a_a05b_ad53e7c93b04"/>
      <w:bookmarkStart w:id="804" w:name="Tc_FhboUALL_UGxsjAwnSJPGg_4_11"/>
      <w:bookmarkStart w:id="805" w:name="Tc_pklAQoARY0CsX4vsM8wvCQ_4_9"/>
      <w:bookmarkStart w:id="806" w:name="Tc_Mc2h0dNGr0uGM_KqBUdQeA_4_8"/>
      <w:bookmarkStart w:id="807" w:name="Tc_xwIW_tteEkqk8iAlSXWdkA_4_6"/>
      <w:bookmarkStart w:id="808" w:name="Tc__0KC0r-mFUy2983YmomKwg_4_5"/>
      <w:bookmarkStart w:id="809" w:name="Tc_tYQgTTAmaU6DafjF2lMz6w_4_2"/>
      <w:bookmarkStart w:id="810" w:name="Tc_jBoK05oNWEezZHFHSLv3cw_4_0"/>
      <w:bookmarkStart w:id="811" w:name="Tc_r7YlVn6FAEasu3gr2nluuA_3_0"/>
      <w:bookmarkStart w:id="812" w:name="Tc_yw2secctCkeV1hlX1yB77A_2_11"/>
      <w:bookmarkStart w:id="813" w:name="Tc_YgEigp3jgk6HVYjt8f9uPQ_2_8"/>
      <w:bookmarkStart w:id="814" w:name="Tc_z-E3NHLD4EiQZ8P22fvCGA_2_5"/>
      <w:bookmarkStart w:id="815" w:name="Tc_OlVXb8MyLEiqv09ynmM-mw_2_2"/>
      <w:bookmarkStart w:id="816" w:name="Tc_amDaxENCv025czkU7IQ0-w_1_2"/>
      <w:bookmarkStart w:id="817" w:name="_8e2a5c87_dd31_4a26_9a05_eb484ac5fda3"/>
      <w:bookmarkStart w:id="818" w:name="Tc_CwmTE6YYPkymIV31rHTDJA_4_11"/>
      <w:bookmarkStart w:id="819" w:name="Tc_BeXNfhzQF0-jU_XF5_D7Zg_4_9"/>
      <w:bookmarkStart w:id="820" w:name="Tc_a_SpAweQ4Uax7IQinbFA2w_4_8"/>
      <w:bookmarkStart w:id="821" w:name="Tc__aEE5sIgbU-K2vEd0aZE8Q_4_6"/>
      <w:bookmarkStart w:id="822" w:name="Tc_BQfQGc0tnkeJS6kCl0GzFA_4_5"/>
      <w:bookmarkStart w:id="823" w:name="Tc_QvT7yu6HX0WUvK8Sgt3k-Q_4_2"/>
      <w:bookmarkStart w:id="824" w:name="Tc_9ceDfk2CCEuE3D7RUzszaQ_4_0"/>
      <w:bookmarkStart w:id="825" w:name="Tc_ds2jj9PynE-O3tbPjkzzzw_3_0"/>
      <w:bookmarkStart w:id="826" w:name="Tc_2g2YivCX30qoJrKJAcEeow_2_11"/>
      <w:bookmarkStart w:id="827" w:name="Tc_UWwbyFc850yEfwENJn2bsw_2_8"/>
      <w:bookmarkStart w:id="828" w:name="Tc_ukbKb4Q2bUGO8vSCN5A85w_2_5"/>
      <w:bookmarkStart w:id="829" w:name="Tc_PfVaSXmWr0Oa9sYA5vG6aQ_2_2"/>
      <w:bookmarkStart w:id="830" w:name="Tc_SZEgUCiQP0-6nSJ-pSUTrQ_1_2"/>
      <w:bookmarkStart w:id="831" w:name="_3f4efb83_6008_4743_ade8_d87f7c7daf97"/>
      <w:bookmarkStart w:id="832" w:name="Tc_KrxRmb5210yOrBZ3b6kqwQ_7_3"/>
      <w:bookmarkStart w:id="833" w:name="Tc_lpm0LMipNU28Ll_QRjwitA_7_2"/>
      <w:bookmarkStart w:id="834" w:name="Tc_1sB5S1ngEU2tvwiobwNogA_7_0"/>
      <w:bookmarkStart w:id="835" w:name="Tc_GkienyVQMEyZC4mD54XbGw_6_0"/>
      <w:bookmarkStart w:id="836" w:name="Tc_2CdyW9IQP0Sy7AaF0GTWEA_4_3"/>
      <w:bookmarkStart w:id="837" w:name="Tc_8gWZqfQl10uy9wyf8Y8aSg_4_0"/>
      <w:bookmarkStart w:id="838" w:name="Tc_rcdCJ9UWmk639fCEhe0nGg_3_2"/>
      <w:bookmarkStart w:id="839" w:name="Tc_dYr5JHgayUWrPsztRRr43w_3_0"/>
      <w:bookmarkStart w:id="840" w:name="Tc_uwfbDjM2KEqOVlS-vP7Xzg_2_2"/>
      <w:bookmarkStart w:id="841" w:name="Tc_oA7cvtNUOE6CxQTqqHSrsw_1_2"/>
      <w:bookmarkStart w:id="842" w:name="_afc04556_0680_42a5_8c3d_7813943baa04_3"/>
      <w:bookmarkStart w:id="843" w:name="_afc04556_0680_42a5_8c3d_7813943baa04_2"/>
      <w:bookmarkStart w:id="844" w:name="_afc04556_0680_42a5_8c3d_7813943baa04"/>
      <w:bookmarkStart w:id="845" w:name="_5bd520bf_84ad_471a_a05b_ad53e7c93b04_3"/>
      <w:bookmarkStart w:id="846" w:name="_5bd520bf_84ad_471a_a05b_ad53e7c93b04_2"/>
      <w:bookmarkStart w:id="847" w:name="_5bd520bf_84ad_471a_a05b_ad53e7c93b04"/>
      <w:bookmarkStart w:id="848" w:name="Tc_FhboUALL_UGxsjAwnSJPGg_4_11"/>
      <w:bookmarkStart w:id="849" w:name="Tc_pklAQoARY0CsX4vsM8wvCQ_4_9"/>
      <w:bookmarkStart w:id="850" w:name="Tc_Mc2h0dNGr0uGM_KqBUdQeA_4_8"/>
      <w:bookmarkStart w:id="851" w:name="Tc_xwIW_tteEkqk8iAlSXWdkA_4_6"/>
      <w:bookmarkStart w:id="852" w:name="Tc__0KC0r-mFUy2983YmomKwg_4_5"/>
      <w:bookmarkStart w:id="853" w:name="Tc_tYQgTTAmaU6DafjF2lMz6w_4_2"/>
      <w:bookmarkStart w:id="854" w:name="Tc_jBoK05oNWEezZHFHSLv3cw_4_0"/>
      <w:bookmarkStart w:id="855" w:name="Tc_r7YlVn6FAEasu3gr2nluuA_3_0"/>
      <w:bookmarkStart w:id="856" w:name="Tc_yw2secctCkeV1hlX1yB77A_2_11"/>
      <w:bookmarkStart w:id="857" w:name="Tc_YgEigp3jgk6HVYjt8f9uPQ_2_8"/>
      <w:bookmarkStart w:id="858" w:name="Tc_z-E3NHLD4EiQZ8P22fvCGA_2_5"/>
      <w:bookmarkStart w:id="859" w:name="Tc_OlVXb8MyLEiqv09ynmM-mw_2_2"/>
      <w:bookmarkStart w:id="860" w:name="Tc_amDaxENCv025czkU7IQ0-w_1_2"/>
      <w:bookmarkStart w:id="861" w:name="_8e2a5c87_dd31_4a26_9a05_eb484ac5fda3"/>
      <w:bookmarkStart w:id="862" w:name="Tc_CwmTE6YYPkymIV31rHTDJA_4_11"/>
      <w:bookmarkStart w:id="863" w:name="Tc_BeXNfhzQF0-jU_XF5_D7Zg_4_9"/>
      <w:bookmarkStart w:id="864" w:name="Tc_a_SpAweQ4Uax7IQinbFA2w_4_8"/>
      <w:bookmarkStart w:id="865" w:name="Tc__aEE5sIgbU-K2vEd0aZE8Q_4_6"/>
      <w:bookmarkStart w:id="866" w:name="Tc_BQfQGc0tnkeJS6kCl0GzFA_4_5"/>
      <w:bookmarkStart w:id="867" w:name="Tc_QvT7yu6HX0WUvK8Sgt3k-Q_4_2"/>
      <w:bookmarkStart w:id="868" w:name="Tc_9ceDfk2CCEuE3D7RUzszaQ_4_0"/>
      <w:bookmarkStart w:id="869" w:name="Tc_ds2jj9PynE-O3tbPjkzzzw_3_0"/>
      <w:bookmarkStart w:id="870" w:name="Tc_2g2YivCX30qoJrKJAcEeow_2_11"/>
      <w:bookmarkStart w:id="871" w:name="Tc_UWwbyFc850yEfwENJn2bsw_2_8"/>
      <w:bookmarkStart w:id="872" w:name="Tc_ukbKb4Q2bUGO8vSCN5A85w_2_5"/>
      <w:bookmarkStart w:id="873" w:name="Tc_PfVaSXmWr0Oa9sYA5vG6aQ_2_2"/>
      <w:bookmarkStart w:id="874" w:name="Tc_SZEgUCiQP0-6nSJ-pSUTrQ_1_2"/>
      <w:bookmarkStart w:id="875" w:name="_3f4efb83_6008_4743_ade8_d87f7c7daf97"/>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tbl>
      <w:tblPr>
        <w:tblW w:w="2612" w:type="dxa"/>
        <w:jc w:val="left"/>
        <w:tblInd w:w="0" w:type="dxa"/>
        <w:tblLayout w:type="fixed"/>
        <w:tblCellMar>
          <w:top w:w="0" w:type="dxa"/>
          <w:left w:w="0" w:type="dxa"/>
          <w:bottom w:w="0" w:type="dxa"/>
          <w:right w:w="0" w:type="dxa"/>
        </w:tblCellMar>
      </w:tblPr>
      <w:tblGrid>
        <w:gridCol w:w="271"/>
        <w:gridCol w:w="234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34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xml:space="preserve"> Inputs are unadjusted, quoted prices in active markets for identical assets or liabilities at the measurement date;</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xml:space="preserve">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xml:space="preserve"> Unobservable inputs that are significant to the measurement of the fair value of the assets or liabilities that are supported by little or no market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consist of cash and cash equivalents, prepaid and other current assets, and accounts payable and accrued expenses. The carrying values of the Company’s cash, prepaid and other current assets, and accounts payable and accrued expenses approximate their fair value due to the short-term maturity of these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about the Company’s financial assets and liabilities measured at fair value on a recurring basis as of December 31, 2025 and 2024, and the fair value hierarchy of the valuation techniques utilized:</w:t>
      </w:r>
    </w:p>
    <w:p>
      <w:pPr>
        <w:pStyle w:val="TextBody"/>
        <w:bidi w:val="0"/>
        <w:spacing w:before="0" w:after="0"/>
        <w:ind w:left="0" w:right="0" w:hanging="0"/>
        <w:jc w:val="left"/>
        <w:rPr/>
      </w:pPr>
      <w:r>
        <w:rPr/>
        <w:t>​</w:t>
      </w:r>
    </w:p>
    <w:tbl>
      <w:tblPr>
        <w:tblW w:w="6251" w:type="dxa"/>
        <w:jc w:val="left"/>
        <w:tblInd w:w="0" w:type="dxa"/>
        <w:tblLayout w:type="fixed"/>
        <w:tblCellMar>
          <w:top w:w="0" w:type="dxa"/>
          <w:left w:w="0" w:type="dxa"/>
          <w:bottom w:w="0" w:type="dxa"/>
          <w:right w:w="0" w:type="dxa"/>
        </w:tblCellMar>
      </w:tblPr>
      <w:tblGrid>
        <w:gridCol w:w="1516"/>
        <w:gridCol w:w="346"/>
        <w:gridCol w:w="211"/>
        <w:gridCol w:w="781"/>
        <w:gridCol w:w="346"/>
        <w:gridCol w:w="239"/>
        <w:gridCol w:w="392"/>
        <w:gridCol w:w="346"/>
        <w:gridCol w:w="239"/>
        <w:gridCol w:w="392"/>
        <w:gridCol w:w="346"/>
        <w:gridCol w:w="211"/>
        <w:gridCol w:w="88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62660" cy="175260"/>
                      <wp:effectExtent l="0" t="0" r="0" b="0"/>
                      <wp:wrapNone/>
                      <wp:docPr id="95" name="Frame9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1765" cy="175260"/>
                      <wp:effectExtent l="0" t="0" r="0" b="0"/>
                      <wp:wrapNone/>
                      <wp:docPr id="100" name="Frame9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8920" cy="175260"/>
                      <wp:effectExtent l="0" t="0" r="0" b="0"/>
                      <wp:wrapNone/>
                      <wp:docPr id="101" name="Frame10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51765" cy="175260"/>
                      <wp:effectExtent l="0" t="0" r="0" b="0"/>
                      <wp:wrapNone/>
                      <wp:docPr id="103" name="Frame10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8920" cy="175260"/>
                      <wp:effectExtent l="0" t="0" r="0" b="0"/>
                      <wp:wrapNone/>
                      <wp:docPr id="104" name="Frame10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62610" cy="175260"/>
                      <wp:effectExtent l="0" t="0" r="0" b="0"/>
                      <wp:wrapNone/>
                      <wp:docPr id="107" name="Frame10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38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106,310</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106,310</w:t>
            </w:r>
          </w:p>
        </w:tc>
      </w:tr>
    </w:tbl>
    <w:p>
      <w:pPr>
        <w:pStyle w:val="TextBody"/>
        <w:bidi w:val="0"/>
        <w:spacing w:before="0" w:after="240"/>
        <w:ind w:left="0" w:right="0" w:hanging="0"/>
        <w:jc w:val="both"/>
        <w:rPr/>
      </w:pPr>
      <w:r>
        <w:rPr/>
        <w:t>​</w:t>
      </w:r>
    </w:p>
    <w:tbl>
      <w:tblPr>
        <w:tblW w:w="6251" w:type="dxa"/>
        <w:jc w:val="left"/>
        <w:tblInd w:w="0" w:type="dxa"/>
        <w:tblLayout w:type="fixed"/>
        <w:tblCellMar>
          <w:top w:w="0" w:type="dxa"/>
          <w:left w:w="0" w:type="dxa"/>
          <w:bottom w:w="0" w:type="dxa"/>
          <w:right w:w="0" w:type="dxa"/>
        </w:tblCellMar>
      </w:tblPr>
      <w:tblGrid>
        <w:gridCol w:w="1516"/>
        <w:gridCol w:w="346"/>
        <w:gridCol w:w="211"/>
        <w:gridCol w:w="781"/>
        <w:gridCol w:w="346"/>
        <w:gridCol w:w="239"/>
        <w:gridCol w:w="392"/>
        <w:gridCol w:w="346"/>
        <w:gridCol w:w="239"/>
        <w:gridCol w:w="392"/>
        <w:gridCol w:w="346"/>
        <w:gridCol w:w="211"/>
        <w:gridCol w:w="88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962660" cy="175260"/>
                      <wp:effectExtent l="0" t="0" r="0" b="0"/>
                      <wp:wrapNone/>
                      <wp:docPr id="108" name="Frame10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11"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1765" cy="175260"/>
                      <wp:effectExtent l="0" t="0" r="0" b="0"/>
                      <wp:wrapNone/>
                      <wp:docPr id="113" name="Frame11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48920" cy="175260"/>
                      <wp:effectExtent l="0" t="0" r="0" b="0"/>
                      <wp:wrapNone/>
                      <wp:docPr id="114" name="Frame11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1765" cy="175260"/>
                      <wp:effectExtent l="0" t="0" r="0" b="0"/>
                      <wp:wrapNone/>
                      <wp:docPr id="116" name="Frame11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8920" cy="175260"/>
                      <wp:effectExtent l="0" t="0" r="0" b="0"/>
                      <wp:wrapNone/>
                      <wp:docPr id="117" name="Frame11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62610" cy="175260"/>
                      <wp:effectExtent l="0" t="0" r="0" b="0"/>
                      <wp:wrapNone/>
                      <wp:docPr id="120" name="Frame11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8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170,743</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170,743</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were no transfers into or out of Level 1, Level 2, or Level 3 during the year ended December 31, 2025 and 2024.</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August 2024, pursuant to the Warrant Exchange, the Company exchanged all of the outstanding private placement warrants to purchase 6,899,996 Class A Ordinary Shares (the “Private Placement Warrants”) for Class A Ordinary Shares. The Private Placement Warrants were originally assumed in connection with the Business Combination in 2023. See Note 6. The Private Placement Warrants were measured at fair value on a recurring basis. Because the transfer of Private Placement Warrants to non-permitted transferees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 Upon completion of the Warrant Exchange, the Private Placement Warrants were remeasured to settlement value which was determined based on the fair value of the Class A Ordinary Shares issued in exchange for the Private Placement Warrants. The following table provides a summary of changes in the estimated fair value of the Private Placement Warrants:</w:t>
      </w:r>
    </w:p>
    <w:p>
      <w:pPr>
        <w:pStyle w:val="TextBody"/>
        <w:bidi w:val="0"/>
        <w:spacing w:before="0" w:after="0"/>
        <w:ind w:left="0" w:right="0" w:hanging="0"/>
        <w:jc w:val="left"/>
        <w:rPr/>
      </w:pPr>
      <w:r>
        <w:rPr/>
        <w:t>​</w:t>
      </w:r>
    </w:p>
    <w:tbl>
      <w:tblPr>
        <w:tblW w:w="8642" w:type="dxa"/>
        <w:jc w:val="left"/>
        <w:tblInd w:w="0" w:type="dxa"/>
        <w:tblLayout w:type="fixed"/>
        <w:tblCellMar>
          <w:top w:w="0" w:type="dxa"/>
          <w:left w:w="0" w:type="dxa"/>
          <w:bottom w:w="0" w:type="dxa"/>
          <w:right w:w="0" w:type="dxa"/>
        </w:tblCellMar>
      </w:tblPr>
      <w:tblGrid>
        <w:gridCol w:w="5626"/>
        <w:gridCol w:w="346"/>
        <w:gridCol w:w="633"/>
        <w:gridCol w:w="2037"/>
      </w:tblGrid>
      <w:tr>
        <w:trPr/>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572510" cy="175260"/>
                      <wp:effectExtent l="0" t="0" r="0" b="0"/>
                      <wp:wrapNone/>
                      <wp:docPr id="121" name="Frame120"/>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01955" cy="175260"/>
                      <wp:effectExtent l="0" t="0" r="0" b="0"/>
                      <wp:wrapNone/>
                      <wp:docPr id="123" name="Frame122"/>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93495" cy="175260"/>
                      <wp:effectExtent l="0" t="0" r="0" b="0"/>
                      <wp:wrapNone/>
                      <wp:docPr id="124" name="Frame123"/>
                      <a:graphic xmlns:a="http://schemas.openxmlformats.org/drawingml/2006/main">
                        <a:graphicData uri="http://schemas.microsoft.com/office/word/2010/wordprocessingShape">
                          <wps:wsp>
                            <wps:cNvSpPr txBox="1"/>
                            <wps:spPr>
                              <a:xfrm>
                                <a:off x="0" y="0"/>
                                <a:ext cx="1293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6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56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Assumption of private placement warrants</w:t>
            </w:r>
          </w:p>
        </w:tc>
        <w:tc>
          <w:tcPr>
            <w:tcW w:w="346"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left"/>
              <w:rPr/>
            </w:pPr>
            <w:r>
              <w:rPr/>
              <w:t> </w:t>
            </w:r>
          </w:p>
        </w:tc>
        <w:tc>
          <w:tcPr>
            <w:tcW w:w="2037" w:type="dxa"/>
            <w:tcBorders/>
            <w:vAlign w:val="center"/>
          </w:tcPr>
          <w:p>
            <w:pPr>
              <w:pStyle w:val="TableContents"/>
              <w:bidi w:val="0"/>
              <w:spacing w:before="0" w:after="0"/>
              <w:ind w:left="0" w:right="0" w:hanging="0"/>
              <w:jc w:val="right"/>
              <w:rPr/>
            </w:pPr>
            <w:r>
              <w:rPr/>
              <w:t>—</w:t>
            </w:r>
          </w:p>
        </w:tc>
      </w:tr>
      <w:tr>
        <w:trPr/>
        <w:tc>
          <w:tcPr>
            <w:tcW w:w="5626"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left"/>
              <w:rPr/>
            </w:pPr>
            <w:r>
              <w:rPr/>
              <w:t> </w:t>
            </w:r>
          </w:p>
        </w:tc>
        <w:tc>
          <w:tcPr>
            <w:tcW w:w="2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w:t>
            </w:r>
          </w:p>
        </w:tc>
      </w:tr>
      <w:tr>
        <w:trPr/>
        <w:tc>
          <w:tcPr>
            <w:tcW w:w="56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of private placement warrants for Class A Ordinary Shares</w:t>
            </w:r>
          </w:p>
        </w:tc>
        <w:tc>
          <w:tcPr>
            <w:tcW w:w="346" w:type="dxa"/>
            <w:tcBorders/>
            <w:vAlign w:val="center"/>
          </w:tcPr>
          <w:p>
            <w:pPr>
              <w:pStyle w:val="TableContents"/>
              <w:bidi w:val="0"/>
              <w:spacing w:before="0" w:after="0"/>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w:t>
            </w:r>
          </w:p>
        </w:tc>
      </w:tr>
      <w:tr>
        <w:trPr/>
        <w:tc>
          <w:tcPr>
            <w:tcW w:w="56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6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Private Placement Warrants outstanding as of December 31, 2025 and December 31, 2024. For the year ended December 31, 2024, the Company recorded a loss of $5.2 million, from the change in fair value of the Private Placement Warrants in change in fair value of private placement warrants in the consolidated statements of operations.</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876" w:name="Tc_n19p2gLIHESvw-7h_pJ2xw_9_5"/>
      <w:bookmarkStart w:id="877" w:name="Tc_tk0cZGrCp0C47K6L4mhhkQ_9_2"/>
      <w:bookmarkStart w:id="878" w:name="Tc__KZaAuBsx0G7AflroiBMWg_9_0"/>
      <w:bookmarkStart w:id="879" w:name="Tc_ApVT2W6S5E2JIcDkYX2A3Q_8_0"/>
      <w:bookmarkStart w:id="880" w:name="Tc_ttHGisSgGUaaj2tWR86p9Q_7_0"/>
      <w:bookmarkStart w:id="881" w:name="Tc_ZJwo3v_1k0aLnMerB3VECA_6_0"/>
      <w:bookmarkStart w:id="882" w:name="Tc_1VCFfLLTAk-PPDhN3GnFAg_5_0"/>
      <w:bookmarkStart w:id="883" w:name="Tc_LqRkiLmt7k6O1RRrlqI0nA_4_3"/>
      <w:bookmarkStart w:id="884" w:name="Tc_o8NeAwdD8UaTbQdeALuatg_4_0"/>
      <w:bookmarkStart w:id="885" w:name="Tc_PP3HeLHyVkeJ_6tMo5vhyQ_3_5"/>
      <w:bookmarkStart w:id="886" w:name="Tc_uBtNILXffEq3nWNUnOgxuQ_3_2"/>
      <w:bookmarkStart w:id="887" w:name="Tc_GUaMSmHuREG82GHB6zgQWQ_3_0"/>
      <w:bookmarkStart w:id="888" w:name="Tc_G-hhLYLX70qs4IOl67BXSw_2_5"/>
      <w:bookmarkStart w:id="889" w:name="Tc_yZCR1_Nth02iDTeW-7XNxg_2_2"/>
      <w:bookmarkStart w:id="890" w:name="Tc_2C3IrG7a9EqXAO87NWqXgg_1_2"/>
      <w:bookmarkStart w:id="891" w:name="Tc_n19p2gLIHESvw-7h_pJ2xw_9_5"/>
      <w:bookmarkStart w:id="892" w:name="Tc_tk0cZGrCp0C47K6L4mhhkQ_9_2"/>
      <w:bookmarkStart w:id="893" w:name="Tc__KZaAuBsx0G7AflroiBMWg_9_0"/>
      <w:bookmarkStart w:id="894" w:name="Tc_ApVT2W6S5E2JIcDkYX2A3Q_8_0"/>
      <w:bookmarkStart w:id="895" w:name="Tc_ttHGisSgGUaaj2tWR86p9Q_7_0"/>
      <w:bookmarkStart w:id="896" w:name="Tc_ZJwo3v_1k0aLnMerB3VECA_6_0"/>
      <w:bookmarkStart w:id="897" w:name="Tc_1VCFfLLTAk-PPDhN3GnFAg_5_0"/>
      <w:bookmarkStart w:id="898" w:name="Tc_LqRkiLmt7k6O1RRrlqI0nA_4_3"/>
      <w:bookmarkStart w:id="899" w:name="Tc_o8NeAwdD8UaTbQdeALuatg_4_0"/>
      <w:bookmarkStart w:id="900" w:name="Tc_PP3HeLHyVkeJ_6tMo5vhyQ_3_5"/>
      <w:bookmarkStart w:id="901" w:name="Tc_uBtNILXffEq3nWNUnOgxuQ_3_2"/>
      <w:bookmarkStart w:id="902" w:name="Tc_GUaMSmHuREG82GHB6zgQWQ_3_0"/>
      <w:bookmarkStart w:id="903" w:name="Tc_G-hhLYLX70qs4IOl67BXSw_2_5"/>
      <w:bookmarkStart w:id="904" w:name="Tc_yZCR1_Nth02iDTeW-7XNxg_2_2"/>
      <w:bookmarkStart w:id="905" w:name="Tc_2C3IrG7a9EqXAO87NWqXgg_1_2"/>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p>
    <w:tbl>
      <w:tblPr>
        <w:tblW w:w="3872" w:type="dxa"/>
        <w:jc w:val="left"/>
        <w:tblInd w:w="0" w:type="dxa"/>
        <w:tblLayout w:type="fixed"/>
        <w:tblCellMar>
          <w:top w:w="0" w:type="dxa"/>
          <w:left w:w="0" w:type="dxa"/>
          <w:bottom w:w="0" w:type="dxa"/>
          <w:right w:w="0" w:type="dxa"/>
        </w:tblCellMar>
      </w:tblPr>
      <w:tblGrid>
        <w:gridCol w:w="271"/>
        <w:gridCol w:w="360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360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Accounts Payable</w:t>
            </w:r>
            <w:r>
              <w:rPr>
                <w:caps w:val="false"/>
                <w:smallCaps w:val="false"/>
              </w:rPr>
              <w:t xml:space="preserve"> </w:t>
            </w:r>
            <w:r>
              <w:rPr>
                <w:rFonts w:ascii="Times New Roman;Times;serif" w:hAnsi="Times New Roman;Times;serif"/>
                <w:b/>
                <w:i w:val="false"/>
                <w:caps w:val="false"/>
                <w:smallCaps w:val="false"/>
                <w:sz w:val="20"/>
              </w:rPr>
              <w:t>and Accrued Expenses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payable and accrued expenses are composed of the following as of December 31, 2025 and 2024:</w:t>
      </w:r>
    </w:p>
    <w:p>
      <w:pPr>
        <w:pStyle w:val="TextBody"/>
        <w:bidi w:val="0"/>
        <w:spacing w:before="0" w:after="0"/>
        <w:ind w:left="0" w:right="0" w:hanging="0"/>
        <w:jc w:val="left"/>
        <w:rPr/>
      </w:pPr>
      <w:r>
        <w:rPr/>
        <w:t>​</w:t>
      </w:r>
    </w:p>
    <w:tbl>
      <w:tblPr>
        <w:tblW w:w="6145" w:type="dxa"/>
        <w:jc w:val="left"/>
        <w:tblInd w:w="0" w:type="dxa"/>
        <w:tblLayout w:type="fixed"/>
        <w:tblCellMar>
          <w:top w:w="0" w:type="dxa"/>
          <w:left w:w="0" w:type="dxa"/>
          <w:bottom w:w="0" w:type="dxa"/>
          <w:right w:w="0" w:type="dxa"/>
        </w:tblCellMar>
      </w:tblPr>
      <w:tblGrid>
        <w:gridCol w:w="3811"/>
        <w:gridCol w:w="346"/>
        <w:gridCol w:w="211"/>
        <w:gridCol w:w="676"/>
        <w:gridCol w:w="109"/>
        <w:gridCol w:w="211"/>
        <w:gridCol w:w="78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19985" cy="175260"/>
                      <wp:effectExtent l="0" t="0" r="0" b="0"/>
                      <wp:wrapNone/>
                      <wp:docPr id="125" name="Frame124"/>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28"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5935" cy="175260"/>
                      <wp:effectExtent l="0" t="0" r="0" b="0"/>
                      <wp:wrapNone/>
                      <wp:docPr id="131" name="Frame1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research and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7,100</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2023 Lilly License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9,500</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bonus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1,713</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19,514</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tbl>
      <w:tblPr>
        <w:tblW w:w="2117" w:type="dxa"/>
        <w:jc w:val="left"/>
        <w:tblInd w:w="0" w:type="dxa"/>
        <w:tblLayout w:type="fixed"/>
        <w:tblCellMar>
          <w:top w:w="0" w:type="dxa"/>
          <w:left w:w="0" w:type="dxa"/>
          <w:bottom w:w="0" w:type="dxa"/>
          <w:right w:w="0" w:type="dxa"/>
        </w:tblCellMar>
      </w:tblPr>
      <w:tblGrid>
        <w:gridCol w:w="271"/>
        <w:gridCol w:w="184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18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Agreements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2023 Lilly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26, 2023, ZB17 entered into a license agreement with Lilly (the “2023 Lilly License” and, together with the 2022 Lilly License (as defined below), the “Lilly Licenses”), for an exclusive license to develop, manufacture and commercialize tibulizumab. As consideration, we paid Lilly an upfront payment consisting of $5.8 million during 2023 and issued Class A Ordinary Shares at an aggregate fair value of $7.8 million during the year ended 2023. During 2024, ZB17 made an additional payment of $5.0 million to Lilly in connection with the receipt of certain know-how, data, information and materials that Lilly is required to provide under the license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acquisition was accounted for as an asset acquisition as substantially all of the fair value of the assets acquired is concentrated in a group of similar identifiable IPR&amp;D assets. On the acquisition date, the molecule licensed had not yet received regulatory approval and the IPR&amp;D did not have an alternative use. Accordingly, the Company expensed the entire cost of the 2023 Lilly License in research and development in the consolidated statement of operations during the year ended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consideration for the investment made by Stone Peach Properties, LLC (“Stone Peach”), the Company entered into a letter agreement with Stone Peach and ZB17, dated April 24, 2023, as amended by letter agreement dated November 21, 2023 (the “ZB17 Letter Agreement”), pursuant to which ZB17 granted Stone Peach the right, but not the obligation, to purchase 4.99% of the fully diluted equity of ZB17 for $1.0 million (the “Stone Peach Call Right”). The Stone Peach Call Right was not exercisable until after the last patient is dosed in any single next clinical trial with tibulizumab and would expire one year from the date of first indication approval for tibulizumab by the United States Food and Drug Administration (“FDA”) or the European Medicines Agency (“EMA”). We recognized the Stone Peach Call Right at a grant-date fair value of $1.5 million as a component of research and development in the consolidated statement of operations during the year ended December 31, 2023. The Stone Peach Call Right represented a noncontrolling interest in our consolidated subsidiary, ZB17. On December 29, 2025, the Company terminated the ZB17 Letter Agreement, and the noncontrolling interest was extinguished as of December 31, 2025. See “—Stone Peach Settlement and Release Agreement” below. As of December 31, 2024, the noncontrolling interest balance was $1.5 million in the consolidated balance sheet.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Additionally, beginning on May 1, 2023, Stone Peach received an annual payment of $0.6 million initially, and increasing by 10% annually, so long as the Company maintains its license for tibulizumab, to be paid on May 1st of each year. The Company records expense for these annual payments when they become due. For each of the years ended December 31, 2025 and 2024, the Company recorded $0.7 million in research and development in the consolidated statement of operations for the annual payments. On December 29, 2025, the Company terminated the ZB17 Letter Agreement. See “ – Stone Peach Settlement and Release Agreement”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one-time payment of $4.5 million for additional consideration due to Stone Peach upon approval from the FDA for its Investigational New Drug (“IND”) and commencement of the clinical trial for tibulizumab in research and development in the consolidated statement of operations for the year ended December 31, 2024 and was paid in June 2025. The payment is included in accounts payable and accrued expenses in the consolidated balance sheet as of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 letter agreement, dated as of April 25, 2023, by and between BAFFX17, Ltd (“BAFFX17”) and the Company, and as amended by Amendment No. 1 on December 18, 2023 (the “BAFFX17 Letter Agreement”), provided that, 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measured on April 24th of each year. As the Company’s fully diluted shares outstanding exceeded 52,500,000 shares prior to December 31, 2023, the $5.0 million fee was recorded in research and development in the consolidated statement of operations for the year ended December 31, 2023, and is included in accounts payable and accrued expenses in the consolidated balance sheets as of December 31, 2024. On June 30, 2025, the Company received an invoice on behalf of BAFFX17 requesting a $5.0 million milestone payment pursuant to the BAFFX17 Letter Agreement. The Company did not make such payment and the BAFFX17 Letter Agreement was terminated on December 29, 2025. See “—BAFFX17 Settlement and Release Agreement”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consideration paid and/or earned in 2025, 2024 and 2023, the Company is obligated to make payments to Lilly (a) for four (4) development milestone payments up to an aggregate of $155.0 million, and sales milestone payments up to an aggregate of $440.0 million based on respective thresholds of net sales of products developed from tibulizumab; and (b) over a multi-year period (twelve years, or upon the later expiration of regulatory exclusivity of ZB-106 in a country) for an annual earned royalty at a marginal royalty rate in the mid-single digits to low-double digits, with increasing royalty percentage rates depending on net sales in the respective calendar year, based on a percentage of sales within varying thresholds for a certain period of years (collectively, the “2023 Lilly Contingent Payments”). As of December 31, 2025, none of the 2023 Lilly Contingent Payments are due and accordingly will not be recorded in the Company’s financial statements until they are due. Prior to the BAFFX17 Settlement Agreement and Stone Peach Settlement Agreement described below, we were also obligated to make payments (a) to BAFFX17 for a fee equal to 3% of any milestone or royalty payments due to Lilly pursuant to the terms of either the 2022 Lilly License or the 2023 Lilly License; (b) to Stone Peach for a one-time milestone payment of $25.0 million upon either (i) certain equity-related transactions, or (ii) the receipt of regulatory approval from the applicable regulatory authority for any new indication in the applicable jurisdiction; (c) to Stone Peach for a royalty of 2% of the aggregate net sales of any products developed from the compound. See “—BAFFX17 Settlement and Release Agreement” and “—Stone Peach Settlement and Release Agreement”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2022 Lilly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8, 2022, the Company’s consolidated subsidiary, Z33, entered into a license agreement with Lilly (the “2022 Lilly License”) pursuant to which Lilly granted Z33 an exclusive (even as to Lilly) license to develop, manufacture, and commercialize torudokimab. As consideration, the Company paid Lilly an upfront fee of $7.0 million during 2022 and issued 550,000 Class A Ordinary Shares upon the closing of the Business Combination (subject to certain lock-up provisions) (the “Lilly License Fee”). During 2022, the Company recorded expense for the entire cost of the Lilly License Fee. Prior to the Business Combination, the obligation to issue shares represented contingent consideration and was classified as a liability in the consolidated balance sheet (research and development license consideration liability), which was settled upon the issuance of shares upon the closing of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letter agreement dated December 8, 2022, as amended on November 21, 2023 (the “Z33 Letter Agreement” and, together with the ZB17 Letter Agreement, the “Stone Peach Letter Agreements”) by and between Stone Peach, the Company and Z33, provided that, as a finder’s fee in connection with arranging the acquisition, Z33 issued to Stone Peach Properties, LLC (“Stone Peach”) 4,900,222 shares of Z33 Series Seed Preferred Shares, which was included in the measurement of the cost of the acquired asset. The Company has the right, but not the obligation to purchase up to 50% of the Series Seed Preferred Shares issued to Stone Peach at a price per share of $2.448869 for a period of two years from the date of the agreement (the “Call Option”). Pursuant to the Z33 Letter Agreement, Stone Peach had the right, but not the obligation to sell up to 50% of the Series Seed Preferred Shares issued to Stone Peach to the Company for a price per share of $2.040724 (the “Put Option”). In April 2023, the Company agreed to exercise its Call Option and the Company amended the settlement terms to settle the Call Option by issuing 2,000,000 Class A Ordinary Shares (the “Amended Terms”). In November 2023, the Amended Terms were voided and the Company’s rights and obligations under the Call Option reverted to those in the original agreement (the “Second Amended Terms”). In connection with the Second Amended Terms, the Company also provided Stone Peach with the right, but not the obligation to sell up to 50% of the Series Seed Preferred Shares issued to Stone Peach to the Company in exchange for 2,000,000 Class A Ordinary Shares (the “Put Right”). Stone Peach was permitted to exercise its Put Option and Put Right at any time between April 24, 2024 and April 24, 2028 under the new agreement. Each of the Amended Terms and the Second Amended Terms were considered an extinguishment and reissuance of the Z33 Series Seed Preferred Shares, and the Z33 Series Seed Preferred Shares were remeasured to the greater of the redemption value or the initial fair value, less noncontrolling shareholder’s interest in net loss of Z33, at each subsequent reporting period. The Z33 Series Seed Preferred Shares represented redeemable noncontrolling interest in the Company’s consolidated subsidiary, Z33.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2025, the Company received a request from Stone Peach to exercise the Put Option pursuant to which Stone Peach would sell 50% of its Series Seed Preferred Shares in Z33 for $5.0 million. Additionally, in July 2025, the Company received a further request from Stone Peach to exercise the Put Right pursuant to which Stone Peach would sell 50% of its Series Seed Preferred Shares in Z33 in exchange for 2,000,000 of the Company’s Class A Ordinary Shares. Upon exercise, the obligation to settle the Put Option in cash was recorded in accounts payable and accrued expenses and additional paid-in capital. The obligation to settle the Put Right in Class A Ordinary Shares represented redeemable noncontrolling interest and was included in accounts payable and accrued expenses on the condensed consolidated balance sheet as of September 30, 2025. On December 29, 2025, the Company terminated the Z33 Letter Agreement and the redeemable noncontrolling interest and obligation to settle the Put Right were extinguished as of December 31, 2025. See “—Stone Peach Settlement and Release Agreement”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paid an additional $3.0 million to Lilly in December 2025 because a financing by Z33 with gross proceeds exceeding $100.0 million did not occur by December 7, 2025. We are also obligated to make payments to Lilly for (a) 10 commercial, development and regulatory milestone payments up to an aggregate of $155.0 million and sales milestone payments up to an aggregate of $440.0 million based on respective thresholds of net sales of products developed from the licensed compound, if any; and (b) an annual earned royalty at a marginal royalty rate in the mid-single to low-double digits, with increasing royalty percentage rates based on net sales in the respective calendar year, based on a percentage of sales within varying thresholds for a certain period of the year, if any year (collectively, the “2022 Lilly Contingent Payments”). The Company will account for these contingent milestone payments when they become due. As of December 31, 2025, none of the 2022 Lilly Contingent Payments are due and accordingly will not be recorded in the Company’s financial statements until they are due.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Pfizer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22, 2022, the Company entered into a license agreement and a Series A - 1 Subscription and Shareholder’s Agreement (collectively, the “Pfizer Agreement”) with Pfizer. Under the Pfizer Agreement, the Company acquired a license for crebankitug in exchange for $5.0 million in cash and 2,702,083 shares (as adjusted by the exchange ratio established in the Business Combination Agreement) of the Company’s Series A - 1 convertible preferred shares, representing a 20% interest in the Company. In accordance with Accounting Standards Codification (“ASC”) 805, </w:t>
      </w:r>
      <w:r>
        <w:rPr>
          <w:rFonts w:ascii="Times New Roman;Times;serif" w:hAnsi="Times New Roman;Times;serif"/>
          <w:i/>
          <w:sz w:val="20"/>
        </w:rPr>
        <w:t>Business Combinations</w:t>
      </w:r>
      <w:r>
        <w:rPr>
          <w:rFonts w:ascii="Times New Roman;Times;serif" w:hAnsi="Times New Roman;Times;serif"/>
          <w:sz w:val="20"/>
        </w:rPr>
        <w:t>, the Pfizer Agreement is accounted for as an asset acquisition, as substantially all of the $7.5 million value transferred to the Company was allocated to IPR&amp;D. On the acquisition date, the compound licensed had not yet received regulatory approval and the IPR&amp;D did not have an alternative 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consideration transferred during 2022, the Company is obligated to make payments to Pfizer for (a) twelve (12) future development and regulatory milestone payments aggregating up to $70.0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the Company’s Products, if any (collectively, the “Pfizer Contingent Payments”). Royalties are payable on a country-by-country basis for a certain period of years or upon the later expiration of regulatory exclusivity of the Company’s Products in a country.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the first $1.0 million development milestone, included in the Pfizer Contingent Payments, as a component of research and development in the consolidated statement of operations during the year ended December 31, 2023. This amount was fully paid to Pfizer during the year ended December 31, 2024. As of December 31, 2025, no additional Pfizer Contingent Payments are due and accordingly no additional Pfizer Contingent Payments will be recorded in the Company’s financial statements until they are due.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Lonza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October 2023, the Company began drug substance manufacturing with another third party. As a result of manufacturing with a third party other than Lonza, under the terms of the Lonza License the Company had a license fee of $0.4 million due to Lonza in the fourth quarter of 2023 and annually thereafter. The Company recorded $0.4 million for the Lonza License in research and development in the consolidated statements of operations for the years ended December 31, 2025 and 2024. During each of the years ended December 31, 2025 and 2024, $0.4 million was paid for the Lonza License.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WuXi Biologics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2023, the Company entered into a cell line license agreement (the “Cell Line License Agreement”) with WuXi Biologics and its Affiliates (“WuXi Biologics”) for certain of WuXi Biologics’s know-how, cell line, and biological materials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 As of December 31, 2025, there are no payments currently due under the Cell Line License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Athanor Letter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29, 2025, in connection with the termination of the Stone Peach Letter Agreements, the Company entered into a letter agreement with Athanor Capital, an exempted company incorporated under the laws of the Cayman Islands with limited liability (“Athanor”) (the “Athanor Agreement”), pursuant to which the Company issued to Athanor 8,657,402 Class A Ordinary Shares (the “Athanor Shares”). Athanor is also entitled to piggyback registration rights pursuant to which Athanor has the right to include Athanor Shares in certain registered offerings by the Company or if the Company proposes to file a registration statement under the Securities Act of 1933, as amended (the “Securities Act”), with respect to the registration of equity securities, as set forth in the Athanor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pursuant to the terms of the Athanor Agreement, the Company agreed to pay Athanor an upfront fee in an amount equal to $7.3 million within thirty days of execution of the Athanor Agreement and a one-time milestone payment in the amount of $25.0 million after the occurrence of the earliest of the following events: (i) we or ZB17 undergoes a Change of Control (as defined in the Athanor Agreement), (ii) the consummation by the Company or ZB17 of a sale of assets resulting in net proceeds in excess of $500.0 million, or (iii) First Indication Regulatory Approval (as defined in the Athanor Agreement). In addition, pursuant to the terms of the Athanor Agreement, the Company agreed to pay an amount equal to 2% of Net Sales (as defined in the Athanor Agreement) for the Product (as defined in the Athanor Agreement) to the extent such Net Sales (collectively, the “Net Sales Payments”) are the subject of a royalty payment under that certain license agreement dated as of April 26, 2023, by and between ZB17 and Lilly. The upfront fee was paid as of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Athanor Agreement contains representations, warranties and covenants by the parties in addition to the terms described above and shall remain in effect on a country-by-country basis until the expiration of the obligation to pay the Net Sales Payments.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Stone Peach Settlement and Release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termination of the Stone Peach Letter Agreements, on December 29, 2025, the Company and Stone Peach, Baljit Lehal and Kanwarjeet “Shawn” Tucker (the “Stone Peach Parties”) entered into a Settlement and Release Agreement (the “Stone Peach Settlement Agreement”). Pursuant to the Stone Peach Settlement Agreement, the Stone Peach Parties acknowledged that, as between the Company and any of the Stone Peach Parties, each of (i) the Stone Peach Letter Agreements, (ii) that certain Z33 Founder Issuance Agreement, dated December 8, 2022, between Z33 and Stone Peach, (iii) that certain Series Seed Preferred Stock Investment Agreement, dated December 8, 2022, between the Company and Stone Peach and (iv) that certain Confidentiality and Non-Circumvention Agreement dated December 13, 2022, between the Company and Stone Peach (such agreements, the “Stone Peach Agreements”) are terminated and therefore rendered null and void, and unenforceable in part or in whole by any of the Stone Peach Parties. In addition, pursuant to the Stone Peach Settlement Agreement, the Stone Peach Parties provided a general release of the Company and its affiliates, together with the Company’s predecessors, successors, and assigns and past, present and future officers, directors, shareholders,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members, partners, attorneys, agents, employees, managers, representatives, assigns and successors in interest from and against any and all claims under the Stone Peach Agreements along with any other complaints, claims, causes of action, rights or damages which the Stone Peach Parties have or may have had against the Company or any of the Company’s affiliates.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BAFFX17 Settlement and Release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29, 2025, the Company and BAFFX17, Asim Mohammed and Lahmber Singh (the “BAFFX17 Parties”) entered into a Settlement and Release Agreement (the “BAFFX17 Settlement Agreement”). Pursuant to the BAFFX17 Settlement Agreement, we and the BAFFX17 Parties agreed and acknowledged that a certain letter agreement by and between BAFFX17 and the Company dated April 25, 2023, as amended by letter agreement dated December 18, 2023 (the “BAFFX17 Agreements”) are terminated and therefore rendered null and void and unenforceable in part or in whole by any BAFFX17 Party. In addition, pursuant to the BAFFX17 Settlement Agreement, the BAFFX17 Parties provided a general release of the Company and its affiliates, together with the Company’s predecessors, successors, and assigns and past, present and future officers, directors, shareholders, members, partners, attorneys, agents, employees, managers, representatives, assigns and successors in interest from and against any and all claims under the BAFFX17 Agreements along with any other complaints, claims, causes of action, rights or damages which the BAFFX17 Parties have or may have had against the Company or any of the Company’s affiliates. As the Company has been relieved of the liability by BAFFX17, the reversal of the previously recorded $5.0 million one-time milestone payment obligation was recorded as a decrease to accounts payable and accrued expenses on the consolidated balance sheet and a decrease to research and development expenses on the consolidated statement of operations for the year-ended December 31, 2025.</w:t>
      </w:r>
    </w:p>
    <w:p>
      <w:pPr>
        <w:pStyle w:val="TextBody"/>
        <w:bidi w:val="0"/>
        <w:spacing w:before="0" w:after="0"/>
        <w:ind w:left="0" w:right="0" w:hanging="0"/>
        <w:jc w:val="left"/>
        <w:rPr/>
      </w:pPr>
      <w:r>
        <w:rPr/>
        <w:t>​</w:t>
      </w:r>
    </w:p>
    <w:tbl>
      <w:tblPr>
        <w:tblW w:w="2222" w:type="dxa"/>
        <w:jc w:val="left"/>
        <w:tblInd w:w="0" w:type="dxa"/>
        <w:tblLayout w:type="fixed"/>
        <w:tblCellMar>
          <w:top w:w="0" w:type="dxa"/>
          <w:left w:w="0" w:type="dxa"/>
          <w:bottom w:w="0" w:type="dxa"/>
          <w:right w:w="0" w:type="dxa"/>
        </w:tblCellMar>
      </w:tblPr>
      <w:tblGrid>
        <w:gridCol w:w="271"/>
        <w:gridCol w:w="195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9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2023, in connection with the closing of the Business Combination and effective upon the Closing Date, the Company authorized 300,000,000 Class A Ordinary Shares, par value of $0.0001 and 1,000,000 preferred shares, par value of $0.0001.</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Shelf Registration and ATM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filed a shelf registration statement on Form S-3 (the “Shelf Registration Statement”), which was declared effective on September 17, 2024. Pursuant to the Shelf Registration Statement, the Company may offer and sell ordinary shares, preference shares, debt securities, warrants and or units having an aggregate public offering price of up to $300.0 million. In connection with the filing of the Shelf Registration Statement, the Company also entered into a sales agreement (the “Sales Agreement”) with Leerink Partners LLC (“Leerink Partners”), relating to the sale of the Company’s Class A Ordinary Shares having an aggregate gross sales price of up to $125.0 million, from time to time through Leerink Partners, acting as sales agent (the “ATM”). The Company incurred $0.6 million of offering expenses in connection with establishing the ATM that reduced additional paid-in capital as of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2024, the Company sold 1,500,000 Class A Ordinary Shares at a price of $3.80 per share under the ATM, for net proceeds of $5.5 million, after placement agent 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sold 3,000,000 Class A Ordinary Shares at a price of $1.75 per share under the ATM, for net proceeds of $5.1 million, after sales agent 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$114.0 million of Class A Ordinary Shares remained available for sale under the Sales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April 2024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18, 2024, the Company entered into subscription agreements (the “Investor Agreements”) with certain institutional and other accredited investors pursuant to which the Company agreed to issue 18,732,301 Class A Ordinary Shares at a price of $3.108 per share and pre-funded warrants to purchase up to 16,102,348 Class A Ordinary Shares (the “2024 Pre-Funded Warrants”) at a price of $3.107 per 2024 Pre-Funded Warrant for an aggregate purchase price of $108.3 million. Each 2024 Pre-Funded Warrant has an exercise price of $0.001 per Class A Ordinary Share and is exercisable for one Class A Ordinary Share at any time or times on or after April 22, 2024, until exercised in full.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18, 2024, the Company also entered into subscription agreements (the “Insider Agreements” and together with the Investor Agreements, the “April 2024 Private Placement”) with certain officers, directors and affiliates of the Company pursuant to which the Company issued 1,357,827 Class A Ordinary Shares at a price of $3.13 per share for an aggregate purchase price of $4.2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April 2024 Private Placement closed on April 22, 2024, from which the Company received total gross proceeds of approximately $112.5 million, before deducting transaction costs of $7.2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1,206,952 Class A Ordinary Shares were issued in connection with the exercise of 2024 Pre-Funded Warrants. As of December 31, 2025, 14,895,396 of the 2024 Pre-Funded Warrants remained outstanding.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April 2023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26, 2023, the Company entered into its second PIPE subscription agreement (the “April 2023 Private Placement”) with certain accredited investors pursuant to which the Company issued 15,041,530 Class A Ordinary Shares, par value $0.0001 per share and pre-funded warrants (the “Pre-Funded Warrants”) to purchase up to 3,782,000 Class A Ordinary Shares. Each Class A Ordinary Share was sold at a price of $4.25 per Class A Ordinary Share and each Pre-Funded Warrant was sold at a price of $4.249 per Pre-Funded Warrant for an aggregate purchase price of $80.0 million. Each 2023 Pre-Funded Warrant has an exercise price of $0.001 per Class A Ordinary Share and is exercisable for one Class A Ordinary Share at any time or times on or after April 26, 2023 until exercised in full.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1,682,000 Class A Ordinary Shares were issued in connection with the exercise of 2023 Pre-Funded Warrants. As of December 31, 2025, 2,100,000 of the 2023 Pre-Funded Warrants remained outstanding.</w:t>
      </w:r>
    </w:p>
    <w:p>
      <w:pPr>
        <w:pStyle w:val="TextBody"/>
        <w:pBdr/>
        <w:bidi w:val="0"/>
        <w:spacing w:before="0" w:after="220"/>
        <w:ind w:left="0" w:right="0" w:hanging="490"/>
        <w:jc w:val="both"/>
        <w:rPr>
          <w:rFonts w:ascii="Times New Roman;Times;serif" w:hAnsi="Times New Roman;Times;serif"/>
          <w:b/>
          <w:i/>
          <w:sz w:val="20"/>
        </w:rPr>
      </w:pPr>
      <w:r>
        <w:rPr>
          <w:rFonts w:ascii="Times New Roman;Times;serif" w:hAnsi="Times New Roman;Times;serif"/>
          <w:b/>
          <w:i/>
          <w:sz w:val="20"/>
        </w:rPr>
        <w:t>Warrant Exchange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July 12, 2024, the Company commenced an exchange offer (the “Exchange Offer”) and consent solicitation (the “Consent Solicitation”) relating to its outstanding warrants that it assumed in connection with the business combination, including (i) public warrants to purchase 5,910,000 Class A Ordinary Shares (the “Public Warrants”) that were held by JATT, and (ii) Private Placement Warrants that were held by JATT shareholders (together with the Public Warrants, the “IPO warrants”). The Company offered to all holders of the IPO warrants the opportunity to receive 0.30 Class A ordinary shares in exchange for each outstanding IPO warrant tendered by the holder and exchanged pursuant to the Exchange Offer. Concurrently with the Exchange Offer, the Company also solicited consents from holders of the IPO warrants to amend that certain warrant agreement, dated as of July 16, 2021, by and between the Company and Continental Stock Transfer &amp; Trust Company, as warrant agent (the “Warrant Agreement”) to permit the Company to require that each IPO warrant outstanding upon the closing of the Exchange Offer be exchanged for 0.27 Class A ordinary shares, which is a ratio 10% less than the exchange ratio applicable to the Exchange Offer. Pursuant to the terms of the Warrant Agreement, all except certain specified modifications or amendments required the vote or written consent of holders of at least a majority of the outstanding public warrants and a majority of the outstanding private placement warrants.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August 12, 2024, the Company completed the Exchange Offer and Consent Solicitation and issued 2,011,017 Class A Ordinary Shares in exchange for 6,703,428 Public Warrants and 1,224,167 Class A Ordinary Shares in exchange for 4,080,580 Private Placement Warrants. In connection with its completion of the Exchange Offer, the Company entered into an amendment, dated August 12, 2024 (the “Warrant Amendment”), to the Warrant Agreement to provide the Company with the right to mandatorily exchange the Company’s remaining outstanding IPO warrants for Class A ordinary shares at an exchange ratio of 0.27 Class A ordinary shares for each IPO warrant. On August 27, 2024, in accordance with the Warrant Amendment, the Company issued 547,006 Class A Ordinary Shares in exchange for the 196,568 outstanding Public Warrants and 1,829,420 outstanding Private Placement Warrants. As a result, there are no outstanding IPO warrants as of December 31, 2024 and December 31, 2025. In connection with the Warrant Exchange, the Company paid out a de minimis amount of cash in lieu of fractional shares.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Company incurred approximately $1.6 million of costs directly related to the Warrant Exchange, consisting primarily of dealer manager fees and professional, legal, filing, regulatory, and other costs, which are included in general and administrative expenses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b/>
          <w:i/>
          <w:sz w:val="20"/>
        </w:rPr>
      </w:pPr>
      <w:bookmarkStart w:id="906" w:name="Tc_N6TK9YcvJEKY9khOeM0Oog_6_0"/>
      <w:bookmarkStart w:id="907" w:name="Tc_AkrmqADRu0yfvkKGVxkLyw_5_0"/>
      <w:bookmarkStart w:id="908" w:name="Tc_49TheCp39EOm-OOuRZyFgw_4_0"/>
      <w:bookmarkStart w:id="909" w:name="Tc_YvifSgD9Sk-MgM9IRwOcaQ_3_0"/>
      <w:bookmarkStart w:id="910" w:name="Tc_avOc2a06_UCqQB7XnXkBvQ_2_0"/>
      <w:bookmarkStart w:id="911" w:name="Tc_gKSdgYmy5keGhNRI0G6zyQ_1_2"/>
      <w:bookmarkStart w:id="912" w:name="Tc_PWHfiMYjoUm-qcxg0MTUhQ_3_5"/>
      <w:bookmarkStart w:id="913" w:name="Tc_mswORcYoZU6O1pR5xmUUoQ_3_2"/>
      <w:bookmarkStart w:id="914" w:name="Tc_Ugu18aKtzEyLv88q6ARyOA_2_5"/>
      <w:bookmarkStart w:id="915" w:name="Tc_eKgovfz1d0GetIRmyR36dg_2_2"/>
      <w:bookmarkStart w:id="916" w:name="Tc_BT7bqNesUUqca1oDJowDMw_2_0"/>
      <w:bookmarkStart w:id="917" w:name="Tc_KIkQ_4T2i0a9q2kcPzyuOw_1_0"/>
      <w:bookmarkStart w:id="918" w:name="_9d4d095e_5c0e_4844_807a_8d9168e64a1e"/>
      <w:bookmarkStart w:id="919" w:name="Tc_3TazxFggm0ufIOkwAr-csw_3_5"/>
      <w:bookmarkStart w:id="920" w:name="Tc_jDZBfcI1vk6Zb-tTd0GPFg_3_2"/>
      <w:bookmarkStart w:id="921" w:name="Tc_mTgA8KpQD02h2c8e9yOn5A_2_5"/>
      <w:bookmarkStart w:id="922" w:name="Tc_eiqq4hALJ0i6QE8mj1H6Tw_2_2"/>
      <w:bookmarkStart w:id="923" w:name="Tc_t-3xfW2WQUKWw5kZi0AFLw_2_0"/>
      <w:bookmarkStart w:id="924" w:name="Tc_8A-ZEByybEukrX93kVLDig_1_0"/>
      <w:bookmarkStart w:id="925" w:name="_18fa8352_b8b5_4a4b_9f46_6bbf2fb883c6"/>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r>
        <w:rPr>
          <w:rFonts w:ascii="Times New Roman;Times;serif" w:hAnsi="Times New Roman;Times;serif"/>
          <w:b/>
          <w:i/>
          <w:sz w:val="20"/>
        </w:rPr>
        <w:t>Exchange of Class A Ordinary Shares for Pre-Funded Warrants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 April 2025, the Company entered into share surrender and warrant agreements with certain affiliated shareholders (the “2025 Shareholders”), pursuant to which (i) the 2025 Shareholders surrendered an aggregate of 6,500,000 Class A Ordinary Shares owned by the 2025 Shareholders, for no consideration, which were immediately cancelled and retired, upon surrender; and (ii) the Company issued pre-funded warrants to purchase an aggregate of 6,500,000 Class A Ordinary Shares (the “2025 Share Exchange Warrants) (such transaction, the “2025 Share Exchange”) with an exercise price of $0.001 per share and no expiration date. The 2025 Share Exchange Warrants are exercisable immediately and have substantially identical terms to the form of 2024 Pre-Funded Warrant (see above). As of December 31, 2025, all of the 2025 Share Exchange Warrants remained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15, 2024, the Company entered into a share surrender and warrant agreement (the “Share Exchange Agreement”) with certain affiliated shareholders (the “Shareholders”), pursuant to which (i) the Shareholders surrendered an aggregate of 4,000,000 Class A Ordinary Shares owned by the Shareholders, for no consideration, which were immediately cancelled and retired, upon surrender; and (ii) the Company issued pre - funded warrants to purchase an aggregate of 4,000,000 Ordinary Shares, with an exercise price of $0.001 per share (the “Share Exchange Warrants”) (the “Share Exchange”). The Share Exchange Warrants are exercisable immediately and have substantially identical terms to the form of 2024 Pre-Funded Warrant (see above). A holder of the Share Exchange Warrants (together with its affiliates and other attribution parties) may not exercise any portion of a Share Exchange Warrant to the extent that immediately prior to or after giving effect to such exercise the holder would beneficially own more than 9.99% of the Company’s outstanding Class A Ordinary Shares immediately after exercise, which percentage may be increased or decreased to any other percentage specified not in excess of 9.99% at the holder’s election upon 61 days’ notice to the Company subject to the terms of the Share Exchange Warrants. As of December 31, 2025, all of the Share Exchange Warrants remained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number of warrants outstanding, their exercise price, and expiration dates as of December 31, 2025 and 2024:</w:t>
      </w:r>
    </w:p>
    <w:p>
      <w:pPr>
        <w:pStyle w:val="TextBody"/>
        <w:bidi w:val="0"/>
        <w:spacing w:before="0" w:after="0"/>
        <w:ind w:left="0" w:right="0" w:hanging="0"/>
        <w:jc w:val="left"/>
        <w:rPr/>
      </w:pPr>
      <w:r>
        <w:rPr/>
        <w:t>​</w:t>
      </w:r>
    </w:p>
    <w:tbl>
      <w:tblPr>
        <w:tblW w:w="4445" w:type="dxa"/>
        <w:jc w:val="left"/>
        <w:tblInd w:w="0" w:type="dxa"/>
        <w:tblLayout w:type="fixed"/>
        <w:tblCellMar>
          <w:top w:w="0" w:type="dxa"/>
          <w:left w:w="0" w:type="dxa"/>
          <w:bottom w:w="0" w:type="dxa"/>
          <w:right w:w="0" w:type="dxa"/>
        </w:tblCellMar>
      </w:tblPr>
      <w:tblGrid>
        <w:gridCol w:w="1306"/>
        <w:gridCol w:w="346"/>
        <w:gridCol w:w="303"/>
        <w:gridCol w:w="823"/>
        <w:gridCol w:w="346"/>
        <w:gridCol w:w="1321"/>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829310" cy="175260"/>
                      <wp:effectExtent l="0" t="0" r="0" b="0"/>
                      <wp:wrapNone/>
                      <wp:docPr id="132" name="Frame13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92405" cy="175260"/>
                      <wp:effectExtent l="0" t="0" r="0" b="0"/>
                      <wp:wrapNone/>
                      <wp:docPr id="134" name="Frame13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22605" cy="175260"/>
                      <wp:effectExtent l="0" t="0" r="0" b="0"/>
                      <wp:wrapNone/>
                      <wp:docPr id="135" name="Frame134"/>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38835" cy="175260"/>
                      <wp:effectExtent l="0" t="0" r="0" b="0"/>
                      <wp:wrapNone/>
                      <wp:docPr id="137" name="Frame13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Issued</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center"/>
              <w:rPr/>
            </w:pPr>
            <w:r>
              <w:rPr/>
              <w:t>  ​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27,495,396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0.001</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both"/>
        <w:rPr/>
      </w:pPr>
      <w:r>
        <w:rPr/>
        <w:t>​</w:t>
      </w:r>
    </w:p>
    <w:tbl>
      <w:tblPr>
        <w:tblW w:w="4444" w:type="dxa"/>
        <w:jc w:val="left"/>
        <w:tblInd w:w="0" w:type="dxa"/>
        <w:tblLayout w:type="fixed"/>
        <w:tblCellMar>
          <w:top w:w="0" w:type="dxa"/>
          <w:left w:w="0" w:type="dxa"/>
          <w:bottom w:w="0" w:type="dxa"/>
          <w:right w:w="0" w:type="dxa"/>
        </w:tblCellMar>
      </w:tblPr>
      <w:tblGrid>
        <w:gridCol w:w="1306"/>
        <w:gridCol w:w="346"/>
        <w:gridCol w:w="303"/>
        <w:gridCol w:w="822"/>
        <w:gridCol w:w="346"/>
        <w:gridCol w:w="1321"/>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829310" cy="175260"/>
                      <wp:effectExtent l="0" t="0" r="0" b="0"/>
                      <wp:wrapNone/>
                      <wp:docPr id="138" name="Frame13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92405" cy="175260"/>
                      <wp:effectExtent l="0" t="0" r="0" b="0"/>
                      <wp:wrapNone/>
                      <wp:docPr id="140" name="Frame13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21970" cy="175260"/>
                      <wp:effectExtent l="0" t="0" r="0" b="0"/>
                      <wp:wrapNone/>
                      <wp:docPr id="141" name="Frame140"/>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38835" cy="175260"/>
                      <wp:effectExtent l="0" t="0" r="0" b="0"/>
                      <wp:wrapNone/>
                      <wp:docPr id="143" name="Frame14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Issued</w:t>
            </w:r>
          </w:p>
        </w:tc>
        <w:tc>
          <w:tcPr>
            <w:tcW w:w="346" w:type="dxa"/>
            <w:tcBorders/>
            <w:vAlign w:val="center"/>
          </w:tcPr>
          <w:p>
            <w:pPr>
              <w:pStyle w:val="TableContents"/>
              <w:bidi w:val="0"/>
              <w:spacing w:before="0" w:after="0"/>
              <w:ind w:left="0" w:right="0" w:hanging="0"/>
              <w:jc w:val="center"/>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center"/>
              <w:rPr/>
            </w:pPr>
            <w:r>
              <w:rPr/>
              <w:t>  ​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23,884,348</w:t>
            </w:r>
          </w:p>
        </w:tc>
        <w:tc>
          <w:tcPr>
            <w:tcW w:w="346" w:type="dxa"/>
            <w:tcBorders/>
            <w:shd w:fill="CCEEFF" w:val="clear"/>
            <w:vAlign w:val="center"/>
          </w:tcPr>
          <w:p>
            <w:pPr>
              <w:pStyle w:val="TableContents"/>
              <w:bidi w:val="0"/>
              <w:spacing w:before="0" w:after="0"/>
              <w:ind w:left="0" w:right="0" w:hanging="0"/>
              <w:jc w:val="center"/>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0.001</w:t>
            </w:r>
          </w:p>
        </w:tc>
        <w:tc>
          <w:tcPr>
            <w:tcW w:w="346" w:type="dxa"/>
            <w:tcBorders/>
            <w:shd w:fill="CCEEFF" w:val="clear"/>
            <w:vAlign w:val="center"/>
          </w:tcPr>
          <w:p>
            <w:pPr>
              <w:pStyle w:val="TableContents"/>
              <w:bidi w:val="0"/>
              <w:spacing w:before="0" w:after="0"/>
              <w:ind w:left="0" w:right="0" w:hanging="0"/>
              <w:jc w:val="center"/>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 A Ordinary Shares Reserved for Issuance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summary of shares reserved for issuance as of December 31, 2025 is summarized below:</w:t>
      </w:r>
    </w:p>
    <w:p>
      <w:pPr>
        <w:pStyle w:val="TextBody"/>
        <w:bidi w:val="0"/>
        <w:spacing w:before="0" w:after="0"/>
        <w:ind w:left="0" w:right="0" w:hanging="0"/>
        <w:jc w:val="left"/>
        <w:rPr/>
      </w:pPr>
      <w:r>
        <w:rPr/>
        <w:t>​</w:t>
      </w:r>
    </w:p>
    <w:tbl>
      <w:tblPr>
        <w:tblW w:w="8313" w:type="dxa"/>
        <w:jc w:val="left"/>
        <w:tblInd w:w="0" w:type="dxa"/>
        <w:tblLayout w:type="fixed"/>
        <w:tblCellMar>
          <w:top w:w="0" w:type="dxa"/>
          <w:left w:w="0" w:type="dxa"/>
          <w:bottom w:w="0" w:type="dxa"/>
          <w:right w:w="0" w:type="dxa"/>
        </w:tblCellMar>
      </w:tblPr>
      <w:tblGrid>
        <w:gridCol w:w="6421"/>
        <w:gridCol w:w="346"/>
        <w:gridCol w:w="1546"/>
      </w:tblGrid>
      <w:tr>
        <w:trPr/>
        <w:tc>
          <w:tcPr>
            <w:tcW w:w="6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077335" cy="175260"/>
                      <wp:effectExtent l="0" t="0" r="0" b="0"/>
                      <wp:wrapNone/>
                      <wp:docPr id="144" name="Frame143"/>
                      <a:graphic xmlns:a="http://schemas.openxmlformats.org/drawingml/2006/main">
                        <a:graphicData uri="http://schemas.microsoft.com/office/word/2010/wordprocessingShape">
                          <wps:wsp>
                            <wps:cNvSpPr txBox="1"/>
                            <wps:spPr>
                              <a:xfrm>
                                <a:off x="0" y="0"/>
                                <a:ext cx="407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81710" cy="175260"/>
                      <wp:effectExtent l="0" t="0" r="0" b="0"/>
                      <wp:wrapNone/>
                      <wp:docPr id="146" name="Frame14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upon exercise of warrants to purchase Class A Ordinary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27,495,396</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upon exercise of options to purchase Class A Ordinary Shares</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16,463,011</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2023 Equity Incentive Plan and ESPP</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801,577</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upon release of restricted share units</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583,282</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reserved for issuance</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45,343,266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47" w:type="dxa"/>
        <w:jc w:val="left"/>
        <w:tblInd w:w="0" w:type="dxa"/>
        <w:tblLayout w:type="fixed"/>
        <w:tblCellMar>
          <w:top w:w="0" w:type="dxa"/>
          <w:left w:w="0" w:type="dxa"/>
          <w:bottom w:w="0" w:type="dxa"/>
          <w:right w:w="0" w:type="dxa"/>
        </w:tblCellMar>
      </w:tblPr>
      <w:tblGrid>
        <w:gridCol w:w="271"/>
        <w:gridCol w:w="247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7.</w:t>
            </w:r>
          </w:p>
        </w:tc>
        <w:tc>
          <w:tcPr>
            <w:tcW w:w="24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pBdr/>
        <w:bidi w:val="0"/>
        <w:spacing w:before="0" w:after="240"/>
        <w:ind w:left="0" w:right="0" w:hanging="490"/>
        <w:jc w:val="both"/>
        <w:rPr>
          <w:rFonts w:ascii="Times New Roman;Times;serif" w:hAnsi="Times New Roman;Times;serif"/>
          <w:b/>
          <w:i/>
          <w:sz w:val="20"/>
        </w:rPr>
      </w:pPr>
      <w:r>
        <w:rPr>
          <w:rFonts w:ascii="Times New Roman;Times;serif" w:hAnsi="Times New Roman;Times;serif"/>
          <w:b/>
          <w:i/>
          <w:sz w:val="20"/>
        </w:rPr>
        <w:t>Equity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March 2023, JATT’s board of directors approved the Zura Bio Limited 2023 Equity Incentive Plan (the “EIP”) which allows for the grant of share options, both incentive and nonqualified share options; stock appreciation rights (“SARS”), alone or in conjunction with other awards; restricted share awards (“RSAs”) and restricted share units (“RSUs”); incentive bonuses, which may be paid in cash, shares, or a combination thereof; and other share-based awards to employees, officers, non-employee directors and other service providers. The Company has granted share options, RSUs and RSAs that generally vest over four years and expire after 10 years.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1, 2023, the Board of Directors approved an increase to the number of Class A Ordinary Shares that may be issued under the EIP by an additional 5,564,315 Class A Ordinary Shares. The Class A Ordinary Shares issuable under the EIP are subject to an annual increase on January 1st of each calendar year beginning on January 1, 2024 and ending on and including January 1, 2029, equal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26" w:name="Tc_b7YU2Re7ZUOQzDo9m6dnyA_11_10"/>
      <w:bookmarkStart w:id="927" w:name="Tc_gVApdhp680atUATMSoJKxQ_11_5"/>
      <w:bookmarkStart w:id="928" w:name="Tc_CYLWgLmjJk-33_RxtYG-1w_11_0"/>
      <w:bookmarkStart w:id="929" w:name="Tc_C_GWSh2DhU29kGjWObLhiQ_10_10"/>
      <w:bookmarkStart w:id="930" w:name="Tc_eY4nrOPPBEm-bzV8S-TqBg_10_5"/>
      <w:bookmarkStart w:id="931" w:name="Tc_26-LzKmQzk-PPsx8Cf2N1g_10_0"/>
      <w:bookmarkStart w:id="932" w:name="Tc_22O0rJPwk0GOc0OSAovoKQ_9_5"/>
      <w:bookmarkStart w:id="933" w:name="Tc_t-vMbufnhkK67hqQEn_n-Q_9_0"/>
      <w:bookmarkStart w:id="934" w:name="Tc_K2MQuJ_qHEeVpE25W3x3Mw_8_5"/>
      <w:bookmarkStart w:id="935" w:name="Tc_Yxg-sDLbGUaZe3Zuetf6ZQ_8_0"/>
      <w:bookmarkStart w:id="936" w:name="Tc_WvSUIQLP00i7hgblM9jXdA_7_5"/>
      <w:bookmarkStart w:id="937" w:name="Tc_Pva96E0c30Szp08KmhPf3A_7_0"/>
      <w:bookmarkStart w:id="938" w:name="Tc_Quz_Gnq6zk-HXLjhsRRAmw_6_10"/>
      <w:bookmarkStart w:id="939" w:name="Tc_5-zLcsV0SUWKQj4xX6GElQ_6_5"/>
      <w:bookmarkStart w:id="940" w:name="Tc_OOzEfcPxfUqQXK_BBTTpCQ_6_0"/>
      <w:bookmarkStart w:id="941" w:name="Tc_dfhX0pWFrUSd2wd1v95pJg_5_10"/>
      <w:bookmarkStart w:id="942" w:name="Tc_gAn30PgVLkCtAtZqisVD6w_5_8"/>
      <w:bookmarkStart w:id="943" w:name="Tc_JlmFvPUgRU6odhasR7KAVA_5_5"/>
      <w:bookmarkStart w:id="944" w:name="Tc_KNoTM9s9-UirvYHRJfjWvA_5_2"/>
      <w:bookmarkStart w:id="945" w:name="Tc_hCg6UJrjRkKs20hmBuQECw_4_10"/>
      <w:bookmarkStart w:id="946" w:name="Tc_7OAMLt9fU0GwXA0BXKY5gA_4_8"/>
      <w:bookmarkStart w:id="947" w:name="Tc_RHs4Uen5HkyXkS40mXWLLg_4_5"/>
      <w:bookmarkStart w:id="948" w:name="Tc_kRuoD2GU1UKzUzgcqnBs8A_4_2"/>
      <w:bookmarkStart w:id="949" w:name="Tc_O_5atGnNa0CpD_4L1pnq-g_3_10"/>
      <w:bookmarkStart w:id="950" w:name="Tc_stszEiTFJUyNjH11O5YI3Q_3_8"/>
      <w:bookmarkStart w:id="951" w:name="Tc_Pbn7A9_hgEuUhMe6rnQqzQ_3_5"/>
      <w:bookmarkStart w:id="952" w:name="Tc_00xTMfW9HUSfgQPtatUkaA_2_10"/>
      <w:bookmarkStart w:id="953" w:name="Tc_LbjMMvaxZ0eblOTC_KOeCA_2_8"/>
      <w:bookmarkStart w:id="954" w:name="Tc_XCOO2JlZRUyH2nidIUbmCA_2_5"/>
      <w:bookmarkStart w:id="955" w:name="Tc_3S6lFXgjWUm3yD9Lvo8fOQ_1_8"/>
      <w:bookmarkStart w:id="956" w:name="Tc_k7nQ_5PZfUimDDlaEMNH6w_7_7"/>
      <w:bookmarkStart w:id="957" w:name="Tc_0_PRoSchRUqP07jLxI5eDg_7_6"/>
      <w:bookmarkStart w:id="958" w:name="Tc_bxiOd3j0qUeCB0-nIyGDnA_7_4"/>
      <w:bookmarkStart w:id="959" w:name="Tc_4dj41atAgUGvPW5vud5N2w_7_3"/>
      <w:bookmarkStart w:id="960" w:name="Tc_iS4wzraIpEu0qNOSPuix0g_7_0"/>
      <w:bookmarkStart w:id="961" w:name="Tc_5p-xx9sPO02daiY8-PgyYA_6_6"/>
      <w:bookmarkStart w:id="962" w:name="Tc_K8-XDbGK10OEpqmr0hfFLw_6_3"/>
      <w:bookmarkStart w:id="963" w:name="Tc_A9RFnrrul0i6QqHH7uXrGA_6_0"/>
      <w:bookmarkStart w:id="964" w:name="Tc_3BZk6WD57kOvowQTx3XloQ_5_7"/>
      <w:bookmarkStart w:id="965" w:name="Tc_ojWu1iv4uUOeZQrlSn1JYw_5_4"/>
      <w:bookmarkStart w:id="966" w:name="Tc_FqCrxLOyB0i7ZDw2ROiTvg_5_0"/>
      <w:bookmarkStart w:id="967" w:name="Tc_8tZTFR8mwUS_E5VhDUnktA_4_7"/>
      <w:bookmarkStart w:id="968" w:name="Tc_bdk0yBn-hUS6fMGI1cIDGw_4_4"/>
      <w:bookmarkStart w:id="969" w:name="Tc_V7K1hNRMR0W79xy3HofiNg_4_0"/>
      <w:bookmarkStart w:id="970" w:name="Tc_1Kc3I6iIHE68wy1h3iw4pQ_3_5"/>
      <w:bookmarkStart w:id="971" w:name="Tc_YIc5SAPKWU6kq9dhz4wxEw_3_2"/>
      <w:bookmarkStart w:id="972" w:name="Tc_F8TKPy_4P0G12BswMF-nPw_3_0"/>
      <w:bookmarkStart w:id="973" w:name="Tc_dN0GwfvWaECRvrSk-GuNTw_2_5"/>
      <w:bookmarkStart w:id="974" w:name="Tc_sSCiHCVkuU2N7lPs8kAl3A_2_2"/>
      <w:bookmarkStart w:id="975" w:name="Tc_ZFLzzdOvM0u_GQ3DFGSK-Q_1_2"/>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Pr>
          <w:rFonts w:ascii="Times New Roman;Times;serif" w:hAnsi="Times New Roman;Times;serif"/>
          <w:sz w:val="20"/>
        </w:rPr>
        <w:t>lesser of (i) 5.0% of the aggregate number of Class A Ordinary Shares outstanding on the final day of the immediately preceding calendar year, (ii) 8,059,796 Class A Ordinary Shares or (iii) such smaller number of shares as is determined by the Board of Directors. As of January 1, 2024, the Board of Directors decided not to apply an increase to the Class A Ordinary Shares issuable under the EIP for the 2024 calendar year. The annual increase was applied for the 2025 calendar year.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2023, JATT’s board of directors approved adopted the Zura Bio Limited 2023 Employee Stock Purchase Plan (the “ESPP”). The maximum number of Class A Ordinary Shares that may be issued under the ESPP is 4,029,898, plus an aggregate number of Class A Ordinary Shares that are automatically added under the EIP on January 1st of each calendar year, beginning on January 1, 2024 and ending on and including January 1, 2029, as discussed above. The ESPP enables eligible employees of the Company and designated affiliates to purchase Class A Ordinary Shares at a discount of 15%. As of December 31, 2025, the Company has not activated the ESPP.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 maximum of 16,888,988 Class A Ordinary Shares were authorized for issuance under the EIP and ESPP, collectively.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EIP share options is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the EIP share options issued during the years ended December 31, 2025 and 2024:</w:t>
      </w:r>
    </w:p>
    <w:p>
      <w:pPr>
        <w:pStyle w:val="TextBody"/>
        <w:bidi w:val="0"/>
        <w:spacing w:before="0" w:after="0"/>
        <w:ind w:left="0" w:right="0" w:hanging="0"/>
        <w:jc w:val="left"/>
        <w:rPr/>
      </w:pPr>
      <w:r>
        <w:rPr/>
        <w:t>​</w:t>
      </w:r>
    </w:p>
    <w:tbl>
      <w:tblPr>
        <w:tblW w:w="5416" w:type="dxa"/>
        <w:jc w:val="left"/>
        <w:tblInd w:w="0" w:type="dxa"/>
        <w:tblLayout w:type="fixed"/>
        <w:tblCellMar>
          <w:top w:w="0" w:type="dxa"/>
          <w:left w:w="0" w:type="dxa"/>
          <w:bottom w:w="0" w:type="dxa"/>
          <w:right w:w="0" w:type="dxa"/>
        </w:tblCellMar>
      </w:tblPr>
      <w:tblGrid>
        <w:gridCol w:w="2131"/>
        <w:gridCol w:w="346"/>
        <w:gridCol w:w="228"/>
        <w:gridCol w:w="896"/>
        <w:gridCol w:w="375"/>
        <w:gridCol w:w="228"/>
        <w:gridCol w:w="896"/>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53185" cy="175260"/>
                      <wp:effectExtent l="0" t="0" r="0" b="0"/>
                      <wp:wrapNone/>
                      <wp:docPr id="147" name="Frame14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44780" cy="175260"/>
                      <wp:effectExtent l="0" t="0" r="0" b="0"/>
                      <wp:wrapNone/>
                      <wp:docPr id="149" name="Frame14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68960" cy="175260"/>
                      <wp:effectExtent l="0" t="0" r="0" b="0"/>
                      <wp:wrapNone/>
                      <wp:docPr id="150" name="Frame149"/>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38125" cy="175260"/>
                      <wp:effectExtent l="0" t="0" r="0" b="0"/>
                      <wp:wrapNone/>
                      <wp:docPr id="151" name="Frame15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4780" cy="175260"/>
                      <wp:effectExtent l="0" t="0" r="0" b="0"/>
                      <wp:wrapNone/>
                      <wp:docPr id="152" name="Frame15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68960" cy="175260"/>
                      <wp:effectExtent l="0" t="0" r="0" b="0"/>
                      <wp:wrapNone/>
                      <wp:docPr id="153" name="Frame15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0660" cy="175260"/>
                      <wp:effectExtent l="0" t="0" r="0" b="0"/>
                      <wp:wrapNone/>
                      <wp:docPr id="154" name="Frame15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16" w:type="dxa"/>
            <w:tcBorders/>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5" w:type="dxa"/>
            <w:tcBorders/>
            <w:vAlign w:val="center"/>
          </w:tcPr>
          <w:p>
            <w:pPr>
              <w:pStyle w:val="TableContents"/>
              <w:bidi w:val="0"/>
              <w:spacing w:before="0" w:after="1"/>
              <w:ind w:left="0" w:right="0" w:hanging="0"/>
              <w:jc w:val="left"/>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8"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 years</w:t>
            </w:r>
          </w:p>
        </w:tc>
        <w:tc>
          <w:tcPr>
            <w:tcW w:w="375"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 years</w:t>
            </w:r>
          </w:p>
        </w:tc>
        <w:tc>
          <w:tcPr>
            <w:tcW w:w="3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share option activity for the year ended December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81"/>
        <w:gridCol w:w="346"/>
        <w:gridCol w:w="109"/>
        <w:gridCol w:w="1049"/>
        <w:gridCol w:w="346"/>
        <w:gridCol w:w="350"/>
        <w:gridCol w:w="776"/>
        <w:gridCol w:w="346"/>
        <w:gridCol w:w="991"/>
        <w:gridCol w:w="346"/>
        <w:gridCol w:w="246"/>
        <w:gridCol w:w="919"/>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781935" cy="175260"/>
                      <wp:effectExtent l="0" t="0" r="0" b="0"/>
                      <wp:wrapNone/>
                      <wp:docPr id="155" name="Frame154"/>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66115" cy="175260"/>
                      <wp:effectExtent l="0" t="0" r="0" b="0"/>
                      <wp:wrapNone/>
                      <wp:docPr id="158" name="Frame157"/>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22250" cy="175260"/>
                      <wp:effectExtent l="0" t="0" r="0" b="0"/>
                      <wp:wrapNone/>
                      <wp:docPr id="160" name="Frame15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2760" cy="175260"/>
                      <wp:effectExtent l="0" t="0" r="0" b="0"/>
                      <wp:wrapNone/>
                      <wp:docPr id="161" name="Frame160"/>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29285" cy="175260"/>
                      <wp:effectExtent l="0" t="0" r="0" b="0"/>
                      <wp:wrapNone/>
                      <wp:docPr id="163" name="Frame16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6210" cy="175260"/>
                      <wp:effectExtent l="0" t="0" r="0" b="0"/>
                      <wp:wrapNone/>
                      <wp:docPr id="165" name="Frame16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83565" cy="175260"/>
                      <wp:effectExtent l="0" t="0" r="0" b="0"/>
                      <wp:wrapNone/>
                      <wp:docPr id="166" name="Frame165"/>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50"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  ​ ​ ​</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center"/>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1"/>
              <w:ind w:left="0" w:right="0" w:hanging="0"/>
              <w:jc w:val="left"/>
              <w:rPr/>
            </w:pPr>
            <w:r>
              <w:rPr/>
              <w:t>​</w:t>
            </w:r>
          </w:p>
        </w:tc>
        <w:tc>
          <w:tcPr>
            <w:tcW w:w="11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12,217,747</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8,388</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5,859,490</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(80,718)</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(1,533,508)</w:t>
            </w:r>
          </w:p>
        </w:tc>
        <w:tc>
          <w:tcPr>
            <w:tcW w:w="34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16,463,011</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48,866</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exercisable as of December 31, 2025</w:t>
            </w:r>
          </w:p>
        </w:tc>
        <w:tc>
          <w:tcPr>
            <w:tcW w:w="346" w:type="dxa"/>
            <w:tcBorders/>
            <w:vAlign w:val="center"/>
          </w:tcPr>
          <w:p>
            <w:pPr>
              <w:pStyle w:val="TableContents"/>
              <w:bidi w:val="0"/>
              <w:spacing w:before="0" w:after="1"/>
              <w:ind w:left="0" w:right="0" w:hanging="0"/>
              <w:jc w:val="left"/>
              <w:rPr/>
            </w:pPr>
            <w:r>
              <w:rPr/>
              <w:t> </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7,703,134</w:t>
            </w:r>
          </w:p>
        </w:tc>
        <w:tc>
          <w:tcPr>
            <w:tcW w:w="346"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23,098</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unrecognized compensation costs related to the unvested share options were $13.7 million, which the Company expects to recognize over a weighted-average period of 2.8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options outstanding as of December 31, 2025 and 2024 in the table above are 2,055,314 and 2,165,369, respectively, options to purchase Class A Ordinary Shares issued to certain directors, executives, and employees outside of the EIP.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76" w:name="Tc_5tPUyZ7_y0KiYhTLojNVCg_7_4"/>
      <w:bookmarkStart w:id="977" w:name="Tc_Jm5kY49vUEyGVv9RI4BYQg_7_0"/>
      <w:bookmarkStart w:id="978" w:name="Tc_1laOeSCGb0a5Q479iPIF7A_6_4"/>
      <w:bookmarkStart w:id="979" w:name="Tc_N7em0euZkEGHdg1MyOJNWg_6_0"/>
      <w:bookmarkStart w:id="980" w:name="Tc_zlX5_ikmiEmiLi_2iHHJ6Q_5_4"/>
      <w:bookmarkStart w:id="981" w:name="Tc_mVC3PrJgYUG5415ERlN6sg_5_0"/>
      <w:bookmarkStart w:id="982" w:name="Tc_u9CqFkqvNUGSRhWbTyWH4Q_4_4"/>
      <w:bookmarkStart w:id="983" w:name="Tc_mqkkn5DXYUGDHrfWolShTA_4_2"/>
      <w:bookmarkStart w:id="984" w:name="Tc_SjgFJWe21USNcLtX8aDLwg_3_4"/>
      <w:bookmarkStart w:id="985" w:name="Tc_NCUAIE56-EmGqnvsGS51-w_3_2"/>
      <w:bookmarkStart w:id="986" w:name="Tc_LszJ4hXEBEycfYKCj3qwAA_2_4"/>
      <w:bookmarkStart w:id="987" w:name="Tc_HgAQBGum0EukO3WCV06Okg_1_4"/>
      <w:bookmarkStart w:id="988" w:name="Tc_bUWdaWywyE2Qx9HrwVyNlQ_6_4"/>
      <w:bookmarkStart w:id="989" w:name="Tc_ABs5UIOYrE6BD4I4XIrG3A_6_0"/>
      <w:bookmarkStart w:id="990" w:name="Tc_cIQXKmq77kCCRk5HSF3Jdg_5_4"/>
      <w:bookmarkStart w:id="991" w:name="Tc_f1se6vdtikaubLOlDJKpGw_5_0"/>
      <w:bookmarkStart w:id="992" w:name="Tc_rkweCRfG40iVLwCFA59G_w_4_4"/>
      <w:bookmarkStart w:id="993" w:name="Tc_LP26ED7LCUSiA1pRK7pT6A_4_0"/>
      <w:bookmarkStart w:id="994" w:name="Tc_6HLHwW8ppUuztOE01vy--g_3_4"/>
      <w:bookmarkStart w:id="995" w:name="Tc_skCS7zudHEW5zJr68hqXnw_3_2"/>
      <w:bookmarkStart w:id="996" w:name="Tc_gXCC4lRI-EOWSbpBGZBr4w_2_4"/>
      <w:bookmarkStart w:id="997" w:name="Tc_xquJYOGn_Uiap3ScNP5naw_2_2"/>
      <w:bookmarkStart w:id="998" w:name="Tc_9E5xn4BVMEGKueM1wpf1TQ_1_4"/>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Pr>
          <w:rFonts w:ascii="Times New Roman;Times;serif" w:hAnsi="Times New Roman;Times;serif"/>
          <w:sz w:val="20"/>
        </w:rPr>
        <w:t>In May 2025, the Company granted 408,000 share options to purchase Class A Ordinary shares with non-market performance conditions (“PSOs”), included in the table above, that will vest upon the earlier of achieving a one-year service condition or upon the Company’s next Annual General Meeting (“AGM”).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granted 1,053,000 PSOs, included in the table above, that will vest upon the earlier of achieving a one year service condition or upon the Company’s AGM. In February 2025, the date of the AGM was set to May 21, 2025 (the “AGM Date”). Accordingly, management determined that the performance condition was met and recorded the remaining unrecognized compensation expense of $1.5 million ratably through the AGM Date. The 2024 PSOs vested on the AGM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average grant date fair value of options granted during the years ended December 31, 2025 and 2024 was $1.02 and $2.71,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Market-Based Share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20, 2023, the Company granted 306,373 options to purchase Class A Ordinary Shares (“Market-Based Share Options”) to a member of the Board of Directors. These awards will vest only to the extent that the 20-day volume weighted average trading price (“VWAP”) of the Class A Ordinary Shares is over $30 per Class A Ordinary Share at any time prior to the </w:t>
      </w:r>
      <w:r>
        <w:rPr>
          <w:rFonts w:ascii="Times New Roman;Times;serif" w:hAnsi="Times New Roman;Times;serif"/>
          <w:b w:val="false"/>
          <w:i w:val="false"/>
          <w:caps w:val="false"/>
          <w:smallCaps w:val="false"/>
          <w:sz w:val="20"/>
        </w:rPr>
        <w:t>fifth anniversary</w:t>
      </w:r>
      <w:r>
        <w:rPr>
          <w:rFonts w:ascii="Times New Roman;Times;serif" w:hAnsi="Times New Roman;Times;serif"/>
          <w:sz w:val="20"/>
        </w:rPr>
        <w:t xml:space="preserve"> of the grant date. These awards have an exercise price of $8.16 and become exercisable when vested and the market condition is satisfied. These awards expire 10 years from the date of grant. The fair value of these Market-Based Share Options were estimated using a Monte Carlo valuation method for the year ended December 31, 2023. No Market-Based Share Options were granted during the years ended 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2025 and 2024, the Company recorded expense related to Market-Based Share Options of $0.3 million and $0.7 million, respectively. There is no unrecognized compensation costs related to the Market-Based Share Options as of December 31, 2025.</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Share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RSU activity for the year ended December 31, 2025:</w:t>
      </w:r>
    </w:p>
    <w:p>
      <w:pPr>
        <w:pStyle w:val="TextBody"/>
        <w:bidi w:val="0"/>
        <w:spacing w:before="0" w:after="0"/>
        <w:ind w:left="0" w:right="0" w:hanging="0"/>
        <w:jc w:val="left"/>
        <w:rPr/>
      </w:pPr>
      <w:r>
        <w:rPr/>
        <w:t>​</w:t>
      </w:r>
    </w:p>
    <w:tbl>
      <w:tblPr>
        <w:tblW w:w="7324" w:type="dxa"/>
        <w:jc w:val="left"/>
        <w:tblInd w:w="0" w:type="dxa"/>
        <w:tblLayout w:type="fixed"/>
        <w:tblCellMar>
          <w:top w:w="0" w:type="dxa"/>
          <w:left w:w="0" w:type="dxa"/>
          <w:bottom w:w="0" w:type="dxa"/>
          <w:right w:w="0" w:type="dxa"/>
        </w:tblCellMar>
      </w:tblPr>
      <w:tblGrid>
        <w:gridCol w:w="4441"/>
        <w:gridCol w:w="346"/>
        <w:gridCol w:w="931"/>
        <w:gridCol w:w="346"/>
        <w:gridCol w:w="339"/>
        <w:gridCol w:w="921"/>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820035" cy="175260"/>
                      <wp:effectExtent l="0" t="0" r="0" b="0"/>
                      <wp:wrapNone/>
                      <wp:docPr id="167" name="Frame166"/>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1185" cy="175260"/>
                      <wp:effectExtent l="0" t="0" r="0" b="0"/>
                      <wp:wrapNone/>
                      <wp:docPr id="169" name="Frame1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5265" cy="175260"/>
                      <wp:effectExtent l="0" t="0" r="0" b="0"/>
                      <wp:wrapNone/>
                      <wp:docPr id="171" name="Frame170"/>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84835" cy="175260"/>
                      <wp:effectExtent l="0" t="0" r="0" b="0"/>
                      <wp:wrapNone/>
                      <wp:docPr id="172" name="Frame171"/>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FV</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outstanding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874,923</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(291,641)</w:t>
            </w:r>
          </w:p>
        </w:tc>
        <w:tc>
          <w:tcPr>
            <w:tcW w:w="346"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583,282</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5.99</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unrecognized compensation costs related to the unvested RSUs were $2.4 million which the Company expects to recognize over a weighted-average period of 1.2 years. For each of the years ended December 31, 2025 and 2024, the Company recorded expense related to RSUs of $2.0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Share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RSA activity for the year ended December 31, 2025:</w:t>
      </w:r>
    </w:p>
    <w:p>
      <w:pPr>
        <w:pStyle w:val="TextBody"/>
        <w:bidi w:val="0"/>
        <w:spacing w:before="0" w:after="0"/>
        <w:ind w:left="0" w:right="0" w:hanging="0"/>
        <w:jc w:val="left"/>
        <w:rPr/>
      </w:pPr>
      <w:r>
        <w:rPr/>
        <w:t>​</w:t>
      </w:r>
    </w:p>
    <w:tbl>
      <w:tblPr>
        <w:tblW w:w="7025" w:type="dxa"/>
        <w:jc w:val="left"/>
        <w:tblInd w:w="0" w:type="dxa"/>
        <w:tblLayout w:type="fixed"/>
        <w:tblCellMar>
          <w:top w:w="0" w:type="dxa"/>
          <w:left w:w="0" w:type="dxa"/>
          <w:bottom w:w="0" w:type="dxa"/>
          <w:right w:w="0" w:type="dxa"/>
        </w:tblCellMar>
      </w:tblPr>
      <w:tblGrid>
        <w:gridCol w:w="4441"/>
        <w:gridCol w:w="346"/>
        <w:gridCol w:w="901"/>
        <w:gridCol w:w="346"/>
        <w:gridCol w:w="266"/>
        <w:gridCol w:w="725"/>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820035" cy="175260"/>
                      <wp:effectExtent l="0" t="0" r="0" b="0"/>
                      <wp:wrapNone/>
                      <wp:docPr id="173" name="Frame172"/>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72135" cy="175260"/>
                      <wp:effectExtent l="0" t="0" r="0" b="0"/>
                      <wp:wrapNone/>
                      <wp:docPr id="175" name="Frame1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68910" cy="175260"/>
                      <wp:effectExtent l="0" t="0" r="0" b="0"/>
                      <wp:wrapNone/>
                      <wp:docPr id="177" name="Frame17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60375" cy="175260"/>
                      <wp:effectExtent l="0" t="0" r="0" b="0"/>
                      <wp:wrapNone/>
                      <wp:docPr id="178" name="Frame177"/>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RSAs outstanding as of December 31, 2024</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374,995</w:t>
            </w:r>
          </w:p>
        </w:tc>
        <w:tc>
          <w:tcPr>
            <w:tcW w:w="346" w:type="dxa"/>
            <w:tcBorders/>
            <w:shd w:fill="CCEEFF" w:val="clear"/>
            <w:vAlign w:val="center"/>
          </w:tcPr>
          <w:p>
            <w:pPr>
              <w:pStyle w:val="TableContents"/>
              <w:bidi w:val="0"/>
              <w:spacing w:before="0" w:after="0"/>
              <w:ind w:left="0" w:right="0" w:hanging="0"/>
              <w:jc w:val="center"/>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(124,998)</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RSAs outstanding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249,997</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8.16</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unrecognized compensation costs related to the unvested RSAs were $1.2 million which the Company expects to recognize over a weighted-average period of 1.4 years. For each of the years ended December 31, 2025 and 2024, the Company recorded expense related to RSAs of $1.0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999" w:name="Tc_oMBUp8TRFEGXXECqffDD2g_5_5"/>
      <w:bookmarkStart w:id="1000" w:name="Tc_Vu-yokCnskCEpQai7kb6Jw_5_2"/>
      <w:bookmarkStart w:id="1001" w:name="Tc_U70aKKz8OU6DDu0jXpkMxA_5_0"/>
      <w:bookmarkStart w:id="1002" w:name="Tc_jVmZ5i8MWkGWmsAZh5g3lA_4_0"/>
      <w:bookmarkStart w:id="1003" w:name="Tc_0BoeJsYAEEm11nG88Ez-Zw_3_5"/>
      <w:bookmarkStart w:id="1004" w:name="Tc_idbHVsdIVUOvsD4EIe694g_3_2"/>
      <w:bookmarkStart w:id="1005" w:name="Tc_I39tnRhEaUuTsv1TX4EfAw_3_0"/>
      <w:bookmarkStart w:id="1006" w:name="Tc_7AY9sKkIU0iOTeU0r9gowA_2_5"/>
      <w:bookmarkStart w:id="1007" w:name="Tc_Tub6MaAr00WPMJVUR-obQA_2_2"/>
      <w:bookmarkStart w:id="1008" w:name="Tc_SMyuJZhoYUivrtK-a57D_A_1_2"/>
      <w:bookmarkEnd w:id="999"/>
      <w:bookmarkEnd w:id="1000"/>
      <w:bookmarkEnd w:id="1001"/>
      <w:bookmarkEnd w:id="1002"/>
      <w:bookmarkEnd w:id="1003"/>
      <w:bookmarkEnd w:id="1004"/>
      <w:bookmarkEnd w:id="1005"/>
      <w:bookmarkEnd w:id="1006"/>
      <w:bookmarkEnd w:id="1007"/>
      <w:bookmarkEnd w:id="1008"/>
      <w:r>
        <w:rPr>
          <w:rFonts w:ascii="Times New Roman;Times;serif" w:hAnsi="Times New Roman;Times;serif"/>
          <w:b/>
          <w:i/>
          <w:sz w:val="20"/>
        </w:rPr>
        <w:t>Equity Award Modification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11, 2025, Arnout Ploos van Amstel notified the Company of his decision to resign from the Board of Directors and as a member of the Nominating and Governance Committee of the Board of Directors. The Board of Directors approved accelerated vesting of the unvested portion of two outstanding options, previously granted to Mr. Ploos van Amstel, relating to an aggregate of 41,549 Class A Ordinary Shares, which became fully vested and exercisable on December 11, 2025. The Board of Directors also approved an extension of the post-termination exercise period of all of Mr. Ploos van Amstel’s vested share options to be eighteen months from the resignation date. For the year ended December 31, 2025, the Company recognized $0.1 million of share-based compensation expense related to this modification within general and administrative expense in the consolidated statement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27, 2025, the Company and Verender Badial, the Company’s former Chief Financial Officer, entered into an agreement in connection with Mr. Badial’s resignation from the Company (the “Badial Settlement Agreement”). The Badial Settlement Agreement provides for accelerated vesting of the unvested portion of two outstanding options, previously granted to Mr. Badial, relating to an aggregate of 198,540 Class A Ordinary Shares, which became fully vested and exercisable on July 31, 2025. The Badial Settlement Agreement also provides for an extension of the post-termination exercise period of all of Mr. Badial’s vested share options to the applicable expiration date of the applicable share option, as of July 31, 2025, subject to certain conditions therein. All other remaining unvested options to purchase Class A Ordinary Shares were forfeited and cancelled on July 31, 2025. For the year ended December 31, 2025, the Company recognized $0.2 million of share-based compensation expense related to this modification within general and administrative expense in the consolidated statement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24, 2025, the Company amended a member of the Board of Director’s option agreements, causing his unvested options to purchase 32,099 Class A Ordinary Shares to become fully vested and exercisable as of the AGM Date. Additionally, the Board of Directors extended the post-termination exercise period of his vested options to purchase an aggregate of 165,149 Class A Ordinary Shares to the applicable expiration date of each of the respective option awards, upon completion of his service as a member of the Board of Directors. For the year ended December 31, 2025, the Company recognized $0.1 million of share-based compensation expense related to this modification within general and administrative expense in the consolidated statement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24, 2024, the Company entered into a settlement agreement with Someit Sidhu (“Sidhu Settlement Agreement”) in connection with the Chief Executive Officer (“CEO”) transition. Pursuant to the Sidhu Settlement Agreement, 1,700,000 share options became fully vested and immediately exercisable and the remaining 250,000 share options will vest annually over three years on the anniversary of the Sidhu Settlement Agreement. Accordingly, for the year ended December 31, 2024, the Company recorded $5.9 million of share-based compensation expense, in general and administrative expense in the consolidated statement of operations, for the remaining grant date fair value of the 1,700,000 share options and the grant date fair value of the 250,000 share options is being recorded to compensation expense over the revised vesting period. The Company determined that the Sidhu Settlement Agreement did not result in any incremental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10, 2024, the Company and its Chief Medical Officer (the “CMO”) entered into an agreement regarding the CMO’s departure from the Company (the “Severance Agreement”). In connection with the Severance Agreement, 67,525 of the share options previously granted to the CMO became fully vested and exercisable and 40,515 of the RSUs previously granted to the CMO became fully vested. All remaining share options and RSUs not vested were forfeited and cancelled. During the year ended December 31, 2024, the Company recognized a reversal of approximately $0.1 million of share-based compensation expense related to this modification in research and development expense in the consolidated statement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Share-based compensation expense for all equity arrangements for the year ended December 31, 2025 and 2024 was as follows:</w:t>
      </w:r>
    </w:p>
    <w:p>
      <w:pPr>
        <w:pStyle w:val="TextBody"/>
        <w:bidi w:val="0"/>
        <w:spacing w:before="0" w:after="0"/>
        <w:ind w:left="0" w:right="0" w:hanging="0"/>
        <w:jc w:val="left"/>
        <w:rPr/>
      </w:pPr>
      <w:r>
        <w:rPr/>
        <w:t>​</w:t>
      </w:r>
    </w:p>
    <w:tbl>
      <w:tblPr>
        <w:tblW w:w="6451" w:type="dxa"/>
        <w:jc w:val="left"/>
        <w:tblInd w:w="0" w:type="dxa"/>
        <w:tblLayout w:type="fixed"/>
        <w:tblCellMar>
          <w:top w:w="0" w:type="dxa"/>
          <w:left w:w="0" w:type="dxa"/>
          <w:bottom w:w="0" w:type="dxa"/>
          <w:right w:w="0" w:type="dxa"/>
        </w:tblCellMar>
      </w:tblPr>
      <w:tblGrid>
        <w:gridCol w:w="3436"/>
        <w:gridCol w:w="346"/>
        <w:gridCol w:w="253"/>
        <w:gridCol w:w="811"/>
        <w:gridCol w:w="415"/>
        <w:gridCol w:w="253"/>
        <w:gridCol w:w="937"/>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81860" cy="175260"/>
                      <wp:effectExtent l="0" t="0" r="0" b="0"/>
                      <wp:wrapNone/>
                      <wp:docPr id="179" name="Frame178"/>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60655" cy="175260"/>
                      <wp:effectExtent l="0" t="0" r="0" b="0"/>
                      <wp:wrapNone/>
                      <wp:docPr id="181" name="Frame18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14985" cy="175260"/>
                      <wp:effectExtent l="0" t="0" r="0" b="0"/>
                      <wp:wrapNone/>
                      <wp:docPr id="182" name="Frame18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63525" cy="175260"/>
                      <wp:effectExtent l="0" t="0" r="0" b="0"/>
                      <wp:wrapNone/>
                      <wp:docPr id="183" name="Frame18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0655" cy="175260"/>
                      <wp:effectExtent l="0" t="0" r="0" b="0"/>
                      <wp:wrapNone/>
                      <wp:docPr id="184" name="Frame183"/>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94995" cy="175260"/>
                      <wp:effectExtent l="0" t="0" r="0" b="0"/>
                      <wp:wrapNone/>
                      <wp:docPr id="185" name="Frame184"/>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5" w:type="dxa"/>
            <w:tcBorders/>
            <w:vAlign w:val="center"/>
          </w:tcPr>
          <w:p>
            <w:pPr>
              <w:pStyle w:val="TableContents"/>
              <w:bidi w:val="0"/>
              <w:spacing w:before="0" w:after="1"/>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2,014</w:t>
            </w:r>
          </w:p>
        </w:tc>
        <w:tc>
          <w:tcPr>
            <w:tcW w:w="41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2,223</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10,318</w:t>
            </w:r>
          </w:p>
        </w:tc>
        <w:tc>
          <w:tcPr>
            <w:tcW w:w="415"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14,575</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12,332</w:t>
            </w:r>
          </w:p>
        </w:tc>
        <w:tc>
          <w:tcPr>
            <w:tcW w:w="415"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16,798</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09" w:name="_2f032ab4_7b6b_47e0_a35b_026a75e823d5_3"/>
      <w:bookmarkStart w:id="1010" w:name="_2f032ab4_7b6b_47e0_a35b_026a75e823d5_2"/>
      <w:bookmarkStart w:id="1011" w:name="_2f032ab4_7b6b_47e0_a35b_026a75e823d5"/>
      <w:bookmarkStart w:id="1012" w:name="Tc_c3orO9NCs0Oz6SHogX-QwA_13_9"/>
      <w:bookmarkStart w:id="1013" w:name="Tc_i5oO1pZuWUGiLN1_T5USjA_13_6"/>
      <w:bookmarkStart w:id="1014" w:name="Tc_Oj1pnHuyiEiax3zfe1TEKw_13_5"/>
      <w:bookmarkStart w:id="1015" w:name="Tc_uIRPnhxLfEmvnzfNQKzaoQ_13_2"/>
      <w:bookmarkStart w:id="1016" w:name="Tc_eSjB_HI_7ESZ4E3xjph_XQ_12_9"/>
      <w:bookmarkStart w:id="1017" w:name="Tc_WH8wlvdpK0WyNlpL66JTCQ_12_5"/>
      <w:bookmarkStart w:id="1018" w:name="Tc_0GjfVi8AfUuNFK8UgRakDQ_12_0"/>
      <w:bookmarkStart w:id="1019" w:name="Tc_hhz7Cu7MGk2jYt2hePRe8Q_11_0"/>
      <w:bookmarkStart w:id="1020" w:name="Tc_0Xzb32KhlkCUnXJVK5PQ4A_10_9"/>
      <w:bookmarkStart w:id="1021" w:name="Tc_3P0gg9doxkSNsIHATabcag_10_5"/>
      <w:bookmarkStart w:id="1022" w:name="Tc_a3wrvjmMwkWXiU4E9w1icQ_10_0"/>
      <w:bookmarkStart w:id="1023" w:name="Tc_Cuw7I2Hv6kSl_wLI4n9Efw_9_9"/>
      <w:bookmarkStart w:id="1024" w:name="Tc_8V7WwbDpVEOqDSzcZp8Isw_9_5"/>
      <w:bookmarkStart w:id="1025" w:name="Tc_dckySgMNCUWfpTiZg2mc4A_9_0"/>
      <w:bookmarkStart w:id="1026" w:name="Tc_-RdZ-aWVrka5iIXvtimYJw_8_0"/>
      <w:bookmarkStart w:id="1027" w:name="Tc_pvxirWGBGE6oMLMs8fzZlw_7_0"/>
      <w:bookmarkStart w:id="1028" w:name="Tc_4dGn54NppkepJ-MHT16cFg_6_9"/>
      <w:bookmarkStart w:id="1029" w:name="Tc_ERleXsEdpUW9X1cWh9WRUw_6_5"/>
      <w:bookmarkStart w:id="1030" w:name="Tc_bNkHlPWPMUqTmwLTyFR0ZQ_6_0"/>
      <w:bookmarkStart w:id="1031" w:name="Tc_OcMSoY4LX0SDOGpdNd7frg_5_9"/>
      <w:bookmarkStart w:id="1032" w:name="Tc_AQE9P8aLCkagZhiEmmxuDQ_5_5"/>
      <w:bookmarkStart w:id="1033" w:name="Tc_ze93CCENA02QVEtj-_-V1A_5_0"/>
      <w:bookmarkStart w:id="1034" w:name="Tc_54No_k8wuUivywi-2VI_DQ_4_9"/>
      <w:bookmarkStart w:id="1035" w:name="Tc_PHdSXYHKDUys2JTMeFLrNw_4_5"/>
      <w:bookmarkStart w:id="1036" w:name="Tc_KJdhcs07YEyX13ADadD8Ug_4_0"/>
      <w:bookmarkStart w:id="1037" w:name="Tc_RbknYCZTok6TakQ7w3v_Xw_3_9"/>
      <w:bookmarkStart w:id="1038" w:name="Tc_7BxsSjAlrkmxP7n2a-sI6A_3_5"/>
      <w:bookmarkStart w:id="1039" w:name="Tc_mQSwNf331Ee0_cPeVCnZyQ_3_0"/>
      <w:bookmarkStart w:id="1040" w:name="Tc_l1meqEyL10yaVZEC9IJWnQ_2_6"/>
      <w:bookmarkStart w:id="1041" w:name="Tc_KZge1Tc-QESOyDWlfddIuw_2_2"/>
      <w:bookmarkStart w:id="1042" w:name="Tc_bWlsaI7IaU6txtBLPLfOnw_1_2"/>
      <w:bookmarkStart w:id="1043" w:name="Tc_0nJ6wXoww0Gw74tc4g0zXw_5_5"/>
      <w:bookmarkStart w:id="1044" w:name="Tc_3JgSE7DCmkmv_JMycQ9exw_5_2"/>
      <w:bookmarkStart w:id="1045" w:name="Tc_1NkxMdnZvUumc_ABoIa1fw_5_0"/>
      <w:bookmarkStart w:id="1046" w:name="Tc__rZ0Q5Ft50KJc-jcpE8b4w_4_0"/>
      <w:bookmarkStart w:id="1047" w:name="Tc_0LSlewpDlEqdOKl_g1zoJQ_3_5"/>
      <w:bookmarkStart w:id="1048" w:name="Tc_VvtkAUUIEkC_ctq3znZdjw_3_2"/>
      <w:bookmarkStart w:id="1049" w:name="Tc_0CotREDkwU2tBytwiB-Uqw_3_0"/>
      <w:bookmarkStart w:id="1050" w:name="Tc_F_L20jWmmUqwVSSLWtw77g_2_5"/>
      <w:bookmarkStart w:id="1051" w:name="Tc_IzPK1gD6WEW_CnsVh22TbQ_2_2"/>
      <w:bookmarkStart w:id="1052" w:name="Tc_OjeVUfPLe06M1GfIu8o09w_1_2"/>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r>
        <w:rPr>
          <w:rFonts w:ascii="Times New Roman;Times;serif" w:hAnsi="Times New Roman;Times;serif"/>
          <w:b/>
          <w:i w:val="false"/>
          <w:caps w:val="false"/>
          <w:smallCaps w:val="false"/>
          <w:sz w:val="20"/>
        </w:rPr>
        <w:t>8.</w:t>
      </w: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under the liability method;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Realization of deferred tax assets is dependent upon future earnings, the timing and amount of which are uncertain.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financial reporting purposes, Loss before income taxes, includes the following components:</w:t>
      </w:r>
    </w:p>
    <w:p>
      <w:pPr>
        <w:pStyle w:val="TextBody"/>
        <w:bidi w:val="0"/>
        <w:spacing w:before="0" w:after="0"/>
        <w:ind w:left="0" w:right="0" w:hanging="0"/>
        <w:jc w:val="left"/>
        <w:rPr/>
      </w:pPr>
      <w:r>
        <w:rPr/>
        <w:t>​</w:t>
      </w:r>
    </w:p>
    <w:tbl>
      <w:tblPr>
        <w:tblW w:w="5177" w:type="dxa"/>
        <w:jc w:val="left"/>
        <w:tblInd w:w="0" w:type="dxa"/>
        <w:tblLayout w:type="fixed"/>
        <w:tblCellMar>
          <w:top w:w="0" w:type="dxa"/>
          <w:left w:w="0" w:type="dxa"/>
          <w:bottom w:w="0" w:type="dxa"/>
          <w:right w:w="0" w:type="dxa"/>
        </w:tblCellMar>
      </w:tblPr>
      <w:tblGrid>
        <w:gridCol w:w="2161"/>
        <w:gridCol w:w="346"/>
        <w:gridCol w:w="234"/>
        <w:gridCol w:w="884"/>
        <w:gridCol w:w="384"/>
        <w:gridCol w:w="234"/>
        <w:gridCol w:w="934"/>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72235" cy="175260"/>
                      <wp:effectExtent l="0" t="0" r="0" b="0"/>
                      <wp:wrapNone/>
                      <wp:docPr id="186" name="Frame18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8590" cy="175260"/>
                      <wp:effectExtent l="0" t="0" r="0" b="0"/>
                      <wp:wrapNone/>
                      <wp:docPr id="188" name="Frame18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61340" cy="175260"/>
                      <wp:effectExtent l="0" t="0" r="0" b="0"/>
                      <wp:wrapNone/>
                      <wp:docPr id="189" name="Frame188"/>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3840" cy="175260"/>
                      <wp:effectExtent l="0" t="0" r="0" b="0"/>
                      <wp:wrapNone/>
                      <wp:docPr id="190" name="Frame189"/>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8590" cy="175260"/>
                      <wp:effectExtent l="0" t="0" r="0" b="0"/>
                      <wp:wrapNone/>
                      <wp:docPr id="191" name="Frame19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93090" cy="175260"/>
                      <wp:effectExtent l="0" t="0" r="0" b="0"/>
                      <wp:wrapNone/>
                      <wp:docPr id="192" name="Frame191"/>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4" w:type="dxa"/>
            <w:tcBorders/>
            <w:vAlign w:val="center"/>
          </w:tcPr>
          <w:p>
            <w:pPr>
              <w:pStyle w:val="TableContents"/>
              <w:bidi w:val="0"/>
              <w:spacing w:before="0" w:after="0"/>
              <w:ind w:left="0" w:right="0" w:hanging="0"/>
              <w:jc w:val="center"/>
              <w:rPr/>
            </w:pPr>
            <w:r>
              <w:rPr/>
              <w:t>  ​ ​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(69,615)</w:t>
            </w:r>
          </w:p>
        </w:tc>
        <w:tc>
          <w:tcPr>
            <w:tcW w:w="384"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 operations</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84"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c>
          <w:tcPr>
            <w:tcW w:w="384"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(52,403)</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Provision For Income Taxes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adopted ASU 2023-09 to enhance the income tax disclosures regarding income taxes paid and the rate reconciliation disclosure. The provision for income taxes reconciles to the amount computed by applying the U.S. federal statutory rate of 21% to income (loss) before income taxes as follows (in thousands):</w:t>
      </w:r>
    </w:p>
    <w:p>
      <w:pPr>
        <w:pStyle w:val="TextBody"/>
        <w:bidi w:val="0"/>
        <w:spacing w:before="0" w:after="0"/>
        <w:ind w:left="0" w:right="0" w:hanging="0"/>
        <w:jc w:val="both"/>
        <w:rPr/>
      </w:pPr>
      <w:r>
        <w:rPr/>
        <w:t>​</w:t>
      </w:r>
    </w:p>
    <w:tbl>
      <w:tblPr>
        <w:tblW w:w="7580" w:type="dxa"/>
        <w:jc w:val="left"/>
        <w:tblInd w:w="0" w:type="dxa"/>
        <w:tblLayout w:type="fixed"/>
        <w:tblCellMar>
          <w:top w:w="0" w:type="dxa"/>
          <w:left w:w="0" w:type="dxa"/>
          <w:bottom w:w="0" w:type="dxa"/>
          <w:right w:w="0" w:type="dxa"/>
        </w:tblCellMar>
      </w:tblPr>
      <w:tblGrid>
        <w:gridCol w:w="3301"/>
        <w:gridCol w:w="346"/>
        <w:gridCol w:w="796"/>
        <w:gridCol w:w="346"/>
        <w:gridCol w:w="586"/>
        <w:gridCol w:w="361"/>
        <w:gridCol w:w="796"/>
        <w:gridCol w:w="146"/>
        <w:gridCol w:w="586"/>
        <w:gridCol w:w="31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96135" cy="175260"/>
                      <wp:effectExtent l="0" t="0" r="0" b="0"/>
                      <wp:wrapNone/>
                      <wp:docPr id="193" name="Frame19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05460" cy="175260"/>
                      <wp:effectExtent l="0" t="0" r="0" b="0"/>
                      <wp:wrapNone/>
                      <wp:docPr id="195" name="Frame1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72110" cy="175260"/>
                      <wp:effectExtent l="0" t="0" r="0" b="0"/>
                      <wp:wrapNone/>
                      <wp:docPr id="197" name="Frame19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29235" cy="175260"/>
                      <wp:effectExtent l="0" t="0" r="0" b="0"/>
                      <wp:wrapNone/>
                      <wp:docPr id="198" name="Frame1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05460" cy="175260"/>
                      <wp:effectExtent l="0" t="0" r="0" b="0"/>
                      <wp:wrapNone/>
                      <wp:docPr id="199" name="Frame19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2710" cy="175260"/>
                      <wp:effectExtent l="0" t="0" r="0" b="0"/>
                      <wp:wrapNone/>
                      <wp:docPr id="200" name="Frame1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72110" cy="175260"/>
                      <wp:effectExtent l="0" t="0" r="0" b="0"/>
                      <wp:wrapNone/>
                      <wp:docPr id="201" name="Frame20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0660" cy="175260"/>
                      <wp:effectExtent l="0" t="0" r="0" b="0"/>
                      <wp:wrapNone/>
                      <wp:docPr id="202" name="Frame2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6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 ​ ​</w:t>
            </w:r>
          </w:p>
        </w:tc>
        <w:tc>
          <w:tcPr>
            <w:tcW w:w="15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 </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at U.S. federal statutory rate</w:t>
            </w:r>
          </w:p>
        </w:tc>
        <w:tc>
          <w:tcPr>
            <w:tcW w:w="346" w:type="dxa"/>
            <w:tcBorders/>
            <w:shd w:fill="CCEEFF" w:val="clear"/>
            <w:vAlign w:val="center"/>
          </w:tcPr>
          <w:p>
            <w:pPr>
              <w:pStyle w:val="TableContents"/>
              <w:bidi w:val="0"/>
              <w:spacing w:before="0" w:after="0"/>
              <w:ind w:left="0" w:right="0" w:hanging="0"/>
              <w:jc w:val="left"/>
              <w:rPr/>
            </w:pPr>
            <w:r>
              <w:rPr/>
              <w:t>  ​ ​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(14,416)</w:t>
            </w:r>
          </w:p>
        </w:tc>
        <w:tc>
          <w:tcPr>
            <w:tcW w:w="346" w:type="dxa"/>
            <w:tcBorders/>
            <w:shd w:fill="CCEEFF" w:val="clear"/>
            <w:vAlign w:val="center"/>
          </w:tcPr>
          <w:p>
            <w:pPr>
              <w:pStyle w:val="TableContents"/>
              <w:bidi w:val="0"/>
              <w:spacing w:before="0" w:after="0"/>
              <w:ind w:left="0" w:right="0" w:hanging="0"/>
              <w:jc w:val="left"/>
              <w:rPr/>
            </w:pPr>
            <w:r>
              <w:rPr/>
              <w:t>  ​ ​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c>
          <w:tcPr>
            <w:tcW w:w="1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14,309</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9,575</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1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c>
          <w:tcPr>
            <w:tcW w:w="1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1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differential</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w:t>
            </w:r>
          </w:p>
        </w:tc>
        <w:tc>
          <w:tcPr>
            <w:tcW w:w="1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not recorded any state taxes in 2025 and 2024. However, the jurisdictions that comprise the majority (greater than 50%) of the composite state rate are Florida and Virginia.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053" w:name="Tc_Ko2vWGE7nk-oKQTQn-i18w_6_0"/>
      <w:bookmarkStart w:id="1054" w:name="Tc_IZYpm3NE8UG0Z-flXhTe0Q_5_0"/>
      <w:bookmarkStart w:id="1055" w:name="Tc_BncjRsjoU0SHmaVvtAraKQ_4_0"/>
      <w:bookmarkStart w:id="1056" w:name="Tc_qNaXkzBtJUOKnxQaxKCSug_3_5"/>
      <w:bookmarkStart w:id="1057" w:name="Tc_LrsnfX194E6gI_PVOLvEvg_3_2"/>
      <w:bookmarkStart w:id="1058" w:name="Tc_hui8PcG-x0KuhRdQhchjRw_3_0"/>
      <w:bookmarkStart w:id="1059" w:name="Tc_bZoCwc6FdEqkH7nYpCnC-Q_2_5"/>
      <w:bookmarkStart w:id="1060" w:name="Tc_nVr9EONy60mNf2L0MnKsDw_2_2"/>
      <w:bookmarkStart w:id="1061" w:name="Tc_yZ3bgwtbTU6Bac427Q_hdA_1_2"/>
      <w:bookmarkStart w:id="1062" w:name="Tc_ytc7hsklX0GddS58h9IHRg_17_5"/>
      <w:bookmarkStart w:id="1063" w:name="Tc_EG-rGL1_X0mR1befWUfBFg_17_2"/>
      <w:bookmarkStart w:id="1064" w:name="Tc_AuheY7OZHkmDnuOeyKbjqw_17_0"/>
      <w:bookmarkStart w:id="1065" w:name="Tc_znLDT_hM60GQxenel8zlkg_16_6"/>
      <w:bookmarkStart w:id="1066" w:name="Tc_4Llgh9HC6EqR_8V3kKtF4g_16_5"/>
      <w:bookmarkStart w:id="1067" w:name="Tc_WHsCO7O7506th7uxC62hQA_16_2"/>
      <w:bookmarkStart w:id="1068" w:name="Tc_cYHdqbf7REmwpkQSX7Yq8A_16_0"/>
      <w:bookmarkStart w:id="1069" w:name="Tc_kKskbCrWDUW921TaS-bHug_15_6"/>
      <w:bookmarkStart w:id="1070" w:name="Tc_OVgjYeCp7UujB4lNi5A0Ww_15_0"/>
      <w:bookmarkStart w:id="1071" w:name="Tc_oIuFyUa6sESVV4udUMZuEw_14_0"/>
      <w:bookmarkStart w:id="1072" w:name="Tc_yFCXCFMkkka4XvWvFkL1Hg_12_6"/>
      <w:bookmarkStart w:id="1073" w:name="Tc_h5Cy8LeWwEmuYXzBpbFMqA_12_5"/>
      <w:bookmarkStart w:id="1074" w:name="Tc_x7O0D7egrUSjJalfU8nucQ_12_2"/>
      <w:bookmarkStart w:id="1075" w:name="Tc_iMWxuxT2CUm6792S8_5_Ew_12_0"/>
      <w:bookmarkStart w:id="1076" w:name="Tc_rTZ2ebfY6ECSLd0ID_CsbA_11_0"/>
      <w:bookmarkStart w:id="1077" w:name="Tc_I_YJA4AZoU2gsn_rQi-vww_10_0"/>
      <w:bookmarkStart w:id="1078" w:name="Tc_NSouiTytuUes9QXwOJfDjA_9_0"/>
      <w:bookmarkStart w:id="1079" w:name="Tc_w9Ds2kvCx0eFsxevClb34A_8_0"/>
      <w:bookmarkStart w:id="1080" w:name="Tc_T2NknE1j40mQZbT25xamuw_7_0"/>
      <w:bookmarkStart w:id="1081" w:name="Tc_gYrt5UGcgUyaqYDKGx0_1Q_6_0"/>
      <w:bookmarkStart w:id="1082" w:name="Tc_I-zV2jv-akWNspsCsJkyZg_5_0"/>
      <w:bookmarkStart w:id="1083" w:name="Tc_znhcrqkwLkWypyoMBWAAvg_4_5"/>
      <w:bookmarkStart w:id="1084" w:name="Tc_OR2otjJzIU-7EE3HdjGCGg_4_2"/>
      <w:bookmarkStart w:id="1085" w:name="Tc_xC5l7KoyMUG_nhEExiSlvw_4_0"/>
      <w:bookmarkStart w:id="1086" w:name="Tc_h5Q8mQeLk06HEFFNOeFRoQ_3_0"/>
      <w:bookmarkStart w:id="1087" w:name="Tc_rlqSwzZ_pk-cT-hnxSSdWg_2_5"/>
      <w:bookmarkStart w:id="1088" w:name="Tc_0vUDxRtq6kGc34bLE07SYQ_2_2"/>
      <w:bookmarkStart w:id="1089" w:name="Tc_b4435uIB7E-4cy0eP2qrSw_1_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Pr>
          <w:rFonts w:ascii="Times New Roman;Times;serif" w:hAnsi="Times New Roman;Times;serif"/>
          <w:b/>
          <w:i/>
          <w:sz w:val="20"/>
        </w:rPr>
        <w:t xml:space="preserve">Deferred Tax Assets and Valuation Allowance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income taxes reflect the net tax effects of loss and credit carryforwards and temporary differences between the carrying amounts of assets and liabilities for financial reporting purposes and the amounts used for income tax purposes. Significant components of our deferred tax assets for federal and state income taxes are as follows (in thousands):</w:t>
      </w:r>
    </w:p>
    <w:p>
      <w:pPr>
        <w:pStyle w:val="TextBody"/>
        <w:bidi w:val="0"/>
        <w:spacing w:before="0" w:after="0"/>
        <w:ind w:left="0" w:right="0" w:hanging="0"/>
        <w:jc w:val="left"/>
        <w:rPr/>
      </w:pPr>
      <w:r>
        <w:rPr/>
        <w:t>​</w:t>
      </w:r>
    </w:p>
    <w:tbl>
      <w:tblPr>
        <w:tblW w:w="5977" w:type="dxa"/>
        <w:jc w:val="left"/>
        <w:tblInd w:w="0" w:type="dxa"/>
        <w:tblLayout w:type="fixed"/>
        <w:tblCellMar>
          <w:top w:w="0" w:type="dxa"/>
          <w:left w:w="0" w:type="dxa"/>
          <w:bottom w:w="0" w:type="dxa"/>
          <w:right w:w="0" w:type="dxa"/>
        </w:tblCellMar>
      </w:tblPr>
      <w:tblGrid>
        <w:gridCol w:w="3226"/>
        <w:gridCol w:w="346"/>
        <w:gridCol w:w="211"/>
        <w:gridCol w:w="796"/>
        <w:gridCol w:w="346"/>
        <w:gridCol w:w="211"/>
        <w:gridCol w:w="84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48510" cy="175260"/>
                      <wp:effectExtent l="0" t="0" r="0" b="0"/>
                      <wp:wrapNone/>
                      <wp:docPr id="203" name="Frame202"/>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05460" cy="175260"/>
                      <wp:effectExtent l="0" t="0" r="0" b="0"/>
                      <wp:wrapNone/>
                      <wp:docPr id="206" name="Frame2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34035" cy="175260"/>
                      <wp:effectExtent l="0" t="0" r="0" b="0"/>
                      <wp:wrapNone/>
                      <wp:docPr id="209" name="Frame20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14,439</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10,833</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start-up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(25,661)</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assessing the realizability of deferred tax assets, the Company considers whether it is more likely than not that the deferred tax assets will be realized. The ultimate realization of deferred tax assets is based on the assessment of available positive and negative evidence to estimate whether sufficient future taxable income will be generated to permit the utilization of existing deferred tax assets. The Company considered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A significant piece of objective negative evidence evaluated was the cumulative loss incurred since the Company’s inception. Such objective evidence limits the ability to consider subjective evidence such as the Company’s projections for future growth. Based on this assessment, the Company maintained a full valuation allowance against the Company’s net deferred tax assets as of December 31, 2025, and 2024. If these estimates and assumptions change in the future, the Company may be required to reduce the Company’s existing valuation allowance resulting in less income tax expense. The Company’s overall valuation allowance increased by $13.8 million during 2025 resulting from current year losses for which no tax benefit was provided.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w:t>
      </w:r>
    </w:p>
    <w:p>
      <w:pPr>
        <w:pStyle w:val="TextBody"/>
        <w:bidi w:val="0"/>
        <w:spacing w:before="0" w:after="0"/>
        <w:ind w:left="0" w:right="0" w:hanging="0"/>
        <w:jc w:val="left"/>
        <w:rPr/>
      </w:pPr>
      <w:r>
        <w:rPr/>
        <w:t>​</w:t>
      </w:r>
    </w:p>
    <w:tbl>
      <w:tblPr>
        <w:tblW w:w="6877" w:type="dxa"/>
        <w:jc w:val="left"/>
        <w:tblInd w:w="0" w:type="dxa"/>
        <w:tblLayout w:type="fixed"/>
        <w:tblCellMar>
          <w:top w:w="0" w:type="dxa"/>
          <w:left w:w="0" w:type="dxa"/>
          <w:bottom w:w="0" w:type="dxa"/>
          <w:right w:w="0" w:type="dxa"/>
        </w:tblCellMar>
      </w:tblPr>
      <w:tblGrid>
        <w:gridCol w:w="4126"/>
        <w:gridCol w:w="346"/>
        <w:gridCol w:w="211"/>
        <w:gridCol w:w="796"/>
        <w:gridCol w:w="346"/>
        <w:gridCol w:w="211"/>
        <w:gridCol w:w="841"/>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620010" cy="175260"/>
                      <wp:effectExtent l="0" t="0" r="0" b="0"/>
                      <wp:wrapNone/>
                      <wp:docPr id="210" name="Frame209"/>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05460" cy="175260"/>
                      <wp:effectExtent l="0" t="0" r="0" b="0"/>
                      <wp:wrapNone/>
                      <wp:docPr id="213" name="Frame2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34035" cy="175260"/>
                      <wp:effectExtent l="0" t="0" r="0" b="0"/>
                      <wp:wrapNone/>
                      <wp:docPr id="216" name="Frame21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(17,893)</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charged to 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(7,508)</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charged to current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(25,661)</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Company had U.S. federal net operating loss (“NOL”) carryforwards of approximately $59.4 million which may be carried forward indefinitely but are only available to offset 80% of future taxable income. In addition, the Company had $6.3 million of foreign net operating loss carryforwards generated in the United Kingdom which may be carried forward indefinitely. In addition, the Company also has approximately $0.4 million in state net operating loss carryforwards (tax-effected) of which the Florida NOL of $0.2 million can be carried forward 20 years, and the Virginia NOL of $0.1 million and the South Carolina NOL of $0.1 million may be carried forward indefinitely but is only available to offset 80% of future taxable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net operating loss carryforwards are subject to review and possible adjustment by the U.S. and state tax authorities. Net operating loss carryforwards may become subject to an annual limitation in the event of certain cumulative changes in the ownership interest of significant shareholders, as defined under Section 382 of the Internal Revenue Code. This could limit the amount of NOLs that the Company could use on an annual basis to offset future taxable income or tax liabilities. As of December 31, 2025, the Company had not performed an analysis to determine whether any of the Company’s net operating loss carryforwards are subject to limitation under Sections 382 of the Internal Revenue Code.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4, 2025, the One Big Beautiful Bill Act (“OBBBA”) was enacted into law. The OBBBA contains numerous business tax provisions, including business extenders made permanent such as restoration of 100% bonus depreciation, IRC Section 174 expensing for US-based research, and the EBITDA-based business interest expense limitation under Section 163(j). The enacted legislation did not have a material impact on the Company’s effective tax rate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applies the applicable authoritative guidance which prescribes a comprehensive model for the manner in which a company should recognize, measure, present and disclose in its consolidated financial statements all material uncertain tax positions that the Company has taken or expects to take on a tax return. As of December 31, 2025, the Company had no uncertain tax positions. There are no uncertain tax positions for which it is reasonably possible that the total amount of unrecognized tax benefits will significantly increase or decrease within twelve months of December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files income tax returns in the United States, the United Kingdom and certain state jurisdictions. The U.S federal tax years open to examination by the Internal Revenue Service are 2022 to 2025. The Company’s state and United Kingdom tax years that are open to tax examination are 2021 to 2025.</w:t>
      </w:r>
    </w:p>
    <w:p>
      <w:pPr>
        <w:pStyle w:val="TextBody"/>
        <w:bidi w:val="0"/>
        <w:spacing w:before="0" w:after="0"/>
        <w:ind w:left="0" w:right="0" w:hanging="0"/>
        <w:jc w:val="both"/>
        <w:rPr/>
      </w:pPr>
      <w:r>
        <w:rPr/>
        <w:t>​</w:t>
      </w:r>
    </w:p>
    <w:tbl>
      <w:tblPr>
        <w:tblW w:w="3197" w:type="dxa"/>
        <w:jc w:val="left"/>
        <w:tblInd w:w="0" w:type="dxa"/>
        <w:tblLayout w:type="fixed"/>
        <w:tblCellMar>
          <w:top w:w="0" w:type="dxa"/>
          <w:left w:w="0" w:type="dxa"/>
          <w:bottom w:w="0" w:type="dxa"/>
          <w:right w:w="0" w:type="dxa"/>
        </w:tblCellMar>
      </w:tblPr>
      <w:tblGrid>
        <w:gridCol w:w="271"/>
        <w:gridCol w:w="292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29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321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Redeemable Noncontrolling Interest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finder’s fee for the 2022 Lilly License, Z33 issued the Z33 Series Seed Preferred Shares to Stone Peach pursuant to the Z33 Letter Agreement. Zura had the right, but not the obligation, to purchase up to 50% of the Z33 Series Seed Preferred Shares issued to Stone Peach at a price per share of $2.448869 for a period of two years from the date of the agreement (the “Call Option”). Stone Peach had the right, but not the obligation to sell up to 50% of the Z33 Series Seed Preferred Shares issued to Stone Peach to Zura for a price per share of $2.040724 (the “Put Option”). As it was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represented redeemable noncontrolling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2023,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and as an adjustment to net loss to arrive at net loss attributable to Class A ordinary shareholders in the consolidated statement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was able to exercise its Put Option and Put Right at any time between April 24, 2024 and April 24, 2028 under the new agreement. The amended settlement terms represented an extinguishment and reissuance of the Z33 Series Seed Preferred Shares. The $9.2 million difference between the estimated fair value of the new instrument issued and the carrying value of the Z33 Series Seed Preferred Shares was recorded as a deemed contribution from the redeemable noncontrolling interest and as an adjustment to net loss to arrive at net loss attributable to Class A ordinary shareholders, in the consolidated statement of operations. On December 31, 2024, the redeemable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noncontrolling interest was remeasured from its redemption price to its initial carry amount, decreased for the noncontrolling interest’s share of Z33’s net loss, and the difference was recorded as an adjustment to net loss to arrive at net loss attributable to Class A ordinary shareholders for the year ended December 31, 2024 in the consolidated statement of operations. As of December 31, 2024, the redeemable noncontrolling interest balance was $11.7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July 2025, Stone Peach exercised its Put Option and Put Right. Upon exercise, the obligation to settle the Put Option in cash was recorded in accounts payable and accrued expenses extinguishing 50% of the redeemable noncontrolling interest. As it was not possible to specifically identify the shares that may be redeemed upon exercising the Put Option, and the applicable unit of account is each share, the Company assessed that the remaining 50% of the Z33 Series Seed Preferred Shares must be considered redeemable until the settlement of the Put Option or Put Right. Accordingly, the 50% of the Z33 Series Seed Preferred Shares issued to Stone Peach represented redeemable noncontrolling interest and were remeasured as of September 30,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29, 2025, we terminated the Z33 Letter Agreement, and the respective call and put rights relating to Z33’s Series Seed Preferred Shares recorded as redeemable noncontrolling interest and the obligation to settle the Put Option were extinguished. See Note 5.</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11.</w:t>
            </w:r>
          </w:p>
        </w:tc>
        <w:tc>
          <w:tcPr>
            <w:tcW w:w="2446"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Defined Contribution Plans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maintains a 401(k) defined contribution retirement plan (the “401(k) Plan”) for all of its U.S. employees. For the 401(k) Plan, the Company makes a matching contribution up to a maximum of 6% of an employee’s annual salary. For U.K. employees, the Company contributes up to 6% of an employee’s annual salary to defined contribution retirement pension plans. Contributions made by the Company vest 100% upon contribution. For the year-ended December 31, 2025 and 2024, the Company recorded expense of $0.5 million and $0.3 million, respectively for the defined contribution plans.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90" w:name="a14SubsequentEvents_264670"/>
      <w:bookmarkStart w:id="1091" w:name="a14SubsequentEvents_264670"/>
      <w:bookmarkEnd w:id="1091"/>
    </w:p>
    <w:tbl>
      <w:tblPr>
        <w:tblW w:w="2087" w:type="dxa"/>
        <w:jc w:val="left"/>
        <w:tblInd w:w="0" w:type="dxa"/>
        <w:tblLayout w:type="fixed"/>
        <w:tblCellMar>
          <w:top w:w="0" w:type="dxa"/>
          <w:left w:w="0" w:type="dxa"/>
          <w:bottom w:w="0" w:type="dxa"/>
          <w:right w:w="0" w:type="dxa"/>
        </w:tblCellMar>
      </w:tblPr>
      <w:tblGrid>
        <w:gridCol w:w="376"/>
        <w:gridCol w:w="1711"/>
      </w:tblGrid>
      <w:tr>
        <w:trPr/>
        <w:tc>
          <w:tcPr>
            <w:tcW w:w="376"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12.</w:t>
            </w:r>
          </w:p>
        </w:tc>
        <w:tc>
          <w:tcPr>
            <w:tcW w:w="1711"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pBdr/>
        <w:bidi w:val="0"/>
        <w:spacing w:before="0" w:after="180"/>
        <w:ind w:left="0" w:right="0" w:hanging="490"/>
        <w:jc w:val="both"/>
        <w:rPr>
          <w:rFonts w:ascii="Times New Roman;Times;serif" w:hAnsi="Times New Roman;Times;serif"/>
          <w:i/>
          <w:sz w:val="20"/>
        </w:rPr>
      </w:pPr>
      <w:r>
        <w:rPr>
          <w:rFonts w:ascii="Times New Roman;Times;serif" w:hAnsi="Times New Roman;Times;serif"/>
          <w:i/>
          <w:sz w:val="20"/>
        </w:rPr>
        <w:t>Resignation of Chief Executive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21, 2026 (the “Effective Date”), the Company and Robert Lisicki, the Company’s former Chief Executive Officer, entered into a separation agreement in connection with Mr. Lisicki’s resignation from the Company (the “Separation Agreement”), pursuant to which Mr. Lisicki will remain a non-executive employee of the Company through March 31, 2026 and will be eligible to receive transition compensation in an amount equal to $72,000 (on an annualized basis) (the “Transition Compensation”). Pursuant to the terms of the Separation Agreement, Mr. Lisicki is not eligible for a bonus for fiscal years 2025 or 2026, and vesting in Mr. Lisicki’s stock options ceased on the Effective Date. Under the Separation Agreement, following the Effective Date, Mr. Lisicki will also receive: (i) a lump-sum severance payment in an amount equal to twelve months of his base salary, as in effect immediately prior to the Effective Date, reduced by the amount of Transition Compensation received, and (ii) the full COBRA premium to continue his insurance in effect for himself and his dependents until the earliest of (a) nine months after the Resignation Date; (b) the expiration of his eligibility for the continuation coverage under COBRA; or (c) the date he becomes eligible for substantially equivalent health insurance coverage in connection with new employment or self-employment.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Separation Agreement provides for an extension of the post-termination exercise period for Mr. Lisicki’s outstanding vested stock options to the earlier of (i) March 31, 2027 or (ii) the applicable expiration date of the applicable stock option. The Separation Agreement also provides for accelerated vesting of 25% of the shares underlying the option granted to Mr. Lisicki on February 27, 2025 as of the Effective Date, which shares were originally scheduled to vest on February 27, 2026, subject to specified lock-up restrictions. All other unvested options outstanding as of the Effective Date were immediately forfeited.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1092" w:name="NotesEnd"/>
      <w:bookmarkEnd w:id="1092"/>
      <w:r>
        <w:rPr>
          <w:rFonts w:ascii="Times New Roman;Times;serif" w:hAnsi="Times New Roman;Times;serif"/>
          <w:i/>
          <w:sz w:val="20"/>
        </w:rPr>
        <w:t>Appointment of Chief Executive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the Effective Date, the Board, upon the recommendation of the nominating and governance committee of the Board, appointed Dr. Sandeep Kulkarni, a current director on the Board, as the Company’s Chief Executive Officer and principal executive officer, effective as of the Effective Date. Dr. Kulkarni will also continue serving as a director on the Board. Also on the Effective Date, Ms. Davis, who was appointed as interim Chief Executive Officer, effective October 10, 2025, stepped down as interim Chief Executive Officer and interim principal executive officer and will continue with the Company in her roles as Chief Operating Officer, Chief Legal Officer and Corporate Secretary.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appointment of Dr. Kulkarni as Chief Executive Officer, the Company entered into an offer letter with Dr. Kulkarni on the Effective Date (the “Offer Letter”). The Offer Letter provides for Dr. Kulkarni’s at-will employment as the Company’s Chief Executive Officer. Pursuant to the Offer Letter, Dr. Kulkarni will receive an annual base salary of $655,000 per year. Dr. Kulkarni will also be eligible to receive a discretionary annual cash bonus with a target amount equal to 55% of his base salary and to participate in the Company’s employee benefit plans and programs in accordance with the terms and conditions of the applicable plans and programs.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Offer Letter, the Board also granted to Dr. Kulkarni the following equity awards, each effective as of the Effective Date with an exercise price equal to the closing price per share of the Company’s Class A ordinary shares on the Effective Date. The equity awards were granted pursuant to and subject to the terms and conditions of the Company’s 2023 Equity Incentive Plan: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option to purchase 2,934,107</w:t>
            </w:r>
            <w:r>
              <w:rPr>
                <w:caps w:val="false"/>
                <w:smallCaps w:val="false"/>
              </w:rPr>
              <w:t xml:space="preserve"> </w:t>
            </w:r>
            <w:r>
              <w:rPr>
                <w:rFonts w:ascii="Times New Roman;Times;serif" w:hAnsi="Times New Roman;Times;serif"/>
                <w:b w:val="false"/>
                <w:i w:val="false"/>
                <w:caps w:val="false"/>
                <w:smallCaps w:val="false"/>
                <w:sz w:val="20"/>
              </w:rPr>
              <w:t>Class A ordinary shares (the “New-Hire Option Award”). The New-Hire Option Award will vest over four years, with 25%</w:t>
            </w:r>
            <w:r>
              <w:rPr>
                <w:caps w:val="false"/>
                <w:smallCaps w:val="false"/>
              </w:rPr>
              <w:t xml:space="preserve"> </w:t>
            </w:r>
            <w:r>
              <w:rPr>
                <w:rFonts w:ascii="Times New Roman;Times;serif" w:hAnsi="Times New Roman;Times;serif"/>
                <w:b w:val="false"/>
                <w:i w:val="false"/>
                <w:caps w:val="false"/>
                <w:smallCaps w:val="false"/>
                <w:sz w:val="20"/>
              </w:rPr>
              <w:t>of the shares vesting on the first anniversary of the Effective Date and the remainder vesting in equal quarterly installments over the following three years, subject to Dr. Kulkarni’s continued service through each vesting date;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option to purchase 505,881</w:t>
            </w:r>
            <w:r>
              <w:rPr>
                <w:caps w:val="false"/>
                <w:smallCaps w:val="false"/>
              </w:rPr>
              <w:t xml:space="preserve"> </w:t>
            </w:r>
            <w:r>
              <w:rPr>
                <w:rFonts w:ascii="Times New Roman;Times;serif" w:hAnsi="Times New Roman;Times;serif"/>
                <w:b w:val="false"/>
                <w:i w:val="false"/>
                <w:caps w:val="false"/>
                <w:smallCaps w:val="false"/>
                <w:sz w:val="20"/>
              </w:rPr>
              <w:t>Class A ordinary shares of the Company (the “Performance Option Award”). The Performance Option Award will vest in full on the first date upon which both of the following performance goals are achieved, subject to Dr. Kulkarni’s continued service through such date: (a) the Company’s completion of an equity raise above a specified amount prior to a specified date, and (b) the volume-weighted average price of a Class A ordinary share of the Company equals or exceeds a specified price over a period of 30</w:t>
            </w:r>
            <w:r>
              <w:rPr>
                <w:caps w:val="false"/>
                <w:smallCaps w:val="false"/>
              </w:rPr>
              <w:t xml:space="preserve"> </w:t>
            </w:r>
            <w:r>
              <w:rPr>
                <w:rFonts w:ascii="Times New Roman;Times;serif" w:hAnsi="Times New Roman;Times;serif"/>
                <w:b w:val="false"/>
                <w:i w:val="false"/>
                <w:caps w:val="false"/>
                <w:smallCaps w:val="false"/>
                <w:sz w:val="20"/>
              </w:rPr>
              <w:t>consecutive trading days, prior to December 31, 2030.</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February 2026 Equity Offering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24, 2026, the Company entered into an underwriting agreement with Leerink Partners LLC, Piper Sandler &amp; Co. and Cantor Fitzgerald &amp; Co., as representatives of the several underwriters listed therein, pursuant to which the Company agreed to issue and sell 21,200,000 Class A ordinary shares (the “Shares”), par value $0.0001 per share, at a price to the public of $6.25 per share, which included 3,000,000 additional Class A ordinary shares sold upon exercise in full by the underwriters of their option to purchase additional shares of stock in the offering, along with pre-funded warrants (the “Pre-Funded Warrants”) to purchase 1,800,000 Ordinary Shares at a price to the public of $6.249 per Pre-Funded Warrant, which represents the per share public offering price for the Shares less the $0.001 exercise price of each Pre-Funded Warrant (the “Offering”). The net proceeds from the Offering were approximately $135.1 million after deducting underwriting discounts and commissions and estimated offering expenses. The Offering closed on February 26, 2026.</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40"/>
        <w:ind w:left="0" w:right="0" w:hanging="0"/>
        <w:jc w:val="right"/>
        <w:rPr>
          <w:rFonts w:ascii="Times New Roman;Times;serif" w:hAnsi="Times New Roman;Times;serif"/>
          <w:b/>
          <w:sz w:val="20"/>
        </w:rPr>
      </w:pPr>
      <w:bookmarkStart w:id="1093" w:name="zura-20251231xex21d1.htm"/>
      <w:bookmarkStart w:id="1094" w:name="kszura20251231xex21d1"/>
      <w:bookmarkEnd w:id="1093"/>
      <w:bookmarkEnd w:id="1094"/>
      <w:r>
        <w:rPr>
          <w:rFonts w:ascii="Times New Roman;Times;serif" w:hAnsi="Times New Roman;Times;serif"/>
          <w:b/>
          <w:sz w:val="20"/>
        </w:rPr>
        <w:t>Exhibit 21.1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JATT Merger Sub 2, a Cayman Islands exempted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Zura Bio Limited, a limited company incorporated under the laws of England and Wales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Zura Bio Inc., a Delaware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Z33 Bio Inc., a Delaware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ZB17, LLC, a Delaware limited liability company</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95" w:name="zura-20251231xex23.htm"/>
      <w:bookmarkStart w:id="1096" w:name="kszura20251231xex23"/>
      <w:bookmarkEnd w:id="1095"/>
      <w:bookmarkEnd w:id="1096"/>
      <w:r>
        <w:rPr>
          <w:rFonts w:ascii="Times New Roman;Times;serif" w:hAnsi="Times New Roman;Times;serif"/>
          <w:b/>
          <w:sz w:val="20"/>
        </w:rPr>
        <w:t>Exhibit 23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S-8 No. 333-272842, and Form S-3 Nos. 333-281905, 333-272628, and 333-279719 of Zura Bio Limited of our report dated March 19, 2026, relating to the consolidated financial statements, which appear in this Annual Report on Form 10-K, for the years ended 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WithumSmith+Brown, PC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East Brunswick, New Jersey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19,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97" w:name="zura-20251231xex31d1.htm"/>
      <w:bookmarkStart w:id="1098" w:name="kszura20251231xex31d1"/>
      <w:bookmarkEnd w:id="1097"/>
      <w:bookmarkEnd w:id="1098"/>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 of Principal Executive Officer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Sandeep Kulkarni, certify that: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 I have reviewed this Annual Report on Form 10-K of Zura Bio Limited;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397" w:type="dxa"/>
        <w:jc w:val="left"/>
        <w:tblInd w:w="0" w:type="dxa"/>
        <w:tblLayout w:type="fixed"/>
        <w:tblCellMar>
          <w:top w:w="0" w:type="dxa"/>
          <w:left w:w="0" w:type="dxa"/>
          <w:bottom w:w="0" w:type="dxa"/>
          <w:right w:w="0" w:type="dxa"/>
        </w:tblCellMar>
      </w:tblPr>
      <w:tblGrid>
        <w:gridCol w:w="1891"/>
        <w:gridCol w:w="2506"/>
      </w:tblGrid>
      <w:tr>
        <w:trPr/>
        <w:tc>
          <w:tcPr>
            <w:tcW w:w="1891" w:type="dxa"/>
            <w:tcBorders/>
            <w:vAlign w:val="center"/>
          </w:tcPr>
          <w:p>
            <w:pPr>
              <w:pStyle w:val="TableContents"/>
              <w:bidi w:val="0"/>
              <w:spacing w:before="0" w:after="20"/>
              <w:ind w:left="0" w:right="0" w:hanging="0"/>
              <w:jc w:val="left"/>
              <w:rPr/>
            </w:pPr>
            <w:r>
              <w:rPr/>
              <w:t>​</w:t>
            </w:r>
          </w:p>
        </w:tc>
        <w:tc>
          <w:tcPr>
            <w:tcW w:w="2506"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Sandeep Kulkarni</w:t>
            </w:r>
          </w:p>
        </w:tc>
      </w:tr>
      <w:tr>
        <w:trPr/>
        <w:tc>
          <w:tcPr>
            <w:tcW w:w="1891" w:type="dxa"/>
            <w:tcBorders/>
            <w:vAlign w:val="center"/>
          </w:tcPr>
          <w:p>
            <w:pPr>
              <w:pStyle w:val="TableContents"/>
              <w:bidi w:val="0"/>
              <w:spacing w:before="0" w:after="2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Sandeep Kulkarni</w:t>
            </w:r>
          </w:p>
        </w:tc>
      </w:tr>
      <w:tr>
        <w:trPr/>
        <w:tc>
          <w:tcPr>
            <w:tcW w:w="189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9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9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19, 2026</w:t>
            </w:r>
          </w:p>
        </w:tc>
        <w:tc>
          <w:tcPr>
            <w:tcW w:w="25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99" w:name="zura-20251231xex31d2.htm"/>
      <w:bookmarkStart w:id="1100" w:name="kszura20251231xex31d2"/>
      <w:bookmarkEnd w:id="1099"/>
      <w:bookmarkEnd w:id="1100"/>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 of Principal Financial Officer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Eric Hyllengren, certify that: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 I have reviewed this Annual Report on Form 10-K of Zura Bio Limited;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5762" w:type="dxa"/>
        <w:jc w:val="left"/>
        <w:tblInd w:w="0" w:type="dxa"/>
        <w:tblLayout w:type="fixed"/>
        <w:tblCellMar>
          <w:top w:w="0" w:type="dxa"/>
          <w:left w:w="0" w:type="dxa"/>
          <w:bottom w:w="0" w:type="dxa"/>
          <w:right w:w="0" w:type="dxa"/>
        </w:tblCellMar>
      </w:tblPr>
      <w:tblGrid>
        <w:gridCol w:w="1891"/>
        <w:gridCol w:w="3871"/>
      </w:tblGrid>
      <w:tr>
        <w:trPr/>
        <w:tc>
          <w:tcPr>
            <w:tcW w:w="1891" w:type="dxa"/>
            <w:tcBorders/>
            <w:vAlign w:val="center"/>
          </w:tcPr>
          <w:p>
            <w:pPr>
              <w:pStyle w:val="TableContents"/>
              <w:bidi w:val="0"/>
              <w:spacing w:before="0" w:after="20"/>
              <w:ind w:left="0" w:right="0" w:hanging="0"/>
              <w:jc w:val="left"/>
              <w:rPr/>
            </w:pPr>
            <w:r>
              <w:rPr/>
              <w:t>​</w:t>
            </w:r>
          </w:p>
        </w:tc>
        <w:tc>
          <w:tcPr>
            <w:tcW w:w="3871"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Eric Hyllengren</w:t>
            </w:r>
          </w:p>
        </w:tc>
      </w:tr>
      <w:tr>
        <w:trPr/>
        <w:tc>
          <w:tcPr>
            <w:tcW w:w="1891" w:type="dxa"/>
            <w:tcBorders/>
            <w:vAlign w:val="center"/>
          </w:tcPr>
          <w:p>
            <w:pPr>
              <w:pStyle w:val="TableContents"/>
              <w:bidi w:val="0"/>
              <w:spacing w:before="0" w:after="2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Eric Hyllengren</w:t>
            </w:r>
          </w:p>
        </w:tc>
      </w:tr>
      <w:tr>
        <w:trPr/>
        <w:tc>
          <w:tcPr>
            <w:tcW w:w="1891"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91"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r>
        <w:trPr/>
        <w:tc>
          <w:tcPr>
            <w:tcW w:w="1891"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19, 2026</w:t>
            </w:r>
          </w:p>
        </w:tc>
        <w:tc>
          <w:tcPr>
            <w:tcW w:w="38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01" w:name="zura-20251231xex32d1.htm"/>
      <w:bookmarkStart w:id="1102" w:name="kszura20251231xex32d1"/>
      <w:bookmarkEnd w:id="1101"/>
      <w:bookmarkEnd w:id="1102"/>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of Chief Executive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Zura Bio Limited (the “Company”) on Form 10-K for the year ended December 31, 2025, as filed with the Securities and Exchange Commission on the date hereof (the “Report”), I, Sandeep Kulkarni, Chief Executive Officer of the Company, certify, pursuant to 18 U.S.C. § 1350, as adopted pursuant to § 906 of the Sarbanes-Oxley Act of 2002, that, to the best of my knowledge: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Section 15(d) of the Securities Exchange Act of 1934; and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as of and for the period covered by the Report.</w:t>
      </w:r>
    </w:p>
    <w:p>
      <w:pPr>
        <w:pStyle w:val="TextBody"/>
        <w:bidi w:val="0"/>
        <w:spacing w:before="0" w:after="0"/>
        <w:ind w:left="0" w:right="0" w:hanging="0"/>
        <w:jc w:val="left"/>
        <w:rPr/>
      </w:pPr>
      <w:r>
        <w:rPr/>
        <w:t>​</w:t>
      </w:r>
    </w:p>
    <w:tbl>
      <w:tblPr>
        <w:tblW w:w="4397" w:type="dxa"/>
        <w:jc w:val="left"/>
        <w:tblInd w:w="0" w:type="dxa"/>
        <w:tblLayout w:type="fixed"/>
        <w:tblCellMar>
          <w:top w:w="0" w:type="dxa"/>
          <w:left w:w="0" w:type="dxa"/>
          <w:bottom w:w="0" w:type="dxa"/>
          <w:right w:w="0" w:type="dxa"/>
        </w:tblCellMar>
      </w:tblPr>
      <w:tblGrid>
        <w:gridCol w:w="1891"/>
        <w:gridCol w:w="2506"/>
      </w:tblGrid>
      <w:tr>
        <w:trPr/>
        <w:tc>
          <w:tcPr>
            <w:tcW w:w="1891" w:type="dxa"/>
            <w:tcBorders/>
            <w:vAlign w:val="center"/>
          </w:tcPr>
          <w:p>
            <w:pPr>
              <w:pStyle w:val="TableContents"/>
              <w:bidi w:val="0"/>
              <w:spacing w:before="0" w:after="20"/>
              <w:ind w:left="0" w:right="0" w:hanging="0"/>
              <w:jc w:val="left"/>
              <w:rPr/>
            </w:pPr>
            <w:r>
              <w:rPr/>
              <w:t>​</w:t>
            </w:r>
          </w:p>
        </w:tc>
        <w:tc>
          <w:tcPr>
            <w:tcW w:w="2506"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Sandeep Kulkarni</w:t>
            </w:r>
          </w:p>
        </w:tc>
      </w:tr>
      <w:tr>
        <w:trPr/>
        <w:tc>
          <w:tcPr>
            <w:tcW w:w="1891" w:type="dxa"/>
            <w:tcBorders/>
            <w:vAlign w:val="center"/>
          </w:tcPr>
          <w:p>
            <w:pPr>
              <w:pStyle w:val="TableContents"/>
              <w:bidi w:val="0"/>
              <w:spacing w:before="0" w:after="2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Sandeep Kulkarni</w:t>
            </w:r>
          </w:p>
        </w:tc>
      </w:tr>
      <w:tr>
        <w:trPr/>
        <w:tc>
          <w:tcPr>
            <w:tcW w:w="189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9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9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19, 2026</w:t>
            </w:r>
          </w:p>
        </w:tc>
        <w:tc>
          <w:tcPr>
            <w:tcW w:w="25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03" w:name="zura-20251231xex32d2.htm"/>
      <w:bookmarkStart w:id="1104" w:name="kszura20251231xex32d2"/>
      <w:bookmarkEnd w:id="1103"/>
      <w:bookmarkEnd w:id="1104"/>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of Chief Financial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Zura Bio Limited (the “Company”) on Form 10-K for the year ended December 31, 2025 as filed with the Securities and Exchange Commission on the date hereof (the “Report”), I, Eric Hyllengren, Chief Financial Officer of the Company, certify, pursuant to 18 U.S.C. § 1350, as adopted pursuant to § 906 of the Sarbanes-Oxley Act of 2002, that, to the best of my knowledge: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Section 15(d) of the Securities Exchange Act of 1934; and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tbl>
      <w:tblPr>
        <w:tblW w:w="5762" w:type="dxa"/>
        <w:jc w:val="left"/>
        <w:tblInd w:w="0" w:type="dxa"/>
        <w:tblLayout w:type="fixed"/>
        <w:tblCellMar>
          <w:top w:w="0" w:type="dxa"/>
          <w:left w:w="0" w:type="dxa"/>
          <w:bottom w:w="0" w:type="dxa"/>
          <w:right w:w="0" w:type="dxa"/>
        </w:tblCellMar>
      </w:tblPr>
      <w:tblGrid>
        <w:gridCol w:w="1891"/>
        <w:gridCol w:w="3871"/>
      </w:tblGrid>
      <w:tr>
        <w:trPr/>
        <w:tc>
          <w:tcPr>
            <w:tcW w:w="1891" w:type="dxa"/>
            <w:tcBorders/>
            <w:vAlign w:val="center"/>
          </w:tcPr>
          <w:p>
            <w:pPr>
              <w:pStyle w:val="TableContents"/>
              <w:bidi w:val="0"/>
              <w:spacing w:before="0" w:after="20"/>
              <w:ind w:left="0" w:right="0" w:hanging="0"/>
              <w:jc w:val="left"/>
              <w:rPr/>
            </w:pPr>
            <w:r>
              <w:rPr/>
              <w:t>​</w:t>
            </w:r>
          </w:p>
        </w:tc>
        <w:tc>
          <w:tcPr>
            <w:tcW w:w="3871"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Eric Hyllengren</w:t>
            </w:r>
          </w:p>
        </w:tc>
      </w:tr>
      <w:tr>
        <w:trPr/>
        <w:tc>
          <w:tcPr>
            <w:tcW w:w="1891" w:type="dxa"/>
            <w:tcBorders/>
            <w:vAlign w:val="center"/>
          </w:tcPr>
          <w:p>
            <w:pPr>
              <w:pStyle w:val="TableContents"/>
              <w:bidi w:val="0"/>
              <w:spacing w:before="0" w:after="2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Eric Hyllengren</w:t>
            </w:r>
          </w:p>
        </w:tc>
      </w:tr>
      <w:tr>
        <w:trPr/>
        <w:tc>
          <w:tcPr>
            <w:tcW w:w="1891"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91"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r>
        <w:trPr/>
        <w:tc>
          <w:tcPr>
            <w:tcW w:w="1891"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19, 2026</w:t>
            </w:r>
          </w:p>
        </w:tc>
        <w:tc>
          <w:tcPr>
            <w:tcW w:w="38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5644/000110465922072223/tm2218710d1_ex2-1.htm" TargetMode="External"/><Relationship Id="rId4" Type="http://schemas.openxmlformats.org/officeDocument/2006/relationships/hyperlink" Target="https://www.sec.gov/Archives/edgar/data/1855644/000110465922111238/tm2218919d12_ex2-2.htm" TargetMode="External"/><Relationship Id="rId5" Type="http://schemas.openxmlformats.org/officeDocument/2006/relationships/hyperlink" Target="https://www.sec.gov/Archives/edgar/data/1855644/000110465922119158/tm2230640d1_ex2-2.htm" TargetMode="External"/><Relationship Id="rId6" Type="http://schemas.openxmlformats.org/officeDocument/2006/relationships/hyperlink" Target="https://www.sec.gov/Archives/edgar/data/1855644/000110465923005068/tm233516d1_ex2-1.htm" TargetMode="External"/><Relationship Id="rId7" Type="http://schemas.openxmlformats.org/officeDocument/2006/relationships/hyperlink" Target="https://www.sec.gov/Archives/edgar/data/1855644/000110465923036697/tm2310353d1_ex3-1.htm" TargetMode="External"/><Relationship Id="rId8" Type="http://schemas.openxmlformats.org/officeDocument/2006/relationships/hyperlink" Target="https://www.sec.gov/Archives/edgar/data/1855644/000110465922093035/jatt-20220630xex4d5.htm" TargetMode="External"/><Relationship Id="rId9" Type="http://schemas.openxmlformats.org/officeDocument/2006/relationships/hyperlink" Target="https://www.sec.gov/Archives/edgar/data/1855644/000110465923055196/tm2314291d1_ex4-1.htm" TargetMode="External"/><Relationship Id="rId10" Type="http://schemas.openxmlformats.org/officeDocument/2006/relationships/hyperlink" Target="https://www.sec.gov/Archives/edgar/data/1855644/000110465924091602/tm2422174d1_ex4-1.htm" TargetMode="External"/><Relationship Id="rId11" Type="http://schemas.openxmlformats.org/officeDocument/2006/relationships/hyperlink" Target="https://www.sec.gov/Archives/edgar/data/1855644/000110465924050169/tm2412407d1_ex4-1.htm" TargetMode="External"/><Relationship Id="rId12" Type="http://schemas.openxmlformats.org/officeDocument/2006/relationships/hyperlink" Target="https://www.sec.gov/Archives/edgar/data/1855644/000110465925036057/tm2512482d1_ex4-1.htm" TargetMode="External"/><Relationship Id="rId13" Type="http://schemas.openxmlformats.org/officeDocument/2006/relationships/hyperlink" Target="https://www.sec.gov/Archives/edgar/data/1855644/000110465926019827/tm267297d1_ex4-1.htm" TargetMode="External"/><Relationship Id="rId14" Type="http://schemas.openxmlformats.org/officeDocument/2006/relationships/hyperlink" Target="https://www.sec.gov/Archives/edgar/data/1855644/000141057825000443/zura-20241231xex4d6.htm" TargetMode="External"/><Relationship Id="rId15" Type="http://schemas.openxmlformats.org/officeDocument/2006/relationships/hyperlink" Target="https://www.sec.gov/Archives/edgar/data/1855644/000110465923023189/tm2218919d27_ex10-17.htm" TargetMode="External"/><Relationship Id="rId16" Type="http://schemas.openxmlformats.org/officeDocument/2006/relationships/hyperlink" Target="https://www.sec.gov/Archives/edgar/data/1855644/000110465923023189/tm2218919d27_ex10-22.htm" TargetMode="External"/><Relationship Id="rId17" Type="http://schemas.openxmlformats.org/officeDocument/2006/relationships/hyperlink" Target="https://www.sec.gov/Archives/edgar/data/1855644/000110465923067181/tm2317576d1_ex10-1.htm" TargetMode="External"/><Relationship Id="rId18" Type="http://schemas.openxmlformats.org/officeDocument/2006/relationships/hyperlink" Target="https://www.sec.gov/Archives/edgar/data/1855644/000110465923036697/tm2310353d1_ex10-12.htm" TargetMode="External"/><Relationship Id="rId19" Type="http://schemas.openxmlformats.org/officeDocument/2006/relationships/hyperlink" Target="https://www.sec.gov/Archives/edgar/data/1855644/000110465923090605/tm235378d7_ex10-38.htm" TargetMode="External"/><Relationship Id="rId20" Type="http://schemas.openxmlformats.org/officeDocument/2006/relationships/hyperlink" Target="https://www.sec.gov/Archives/edgar/data/1855644/000141057823001121/zura-20230331xex10d28.htm" TargetMode="External"/><Relationship Id="rId21" Type="http://schemas.openxmlformats.org/officeDocument/2006/relationships/hyperlink" Target="https://www.sec.gov/Archives/edgar/data/1855644/000110465923124000/tm2332309d1_ex10-1.htm" TargetMode="External"/><Relationship Id="rId22" Type="http://schemas.openxmlformats.org/officeDocument/2006/relationships/hyperlink" Target="https://www.sec.gov/Archives/edgar/data/1855644/000110465924001984/tm242343d1_ex10-1.htm" TargetMode="External"/><Relationship Id="rId23" Type="http://schemas.openxmlformats.org/officeDocument/2006/relationships/hyperlink" Target="https://www.sec.gov/Archives/edgar/data/1855644/000110465924091602/tm2422174d1_ex10-1.htm" TargetMode="External"/><Relationship Id="rId24" Type="http://schemas.openxmlformats.org/officeDocument/2006/relationships/hyperlink" Target="https://www.sec.gov/Archives/edgar/data/1855644/000110465924050169/tm2412407d1_ex10-1.htm" TargetMode="External"/><Relationship Id="rId25" Type="http://schemas.openxmlformats.org/officeDocument/2006/relationships/hyperlink" Target="https://www.sec.gov/Archives/edgar/data/1855644/000110465924096413/tm2422475d1_ex1-2.htm" TargetMode="External"/><Relationship Id="rId26" Type="http://schemas.openxmlformats.org/officeDocument/2006/relationships/hyperlink" Target="https://www.sec.gov/Archives/edgar/data/1855644/000110465923036697/tm2310353d1_ex10-2.htm" TargetMode="External"/><Relationship Id="rId27" Type="http://schemas.openxmlformats.org/officeDocument/2006/relationships/hyperlink" Target="https://www.sec.gov/Archives/edgar/data/1855644/000110465923036697/tm2310353d1_ex10-13.htm" TargetMode="External"/><Relationship Id="rId28" Type="http://schemas.openxmlformats.org/officeDocument/2006/relationships/hyperlink" Target="https://www.sec.gov/Archives/edgar/data/1855644/000110465922127098/jatt-20220930xex10d27.htm" TargetMode="External"/><Relationship Id="rId29" Type="http://schemas.openxmlformats.org/officeDocument/2006/relationships/hyperlink" Target="https://www.sec.gov/Archives/edgar/data/1855644/000110465923090605/tm235378d7_ex10-39.htm" TargetMode="External"/><Relationship Id="rId30" Type="http://schemas.openxmlformats.org/officeDocument/2006/relationships/hyperlink" Target="https://www.sec.gov/Archives/edgar/data/1855644/000110465925036057/tm2512482d1_ex10-1.htm" TargetMode="External"/><Relationship Id="rId31" Type="http://schemas.openxmlformats.org/officeDocument/2006/relationships/hyperlink" Target="https://www.sec.gov/Archives/edgar/data/1855644/000110465925036057/tm2512482d1_ex10-2.htm" TargetMode="External"/><Relationship Id="rId32" Type="http://schemas.openxmlformats.org/officeDocument/2006/relationships/hyperlink" Target="https://www.sec.gov/Archives/edgar/data/1855644/000110465925064427/tm2519325d1_ex10-1.htm" TargetMode="External"/><Relationship Id="rId33" Type="http://schemas.openxmlformats.org/officeDocument/2006/relationships/hyperlink" Target="https://www.sec.gov/Archives/edgar/data/1855644/000110465925064427/tm2519325d1_ex10-2.htm" TargetMode="External"/><Relationship Id="rId34" Type="http://schemas.openxmlformats.org/officeDocument/2006/relationships/hyperlink" Target="https://www.sec.gov/Archives/edgar/data/1855644/000110465925095024/tm2527486d1_ex10-1.htm" TargetMode="External"/><Relationship Id="rId35" Type="http://schemas.openxmlformats.org/officeDocument/2006/relationships/hyperlink" Target="https://www.sec.gov/Archives/edgar/data/1855644/000110465926000209/tm2531128d1_ex10-1.htm" TargetMode="External"/><Relationship Id="rId36" Type="http://schemas.openxmlformats.org/officeDocument/2006/relationships/hyperlink" Target="https://www.sec.gov/Archives/edgar/data/1855644/000110465926000209/tm2531128d1_ex10-2.htm" TargetMode="External"/><Relationship Id="rId37" Type="http://schemas.openxmlformats.org/officeDocument/2006/relationships/hyperlink" Target="https://www.sec.gov/Archives/edgar/data/1855644/000110465926000209/tm2531128d1_ex10-3.htm" TargetMode="External"/><Relationship Id="rId38" Type="http://schemas.openxmlformats.org/officeDocument/2006/relationships/hyperlink" Target="https://www.sec.gov/Archives/edgar/data/1855644/000110465926006326/tm263758d1_ex10-1.htm" TargetMode="External"/><Relationship Id="rId39" Type="http://schemas.openxmlformats.org/officeDocument/2006/relationships/hyperlink" Target="https://www.sec.gov/Archives/edgar/data/1855644/000110465926006326/tm263758d1_ex10-2.htm" TargetMode="External"/><Relationship Id="rId40" Type="http://schemas.openxmlformats.org/officeDocument/2006/relationships/hyperlink" Target="https://www.sec.gov/Archives/edgar/data/1855644/000110465925110793/zura-20250930xex10d1.htm" TargetMode="External"/><Relationship Id="rId41" Type="http://schemas.openxmlformats.org/officeDocument/2006/relationships/hyperlink" Target="https://www.sec.gov/Archives/edgar/data/1855644/000141057825000443/zura-20241231xex19d1.htm" TargetMode="External"/><Relationship Id="rId42" Type="http://schemas.openxmlformats.org/officeDocument/2006/relationships/hyperlink" Target="https://www.sec.gov/Archives/edgar/data/1855644/000141057824000329/zura-20231231xex97.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92568</Words>
  <Characters>516408</Characters>
  <CharactersWithSpaces>608466</CharactersWithSpaces>
  <Paragraphs>5433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