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231F20"/>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231F20"/>
        </w:rPr>
        <w:t>Proxy Statement Pursuant to Section 14(a) of</w:t>
      </w:r>
    </w:p>
    <w:p>
      <w:pPr>
        <w:spacing w:after="0" w:line="27" w:lineRule="exact"/>
        <w:rPr>
          <w:sz w:val="24"/>
          <w:szCs w:val="24"/>
          <w:color w:val="auto"/>
        </w:rPr>
      </w:pPr>
    </w:p>
    <w:p>
      <w:pPr>
        <w:jc w:val="center"/>
        <w:ind w:right="-1120"/>
        <w:spacing w:after="0"/>
        <w:tabs>
          <w:tab w:leader="none" w:pos="260" w:val="left"/>
        </w:tabs>
        <w:rPr>
          <w:sz w:val="20"/>
          <w:szCs w:val="20"/>
          <w:color w:val="auto"/>
        </w:rPr>
      </w:pPr>
      <w:r>
        <w:rPr>
          <w:rFonts w:ascii="Times New Roman" w:cs="Times New Roman" w:eastAsia="Times New Roman" w:hAnsi="Times New Roman"/>
          <w:sz w:val="18"/>
          <w:szCs w:val="18"/>
          <w:color w:val="231F20"/>
        </w:rPr>
        <w:t>the Securities Exchange Act of 1934 (Amendment No.</w:t>
      </w:r>
      <w:r>
        <w:rPr>
          <w:sz w:val="20"/>
          <w:szCs w:val="20"/>
          <w:color w:val="auto"/>
        </w:rPr>
        <w:tab/>
      </w:r>
      <w:r>
        <w:rPr>
          <w:rFonts w:ascii="Times New Roman" w:cs="Times New Roman" w:eastAsia="Times New Roman" w:hAnsi="Times New Roman"/>
          <w:sz w:val="18"/>
          <w:szCs w:val="18"/>
          <w:color w:val="231F20"/>
        </w:rPr>
        <w:t>)</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Filed by the Registrant </w:t>
      </w:r>
      <w:r>
        <w:rPr>
          <w:rFonts w:ascii="MS PGothic" w:cs="MS PGothic" w:eastAsia="MS PGothic" w:hAnsi="MS PGothic"/>
          <w:sz w:val="18"/>
          <w:szCs w:val="18"/>
          <w:color w:val="231F20"/>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Preliminary Proxy Statement</w:t>
      </w:r>
    </w:p>
    <w:p>
      <w:pPr>
        <w:spacing w:after="0" w:line="221" w:lineRule="exact"/>
        <w:rPr>
          <w:rFonts w:ascii="MS PGothic" w:cs="MS PGothic" w:eastAsia="MS PGothic" w:hAnsi="MS PGothic"/>
          <w:sz w:val="18"/>
          <w:szCs w:val="18"/>
          <w:color w:val="231F20"/>
        </w:rPr>
      </w:pPr>
    </w:p>
    <w:p>
      <w:pPr>
        <w:ind w:left="300" w:hanging="292"/>
        <w:spacing w:after="0"/>
        <w:tabs>
          <w:tab w:leader="none" w:pos="30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b w:val="1"/>
          <w:bCs w:val="1"/>
          <w:color w:val="231F20"/>
        </w:rPr>
        <w:t>Confidential, for Use of the Commission Only (as permitted by Rule 14a-6(e)(2))</w:t>
      </w:r>
    </w:p>
    <w:p>
      <w:pPr>
        <w:spacing w:after="0" w:line="229" w:lineRule="exact"/>
        <w:rPr>
          <w:rFonts w:ascii="MS PGothic" w:cs="MS PGothic" w:eastAsia="MS PGothic" w:hAnsi="MS PGothic"/>
          <w:sz w:val="18"/>
          <w:szCs w:val="18"/>
          <w:color w:val="231F20"/>
        </w:rPr>
      </w:pPr>
    </w:p>
    <w:p>
      <w:pPr>
        <w:ind w:left="340" w:hanging="332"/>
        <w:spacing w:after="0"/>
        <w:tabs>
          <w:tab w:leader="none" w:pos="34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Soliciting Material under §240.14a-12</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231F20"/>
        </w:rPr>
        <w:t>Zura Bio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5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231F20"/>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No fee required.</w:t>
      </w:r>
    </w:p>
    <w:p>
      <w:pPr>
        <w:spacing w:after="0" w:line="225" w:lineRule="exact"/>
        <w:rPr>
          <w:sz w:val="24"/>
          <w:szCs w:val="24"/>
          <w:color w:val="auto"/>
        </w:rPr>
      </w:pPr>
    </w:p>
    <w:p>
      <w:pPr>
        <w:ind w:left="300" w:hanging="292"/>
        <w:spacing w:after="0"/>
        <w:tabs>
          <w:tab w:leader="none" w:pos="300" w:val="left"/>
        </w:tabs>
        <w:numPr>
          <w:ilvl w:val="0"/>
          <w:numId w:val="5"/>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Fee paid previously with preliminary materials.</w:t>
      </w:r>
    </w:p>
    <w:p>
      <w:pPr>
        <w:spacing w:after="0" w:line="225" w:lineRule="exact"/>
        <w:rPr>
          <w:rFonts w:ascii="MS PGothic" w:cs="MS PGothic" w:eastAsia="MS PGothic" w:hAnsi="MS PGothic"/>
          <w:sz w:val="18"/>
          <w:szCs w:val="18"/>
          <w:color w:val="231F20"/>
        </w:rPr>
      </w:pPr>
    </w:p>
    <w:p>
      <w:pPr>
        <w:ind w:left="300" w:hanging="292"/>
        <w:spacing w:after="0"/>
        <w:tabs>
          <w:tab w:leader="none" w:pos="300" w:val="left"/>
        </w:tabs>
        <w:numPr>
          <w:ilvl w:val="0"/>
          <w:numId w:val="5"/>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PURSUANT TO SECTION </w:t>
      </w:r>
      <w:r>
        <w:rPr>
          <w:rFonts w:ascii="Times New Roman" w:cs="Times New Roman" w:eastAsia="Times New Roman" w:hAnsi="Times New Roman"/>
          <w:sz w:val="18"/>
          <w:szCs w:val="18"/>
          <w:b w:val="1"/>
          <w:bCs w:val="1"/>
          <w:color w:val="212529"/>
        </w:rPr>
        <w:t>13</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b w:val="1"/>
          <w:bCs w:val="1"/>
          <w:color w:val="212529"/>
        </w:rPr>
        <w:t>15(</w:t>
      </w:r>
      <w:r>
        <w:rPr>
          <w:rFonts w:ascii="Times New Roman" w:cs="Times New Roman" w:eastAsia="Times New Roman" w:hAnsi="Times New Roman"/>
          <w:sz w:val="18"/>
          <w:szCs w:val="18"/>
          <w:b w:val="1"/>
          <w:bCs w:val="1"/>
          <w:color w:val="auto"/>
        </w:rPr>
        <w: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OF THE SECURITIES EXCHANGE ACT OF </w:t>
      </w:r>
      <w:r>
        <w:rPr>
          <w:rFonts w:ascii="Times New Roman" w:cs="Times New Roman" w:eastAsia="Times New Roman" w:hAnsi="Times New Roman"/>
          <w:sz w:val="18"/>
          <w:szCs w:val="18"/>
          <w:b w:val="1"/>
          <w:bCs w:val="1"/>
          <w:color w:val="212529"/>
        </w:rPr>
        <w:t>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May 20,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Zura Bio Limited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001-40598</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98-1725736</w:t>
            </w:r>
          </w:p>
        </w:tc>
      </w:tr>
      <w:tr>
        <w:trPr>
          <w:trHeight w:val="187"/>
        </w:trPr>
        <w:tc>
          <w:tcPr>
            <w:tcW w:w="3080" w:type="dxa"/>
            <w:vAlign w:val="bottom"/>
            <w:tcBorders>
              <w:top w:val="single" w:sz="8" w:color="auto"/>
            </w:tcBorders>
          </w:tcPr>
          <w:p>
            <w:pPr>
              <w:jc w:val="center"/>
              <w:ind w:left="41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6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212529"/>
                <w:w w:val="98"/>
              </w:rPr>
              <w:t>1489 W. Warm Springs Rd. #110</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212529"/>
                <w:w w:val="99"/>
              </w:rPr>
              <w:t>Henderson, NV 89014</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212529"/>
                <w:w w:val="99"/>
              </w:rPr>
              <w:t>including zip code)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212529"/>
                <w:w w:val="99"/>
              </w:rPr>
              <w:t>(702) 825-9872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w:t>
            </w:r>
          </w:p>
        </w:tc>
        <w:tc>
          <w:tcPr>
            <w:tcW w:w="286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(Former name or former address, if changed since last report)</w:t>
            </w:r>
          </w:p>
        </w:tc>
        <w:tc>
          <w:tcPr>
            <w:tcW w:w="28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ZURA</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2026, Someit Sidhu notified Zura Bio Limited (the “Company”) of his decision to resign from the board of directors of the Company effective as of May 21, 2026. Mr. Sidhu’s resignation is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Kim Davis</w:t>
            </w:r>
          </w:p>
        </w:tc>
      </w:tr>
      <w:tr>
        <w:trPr>
          <w:trHeight w:val="191"/>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 Davis</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tc>
      </w:tr>
      <w:tr>
        <w:trPr>
          <w:trHeight w:val="675"/>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2026-05-22T15:43:09Z</dcterms:created>
  <dcterms:modified xsi:type="dcterms:W3CDTF">2026-05-22T15:43:09Z</dcterms:modified>
</cp:coreProperties>
</file>